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553E" w14:textId="3475D0D7" w:rsidR="00D47FF8" w:rsidRDefault="003A6D7C" w:rsidP="00D47FF8">
      <w:pPr>
        <w:pStyle w:val="Heading1"/>
      </w:pPr>
      <w:r w:rsidRPr="001F52A8">
        <w:t>The Theology of the Book of Samue</w:t>
      </w:r>
      <w:r w:rsidR="00315AE7">
        <w:t>l</w:t>
      </w:r>
    </w:p>
    <w:p w14:paraId="2C0C6A6E" w14:textId="77777777" w:rsidR="00315AE7" w:rsidRDefault="00315AE7" w:rsidP="00315AE7">
      <w:pPr>
        <w:ind w:firstLine="0"/>
      </w:pPr>
      <w:r>
        <w:t>John Goldingay</w:t>
      </w:r>
    </w:p>
    <w:p w14:paraId="72E8CD3A" w14:textId="79542495" w:rsidR="00315AE7" w:rsidRPr="00315AE7" w:rsidRDefault="00315AE7" w:rsidP="00315AE7">
      <w:pPr>
        <w:ind w:firstLine="0"/>
      </w:pPr>
      <w:r>
        <w:t>Fuller Theological Seminary</w:t>
      </w:r>
    </w:p>
    <w:p w14:paraId="24C8B7B5" w14:textId="77777777" w:rsidR="003A6D7C" w:rsidRPr="001F52A8" w:rsidRDefault="003A6D7C" w:rsidP="004C6488">
      <w:pPr>
        <w:pStyle w:val="Heading1"/>
      </w:pPr>
      <w:r w:rsidRPr="001F52A8">
        <w:t>Contents</w:t>
      </w:r>
    </w:p>
    <w:p w14:paraId="75E95BC1" w14:textId="3A80C282" w:rsidR="00154864" w:rsidRDefault="00154864" w:rsidP="00CE5FF5">
      <w:pPr>
        <w:ind w:left="360"/>
      </w:pPr>
      <w:r>
        <w:t>List of Abbreviations</w:t>
      </w:r>
    </w:p>
    <w:p w14:paraId="433C598B" w14:textId="10F0FC4E" w:rsidR="003A6D7C" w:rsidRPr="001F52A8" w:rsidRDefault="003A6D7C" w:rsidP="00574C70">
      <w:pPr>
        <w:pStyle w:val="ListParagraph"/>
        <w:numPr>
          <w:ilvl w:val="0"/>
          <w:numId w:val="3"/>
        </w:numPr>
      </w:pPr>
      <w:r w:rsidRPr="001F52A8">
        <w:t>Introduction</w:t>
      </w:r>
    </w:p>
    <w:p w14:paraId="75F628CC" w14:textId="0D41E2B3" w:rsidR="000744AB" w:rsidRPr="00FF20F5" w:rsidRDefault="003A6D7C" w:rsidP="000744AB">
      <w:pPr>
        <w:pStyle w:val="ListParagraph"/>
        <w:numPr>
          <w:ilvl w:val="0"/>
          <w:numId w:val="3"/>
        </w:numPr>
        <w:suppressAutoHyphens w:val="0"/>
        <w:autoSpaceDN/>
        <w:spacing w:after="0" w:afterAutospacing="0"/>
        <w:textAlignment w:val="auto"/>
        <w:rPr>
          <w:lang w:val="en-US"/>
        </w:rPr>
      </w:pPr>
      <w:r w:rsidRPr="001F52A8">
        <w:rPr>
          <w:lang w:val="en-US"/>
        </w:rPr>
        <w:t xml:space="preserve">Yahweh </w:t>
      </w:r>
      <w:r w:rsidR="000744AB">
        <w:rPr>
          <w:lang w:val="en-US"/>
        </w:rPr>
        <w:t>Who Prepares the Way for</w:t>
      </w:r>
      <w:r w:rsidRPr="001F52A8">
        <w:rPr>
          <w:lang w:val="en-US"/>
        </w:rPr>
        <w:t xml:space="preserve"> a </w:t>
      </w:r>
      <w:r w:rsidR="000744AB">
        <w:rPr>
          <w:lang w:val="en-US"/>
        </w:rPr>
        <w:t>K</w:t>
      </w:r>
      <w:r w:rsidRPr="001F52A8">
        <w:rPr>
          <w:lang w:val="en-US"/>
        </w:rPr>
        <w:t>ing</w:t>
      </w:r>
      <w:r w:rsidR="0038109D" w:rsidRPr="001F52A8">
        <w:t xml:space="preserve"> (1 Samuel 1:1 – 4:1a)</w:t>
      </w:r>
    </w:p>
    <w:p w14:paraId="33A29AA9" w14:textId="708369E5" w:rsidR="00FF20F5" w:rsidRPr="000744AB" w:rsidRDefault="00FF20F5" w:rsidP="00FF20F5">
      <w:pPr>
        <w:pStyle w:val="ListParagraph"/>
        <w:suppressAutoHyphens w:val="0"/>
        <w:autoSpaceDN/>
        <w:spacing w:after="0" w:afterAutospacing="0"/>
        <w:ind w:left="1080" w:firstLine="0"/>
        <w:textAlignment w:val="auto"/>
        <w:rPr>
          <w:lang w:val="en-US"/>
        </w:rPr>
      </w:pPr>
      <w:r>
        <w:t xml:space="preserve">The God of Hannah – the God of Shiloh </w:t>
      </w:r>
      <w:r w:rsidR="003077EA">
        <w:t>–</w:t>
      </w:r>
      <w:r>
        <w:t xml:space="preserve"> </w:t>
      </w:r>
      <w:r w:rsidR="003077EA">
        <w:t>Family – Prayer and Promise – Ministry - Vocation</w:t>
      </w:r>
    </w:p>
    <w:p w14:paraId="410F2CA6" w14:textId="7C825E1D" w:rsidR="003A6D7C" w:rsidRPr="003077EA" w:rsidRDefault="000744AB" w:rsidP="000744AB">
      <w:pPr>
        <w:pStyle w:val="ListParagraph"/>
        <w:numPr>
          <w:ilvl w:val="0"/>
          <w:numId w:val="3"/>
        </w:numPr>
        <w:suppressAutoHyphens w:val="0"/>
        <w:autoSpaceDN/>
        <w:spacing w:after="0" w:afterAutospacing="0"/>
        <w:textAlignment w:val="auto"/>
        <w:rPr>
          <w:lang w:val="en-US"/>
        </w:rPr>
      </w:pPr>
      <w:r>
        <w:t>Yahweh Who Designates</w:t>
      </w:r>
      <w:r w:rsidR="0038109D" w:rsidRPr="001F52A8">
        <w:t xml:space="preserve"> a </w:t>
      </w:r>
      <w:r>
        <w:t>K</w:t>
      </w:r>
      <w:r w:rsidR="0038109D" w:rsidRPr="001F52A8">
        <w:t>ing</w:t>
      </w:r>
      <w:r w:rsidR="002276C5" w:rsidRPr="001F52A8">
        <w:t xml:space="preserve"> (1 Samuel </w:t>
      </w:r>
      <w:r w:rsidR="00A97732" w:rsidRPr="001F52A8">
        <w:t>4:1b – 12:25)</w:t>
      </w:r>
    </w:p>
    <w:p w14:paraId="30617C57" w14:textId="07C88CAE" w:rsidR="003077EA" w:rsidRPr="000744AB" w:rsidRDefault="00A24B8F" w:rsidP="003077EA">
      <w:pPr>
        <w:pStyle w:val="ListParagraph"/>
        <w:suppressAutoHyphens w:val="0"/>
        <w:autoSpaceDN/>
        <w:spacing w:after="0" w:afterAutospacing="0"/>
        <w:ind w:left="1080" w:firstLine="0"/>
        <w:textAlignment w:val="auto"/>
        <w:rPr>
          <w:lang w:val="en-US"/>
        </w:rPr>
      </w:pPr>
      <w:r>
        <w:t>The God of Bet Shemesh – Being the People of God</w:t>
      </w:r>
      <w:r w:rsidR="00C506F5">
        <w:t xml:space="preserve"> – Why and Why Not Have a King – How and How Not Have a King</w:t>
      </w:r>
      <w:r w:rsidR="00857144">
        <w:t xml:space="preserve"> – How to Be a King</w:t>
      </w:r>
    </w:p>
    <w:p w14:paraId="4DD2687E" w14:textId="33C99ABF" w:rsidR="00E00106" w:rsidRPr="00857144" w:rsidRDefault="003A6D7C" w:rsidP="00E00106">
      <w:pPr>
        <w:pStyle w:val="ListParagraph"/>
        <w:numPr>
          <w:ilvl w:val="0"/>
          <w:numId w:val="3"/>
        </w:numPr>
        <w:suppressAutoHyphens w:val="0"/>
        <w:autoSpaceDN/>
        <w:spacing w:after="0" w:afterAutospacing="0"/>
        <w:textAlignment w:val="auto"/>
        <w:rPr>
          <w:lang w:val="en-US"/>
        </w:rPr>
      </w:pPr>
      <w:r w:rsidRPr="001F52A8">
        <w:rPr>
          <w:lang w:val="en-US"/>
        </w:rPr>
        <w:t xml:space="preserve">Yahweh </w:t>
      </w:r>
      <w:r w:rsidR="000744AB">
        <w:rPr>
          <w:lang w:val="en-US"/>
        </w:rPr>
        <w:t>W</w:t>
      </w:r>
      <w:r w:rsidRPr="001F52A8">
        <w:rPr>
          <w:lang w:val="en-US"/>
        </w:rPr>
        <w:t xml:space="preserve">ho </w:t>
      </w:r>
      <w:r w:rsidR="000744AB">
        <w:rPr>
          <w:lang w:val="en-US"/>
        </w:rPr>
        <w:t>R</w:t>
      </w:r>
      <w:r w:rsidRPr="001F52A8">
        <w:rPr>
          <w:lang w:val="en-US"/>
        </w:rPr>
        <w:t>e</w:t>
      </w:r>
      <w:r w:rsidR="00A97732" w:rsidRPr="001F52A8">
        <w:rPr>
          <w:lang w:val="en-US"/>
        </w:rPr>
        <w:t>buf</w:t>
      </w:r>
      <w:r w:rsidR="00E00106">
        <w:rPr>
          <w:lang w:val="en-US"/>
        </w:rPr>
        <w:t>fs a King</w:t>
      </w:r>
      <w:r w:rsidR="00A97732" w:rsidRPr="001F52A8">
        <w:t xml:space="preserve"> (1 Samuel </w:t>
      </w:r>
      <w:r w:rsidR="00FD6F11" w:rsidRPr="001F52A8">
        <w:t xml:space="preserve">13:1 – </w:t>
      </w:r>
      <w:r w:rsidR="00197253" w:rsidRPr="001F52A8">
        <w:t>20:42 [21:1]</w:t>
      </w:r>
      <w:r w:rsidR="00FD6F11" w:rsidRPr="001F52A8">
        <w:t>)</w:t>
      </w:r>
    </w:p>
    <w:p w14:paraId="58425951" w14:textId="1B406C13" w:rsidR="00857144" w:rsidRPr="00E00106" w:rsidRDefault="00857144" w:rsidP="00857144">
      <w:pPr>
        <w:pStyle w:val="ListParagraph"/>
        <w:suppressAutoHyphens w:val="0"/>
        <w:autoSpaceDN/>
        <w:spacing w:after="0" w:afterAutospacing="0"/>
        <w:ind w:left="1080" w:firstLine="0"/>
        <w:textAlignment w:val="auto"/>
        <w:rPr>
          <w:lang w:val="en-US"/>
        </w:rPr>
      </w:pPr>
      <w:r>
        <w:t xml:space="preserve">The Fog of War – Devoting – Relenting </w:t>
      </w:r>
      <w:r w:rsidR="009F4CB3">
        <w:t>–</w:t>
      </w:r>
      <w:r>
        <w:t xml:space="preserve"> </w:t>
      </w:r>
      <w:r w:rsidR="009F4CB3">
        <w:t>One King Anointed, One King Assailed – The God of David – the Royal Family</w:t>
      </w:r>
    </w:p>
    <w:p w14:paraId="30B6B9E2" w14:textId="117EDC50" w:rsidR="003A6D7C" w:rsidRPr="009F4CB3" w:rsidRDefault="00E00106" w:rsidP="00E00106">
      <w:pPr>
        <w:pStyle w:val="ListParagraph"/>
        <w:numPr>
          <w:ilvl w:val="0"/>
          <w:numId w:val="3"/>
        </w:numPr>
        <w:suppressAutoHyphens w:val="0"/>
        <w:autoSpaceDN/>
        <w:spacing w:after="0" w:afterAutospacing="0"/>
        <w:textAlignment w:val="auto"/>
        <w:rPr>
          <w:lang w:val="en-US"/>
        </w:rPr>
      </w:pPr>
      <w:r>
        <w:t>Yahweh Who Protects a King</w:t>
      </w:r>
      <w:r w:rsidR="00E52892" w:rsidRPr="001F52A8">
        <w:t xml:space="preserve"> (1 Samuel </w:t>
      </w:r>
      <w:r w:rsidR="00197253" w:rsidRPr="001F52A8">
        <w:t>21:1 [2]</w:t>
      </w:r>
      <w:r w:rsidR="00E52892" w:rsidRPr="001F52A8">
        <w:t xml:space="preserve"> – </w:t>
      </w:r>
      <w:r w:rsidR="00197253" w:rsidRPr="001F52A8">
        <w:t xml:space="preserve">2 Samuel </w:t>
      </w:r>
      <w:r w:rsidR="00A60615" w:rsidRPr="001F52A8">
        <w:t>1:27</w:t>
      </w:r>
      <w:r w:rsidR="00E52892" w:rsidRPr="001F52A8">
        <w:t>)</w:t>
      </w:r>
    </w:p>
    <w:p w14:paraId="4AD6A082" w14:textId="10A4AE85" w:rsidR="009F4CB3" w:rsidRPr="00E00106" w:rsidRDefault="009F4CB3" w:rsidP="009F4CB3">
      <w:pPr>
        <w:pStyle w:val="ListParagraph"/>
        <w:suppressAutoHyphens w:val="0"/>
        <w:autoSpaceDN/>
        <w:spacing w:after="0" w:afterAutospacing="0"/>
        <w:ind w:left="1080" w:firstLine="0"/>
        <w:textAlignment w:val="auto"/>
        <w:rPr>
          <w:lang w:val="en-US"/>
        </w:rPr>
      </w:pPr>
      <w:r>
        <w:t xml:space="preserve">David the Man of Action </w:t>
      </w:r>
      <w:r w:rsidR="00546BBB">
        <w:t>– David the Man Who Acknowledges Yahweh – the Fog od Flight and Pursuit – Saul Desperately Seeking – How or How Not to Die a King</w:t>
      </w:r>
    </w:p>
    <w:p w14:paraId="04B951E7" w14:textId="63810B7F" w:rsidR="00D26E98" w:rsidRDefault="003A6D7C" w:rsidP="00D26E98">
      <w:pPr>
        <w:pStyle w:val="ListParagraph"/>
        <w:numPr>
          <w:ilvl w:val="0"/>
          <w:numId w:val="3"/>
        </w:numPr>
        <w:suppressAutoHyphens w:val="0"/>
        <w:autoSpaceDN/>
        <w:spacing w:after="0" w:afterAutospacing="0"/>
        <w:textAlignment w:val="auto"/>
        <w:rPr>
          <w:lang w:val="en-US"/>
        </w:rPr>
      </w:pPr>
      <w:r w:rsidRPr="001F52A8">
        <w:rPr>
          <w:lang w:val="en-US"/>
        </w:rPr>
        <w:t xml:space="preserve">Yahweh </w:t>
      </w:r>
      <w:r w:rsidR="002328BC">
        <w:rPr>
          <w:lang w:val="en-US"/>
        </w:rPr>
        <w:t>W</w:t>
      </w:r>
      <w:r w:rsidRPr="001F52A8">
        <w:rPr>
          <w:lang w:val="en-US"/>
        </w:rPr>
        <w:t xml:space="preserve">ho </w:t>
      </w:r>
      <w:r w:rsidR="006B1BAF">
        <w:rPr>
          <w:lang w:val="en-US"/>
        </w:rPr>
        <w:t>E</w:t>
      </w:r>
      <w:r w:rsidRPr="001F52A8">
        <w:rPr>
          <w:lang w:val="en-US"/>
        </w:rPr>
        <w:t xml:space="preserve">stablishes a king (2 Samuel </w:t>
      </w:r>
      <w:r w:rsidR="00A60615" w:rsidRPr="001F52A8">
        <w:rPr>
          <w:lang w:val="en-US"/>
        </w:rPr>
        <w:t>2</w:t>
      </w:r>
      <w:r w:rsidR="00CE5FF5">
        <w:rPr>
          <w:lang w:val="en-US"/>
        </w:rPr>
        <w:t>:1</w:t>
      </w:r>
      <w:r w:rsidRPr="001F52A8">
        <w:rPr>
          <w:lang w:val="en-US"/>
        </w:rPr>
        <w:t xml:space="preserve"> – 12</w:t>
      </w:r>
      <w:r w:rsidR="00CE5FF5">
        <w:rPr>
          <w:lang w:val="en-US"/>
        </w:rPr>
        <w:t>:</w:t>
      </w:r>
      <w:r w:rsidR="009C5AB9">
        <w:rPr>
          <w:lang w:val="en-US"/>
        </w:rPr>
        <w:t>31</w:t>
      </w:r>
      <w:r w:rsidRPr="001F52A8">
        <w:rPr>
          <w:lang w:val="en-US"/>
        </w:rPr>
        <w:t>)</w:t>
      </w:r>
    </w:p>
    <w:p w14:paraId="476EC43E" w14:textId="6802A146" w:rsidR="00546BBB" w:rsidRDefault="002328BC" w:rsidP="00546BBB">
      <w:pPr>
        <w:pStyle w:val="ListParagraph"/>
        <w:suppressAutoHyphens w:val="0"/>
        <w:autoSpaceDN/>
        <w:spacing w:after="0" w:afterAutospacing="0"/>
        <w:ind w:left="1080" w:firstLine="0"/>
        <w:textAlignment w:val="auto"/>
        <w:rPr>
          <w:lang w:val="en-US"/>
        </w:rPr>
      </w:pPr>
      <w:r>
        <w:rPr>
          <w:lang w:val="en-US"/>
        </w:rPr>
        <w:t xml:space="preserve">Government – Family – Capital – Dynasty – Defense </w:t>
      </w:r>
      <w:r w:rsidR="00B378F5">
        <w:rPr>
          <w:lang w:val="en-US"/>
        </w:rPr>
        <w:t>–</w:t>
      </w:r>
      <w:r>
        <w:rPr>
          <w:lang w:val="en-US"/>
        </w:rPr>
        <w:t xml:space="preserve"> </w:t>
      </w:r>
      <w:r w:rsidR="00B378F5">
        <w:rPr>
          <w:lang w:val="en-US"/>
        </w:rPr>
        <w:t xml:space="preserve">Sanctuary </w:t>
      </w:r>
    </w:p>
    <w:p w14:paraId="0C0234BB" w14:textId="47F1ED5F" w:rsidR="00D26E98" w:rsidRPr="00B378F5" w:rsidRDefault="003A6D7C" w:rsidP="00D26E98">
      <w:pPr>
        <w:pStyle w:val="ListParagraph"/>
        <w:numPr>
          <w:ilvl w:val="0"/>
          <w:numId w:val="3"/>
        </w:numPr>
        <w:suppressAutoHyphens w:val="0"/>
        <w:autoSpaceDN/>
        <w:spacing w:after="0" w:afterAutospacing="0"/>
        <w:textAlignment w:val="auto"/>
        <w:rPr>
          <w:lang w:val="en-US"/>
        </w:rPr>
      </w:pPr>
      <w:r w:rsidRPr="001F52A8">
        <w:t xml:space="preserve">Yahweh </w:t>
      </w:r>
      <w:r w:rsidR="006B1BAF">
        <w:t>W</w:t>
      </w:r>
      <w:r w:rsidRPr="001F52A8">
        <w:t xml:space="preserve">ho </w:t>
      </w:r>
      <w:r w:rsidR="006B1BAF">
        <w:t>W</w:t>
      </w:r>
      <w:r w:rsidRPr="001F52A8">
        <w:t xml:space="preserve">atches a </w:t>
      </w:r>
      <w:r w:rsidR="006B1BAF">
        <w:t>K</w:t>
      </w:r>
      <w:r w:rsidRPr="001F52A8">
        <w:t>ing (2 Samuel 13</w:t>
      </w:r>
      <w:r w:rsidR="009C5AB9">
        <w:t>:1</w:t>
      </w:r>
      <w:r w:rsidRPr="001F52A8">
        <w:t xml:space="preserve"> – 2</w:t>
      </w:r>
      <w:r w:rsidR="004F6E32">
        <w:t>4</w:t>
      </w:r>
      <w:r w:rsidR="009C5AB9">
        <w:t>:25</w:t>
      </w:r>
      <w:r w:rsidRPr="001F52A8">
        <w:t>)</w:t>
      </w:r>
    </w:p>
    <w:p w14:paraId="272C216A" w14:textId="76E35CF7" w:rsidR="00B378F5" w:rsidRPr="00D26E98" w:rsidRDefault="00B378F5" w:rsidP="00B378F5">
      <w:pPr>
        <w:pStyle w:val="ListParagraph"/>
        <w:suppressAutoHyphens w:val="0"/>
        <w:autoSpaceDN/>
        <w:spacing w:after="0" w:afterAutospacing="0"/>
        <w:ind w:left="1080" w:firstLine="0"/>
        <w:textAlignment w:val="auto"/>
        <w:rPr>
          <w:lang w:val="en-US"/>
        </w:rPr>
      </w:pPr>
      <w:r>
        <w:rPr>
          <w:lang w:val="en-US"/>
        </w:rPr>
        <w:t>David’s Victims – How Yahweh Responds to David’s Wrongdoing – What’s Love or Smartness Got to Do with It – The Sword Never Departs – A Famine and an Epidemic – The God of David</w:t>
      </w:r>
    </w:p>
    <w:p w14:paraId="3AD64B95" w14:textId="2A26C03E" w:rsidR="009C2A66" w:rsidRPr="001F327C" w:rsidRDefault="001F327C" w:rsidP="00D26E98">
      <w:pPr>
        <w:pStyle w:val="ListParagraph"/>
        <w:numPr>
          <w:ilvl w:val="0"/>
          <w:numId w:val="3"/>
        </w:numPr>
        <w:suppressAutoHyphens w:val="0"/>
        <w:autoSpaceDN/>
        <w:spacing w:after="0" w:afterAutospacing="0"/>
        <w:textAlignment w:val="auto"/>
        <w:rPr>
          <w:lang w:val="en-US"/>
        </w:rPr>
      </w:pPr>
      <w:r>
        <w:t>Samuel in Its Theological</w:t>
      </w:r>
      <w:r w:rsidR="00D26E98">
        <w:t xml:space="preserve"> Context </w:t>
      </w:r>
      <w:r>
        <w:t>in</w:t>
      </w:r>
      <w:r w:rsidR="00D26E98">
        <w:t xml:space="preserve"> the Scriptures</w:t>
      </w:r>
    </w:p>
    <w:p w14:paraId="2BA9CA4A" w14:textId="3B801D3D" w:rsidR="001F327C" w:rsidRPr="00D26E98" w:rsidRDefault="00B624B5" w:rsidP="001F327C">
      <w:pPr>
        <w:pStyle w:val="ListParagraph"/>
        <w:suppressAutoHyphens w:val="0"/>
        <w:autoSpaceDN/>
        <w:spacing w:after="0" w:afterAutospacing="0"/>
        <w:ind w:left="1080" w:firstLine="0"/>
        <w:textAlignment w:val="auto"/>
        <w:rPr>
          <w:lang w:val="en-US"/>
        </w:rPr>
      </w:pPr>
      <w:r>
        <w:t>Further Reading</w:t>
      </w:r>
    </w:p>
    <w:p w14:paraId="797A7D09" w14:textId="77777777" w:rsidR="003A6D7C" w:rsidRPr="001F52A8" w:rsidRDefault="003A6D7C" w:rsidP="003A6D7C"/>
    <w:p w14:paraId="6A7EC99A" w14:textId="77777777" w:rsidR="000A480E" w:rsidRPr="001F52A8" w:rsidRDefault="000A480E">
      <w:pPr>
        <w:spacing w:after="160"/>
        <w:ind w:firstLine="0"/>
        <w:rPr>
          <w:rFonts w:asciiTheme="majorHAnsi" w:eastAsiaTheme="majorEastAsia" w:hAnsiTheme="majorHAnsi" w:cstheme="majorBidi"/>
          <w:sz w:val="32"/>
          <w:szCs w:val="32"/>
        </w:rPr>
      </w:pPr>
      <w:r w:rsidRPr="001F52A8">
        <w:br w:type="page"/>
      </w:r>
    </w:p>
    <w:p w14:paraId="5DB66656" w14:textId="3980E0D0" w:rsidR="00246E29" w:rsidRPr="001F52A8" w:rsidRDefault="00246E29" w:rsidP="004C6488">
      <w:pPr>
        <w:pStyle w:val="Heading1"/>
      </w:pPr>
      <w:r w:rsidRPr="001F52A8">
        <w:lastRenderedPageBreak/>
        <w:t>Abbreviations</w:t>
      </w:r>
    </w:p>
    <w:p w14:paraId="0F4BEEF6" w14:textId="47000ABC" w:rsidR="006E12EE" w:rsidRDefault="006E12EE" w:rsidP="00246E29">
      <w:pPr>
        <w:pStyle w:val="PlainText"/>
      </w:pPr>
      <w:r>
        <w:t>1Q</w:t>
      </w:r>
      <w:r w:rsidR="003F7A07">
        <w:t>Sam</w:t>
      </w:r>
      <w:r>
        <w:t>, 4Q</w:t>
      </w:r>
      <w:r w:rsidR="003F7A07">
        <w:t>Sam</w:t>
      </w:r>
      <w:r w:rsidR="003F7A07">
        <w:tab/>
      </w:r>
      <w:r w:rsidR="00310CAD">
        <w:t xml:space="preserve">Fragmentary </w:t>
      </w:r>
      <w:r w:rsidR="00740495">
        <w:t>manuscripts</w:t>
      </w:r>
      <w:r w:rsidR="003F7A07">
        <w:t xml:space="preserve"> of Samuel from Qumran Cave 1 and Cave 4</w:t>
      </w:r>
    </w:p>
    <w:p w14:paraId="11E831C9" w14:textId="725057F9" w:rsidR="009C74AC" w:rsidRDefault="009C74AC" w:rsidP="00246E29">
      <w:pPr>
        <w:pStyle w:val="PlainText"/>
      </w:pPr>
      <w:r w:rsidRPr="001F52A8">
        <w:t>AB</w:t>
      </w:r>
      <w:r w:rsidRPr="001F52A8">
        <w:tab/>
      </w:r>
      <w:r w:rsidR="00370FFA">
        <w:tab/>
      </w:r>
      <w:r w:rsidRPr="001F52A8">
        <w:t>The Anchor Bible</w:t>
      </w:r>
    </w:p>
    <w:p w14:paraId="1B2EAD8F" w14:textId="2039476E" w:rsidR="00491DA5" w:rsidRDefault="00491DA5" w:rsidP="00246E29">
      <w:pPr>
        <w:pStyle w:val="PlainText"/>
        <w:rPr>
          <w:rFonts w:ascii="Calibri" w:hAnsi="Calibri" w:cs="Calibri"/>
          <w:i/>
          <w:iCs/>
        </w:rPr>
      </w:pPr>
      <w:r w:rsidRPr="00491DA5">
        <w:rPr>
          <w:i/>
          <w:iCs/>
        </w:rPr>
        <w:t>BibInt</w:t>
      </w:r>
      <w:r>
        <w:tab/>
      </w:r>
      <w:r w:rsidR="00370FFA">
        <w:tab/>
      </w:r>
      <w:r>
        <w:rPr>
          <w:rFonts w:ascii="Calibri" w:hAnsi="Calibri" w:cs="Calibri"/>
          <w:i/>
          <w:iCs/>
        </w:rPr>
        <w:t>Biblical Interpretation</w:t>
      </w:r>
    </w:p>
    <w:p w14:paraId="5EFC44D5" w14:textId="3D4F1073" w:rsidR="003B04BC" w:rsidRPr="003B04BC" w:rsidRDefault="003B04BC" w:rsidP="00246E29">
      <w:pPr>
        <w:pStyle w:val="PlainText"/>
        <w:rPr>
          <w:rFonts w:ascii="Calibri" w:hAnsi="Calibri" w:cs="Calibri"/>
        </w:rPr>
      </w:pPr>
      <w:r>
        <w:rPr>
          <w:rFonts w:ascii="Calibri" w:hAnsi="Calibri" w:cs="Calibri"/>
        </w:rPr>
        <w:t>BZAW</w:t>
      </w:r>
      <w:r>
        <w:rPr>
          <w:rFonts w:ascii="Calibri" w:hAnsi="Calibri" w:cs="Calibri"/>
        </w:rPr>
        <w:tab/>
      </w:r>
      <w:r>
        <w:rPr>
          <w:rFonts w:ascii="Calibri" w:hAnsi="Calibri" w:cs="Calibri"/>
        </w:rPr>
        <w:tab/>
      </w:r>
      <w:r w:rsidRPr="002D6240">
        <w:rPr>
          <w:rStyle w:val="Emphasis"/>
          <w:rFonts w:ascii="Calibri" w:hAnsi="Calibri" w:cs="Calibri"/>
          <w:i w:val="0"/>
          <w:iCs w:val="0"/>
        </w:rPr>
        <w:t>Beihefte zur Zeitschrift für die alttestamentliche Wissenschaft</w:t>
      </w:r>
    </w:p>
    <w:p w14:paraId="60204467" w14:textId="4A594D6E" w:rsidR="00F274A0" w:rsidRDefault="00F274A0" w:rsidP="00246E29">
      <w:pPr>
        <w:pStyle w:val="PlainText"/>
        <w:rPr>
          <w:rFonts w:ascii="Calibri" w:hAnsi="Calibri" w:cs="Calibri"/>
          <w:i/>
          <w:iCs/>
        </w:rPr>
      </w:pPr>
      <w:r>
        <w:rPr>
          <w:rFonts w:ascii="Calibri" w:hAnsi="Calibri" w:cs="Calibri"/>
          <w:i/>
          <w:iCs/>
        </w:rPr>
        <w:t>CBQ</w:t>
      </w:r>
      <w:r>
        <w:rPr>
          <w:rFonts w:ascii="Calibri" w:hAnsi="Calibri" w:cs="Calibri"/>
          <w:i/>
          <w:iCs/>
        </w:rPr>
        <w:tab/>
      </w:r>
      <w:r w:rsidR="00370FFA">
        <w:rPr>
          <w:rFonts w:ascii="Calibri" w:hAnsi="Calibri" w:cs="Calibri"/>
          <w:i/>
          <w:iCs/>
        </w:rPr>
        <w:tab/>
      </w:r>
      <w:r>
        <w:rPr>
          <w:rFonts w:ascii="Calibri" w:hAnsi="Calibri" w:cs="Calibri"/>
          <w:i/>
          <w:iCs/>
        </w:rPr>
        <w:t>Catholic Biblical Quarterly</w:t>
      </w:r>
    </w:p>
    <w:p w14:paraId="3E79AAB5" w14:textId="6DE96DC8" w:rsidR="00317FB4" w:rsidRPr="00317FB4" w:rsidRDefault="00317FB4" w:rsidP="00246E29">
      <w:pPr>
        <w:pStyle w:val="PlainText"/>
        <w:rPr>
          <w:rFonts w:ascii="Calibri" w:hAnsi="Calibri" w:cs="Calibri"/>
        </w:rPr>
      </w:pPr>
      <w:r>
        <w:rPr>
          <w:rFonts w:ascii="Calibri" w:hAnsi="Calibri" w:cs="Calibri"/>
        </w:rPr>
        <w:t>CEB</w:t>
      </w:r>
      <w:r>
        <w:rPr>
          <w:rFonts w:ascii="Calibri" w:hAnsi="Calibri" w:cs="Calibri"/>
        </w:rPr>
        <w:tab/>
      </w:r>
      <w:r>
        <w:rPr>
          <w:rFonts w:ascii="Calibri" w:hAnsi="Calibri" w:cs="Calibri"/>
        </w:rPr>
        <w:tab/>
        <w:t>Common English Bible</w:t>
      </w:r>
    </w:p>
    <w:p w14:paraId="7AB473FD" w14:textId="4115E5C2" w:rsidR="00C6157E" w:rsidRPr="00C6157E" w:rsidRDefault="00C6157E" w:rsidP="00246E29">
      <w:pPr>
        <w:pStyle w:val="PlainText"/>
      </w:pPr>
      <w:r>
        <w:rPr>
          <w:rFonts w:ascii="Calibri" w:hAnsi="Calibri" w:cs="Calibri"/>
        </w:rPr>
        <w:t>Diss.</w:t>
      </w:r>
      <w:r>
        <w:rPr>
          <w:rFonts w:ascii="Calibri" w:hAnsi="Calibri" w:cs="Calibri"/>
        </w:rPr>
        <w:tab/>
      </w:r>
      <w:r>
        <w:rPr>
          <w:rFonts w:ascii="Calibri" w:hAnsi="Calibri" w:cs="Calibri"/>
        </w:rPr>
        <w:tab/>
        <w:t>Dissertation</w:t>
      </w:r>
    </w:p>
    <w:p w14:paraId="473D3FCF" w14:textId="056AF191" w:rsidR="005B6AD2" w:rsidRDefault="005C6493" w:rsidP="00246E29">
      <w:pPr>
        <w:pStyle w:val="PlainText"/>
      </w:pPr>
      <w:r w:rsidRPr="001F52A8">
        <w:t>FOTL</w:t>
      </w:r>
      <w:r w:rsidRPr="001F52A8">
        <w:tab/>
      </w:r>
      <w:r w:rsidR="00370FFA">
        <w:tab/>
      </w:r>
      <w:r w:rsidR="00236210" w:rsidRPr="001F52A8">
        <w:t xml:space="preserve">The </w:t>
      </w:r>
      <w:r w:rsidRPr="001F52A8">
        <w:t>Forms of the Old Testament Literature</w:t>
      </w:r>
    </w:p>
    <w:p w14:paraId="72C20411" w14:textId="575F3DC3" w:rsidR="00A96D60" w:rsidRPr="00A96D60" w:rsidRDefault="00A96D60" w:rsidP="00246E29">
      <w:pPr>
        <w:pStyle w:val="PlainText"/>
        <w:rPr>
          <w:i/>
          <w:iCs/>
        </w:rPr>
      </w:pPr>
      <w:r>
        <w:rPr>
          <w:i/>
          <w:iCs/>
        </w:rPr>
        <w:t>JBL</w:t>
      </w:r>
      <w:r>
        <w:rPr>
          <w:i/>
          <w:iCs/>
        </w:rPr>
        <w:tab/>
      </w:r>
      <w:r>
        <w:rPr>
          <w:i/>
          <w:iCs/>
        </w:rPr>
        <w:tab/>
        <w:t>Journal of Biblical Literature</w:t>
      </w:r>
    </w:p>
    <w:p w14:paraId="1FB8B4B1" w14:textId="1A051201" w:rsidR="00370FFA" w:rsidRPr="00370FFA" w:rsidRDefault="00370FFA" w:rsidP="00246E29">
      <w:pPr>
        <w:pStyle w:val="PlainText"/>
        <w:rPr>
          <w:i/>
          <w:iCs/>
        </w:rPr>
      </w:pPr>
      <w:r>
        <w:rPr>
          <w:i/>
          <w:iCs/>
        </w:rPr>
        <w:t>JSOT</w:t>
      </w:r>
      <w:r>
        <w:rPr>
          <w:i/>
          <w:iCs/>
        </w:rPr>
        <w:tab/>
      </w:r>
      <w:r>
        <w:rPr>
          <w:i/>
          <w:iCs/>
        </w:rPr>
        <w:tab/>
        <w:t>Journal for the Study of the Old Testament</w:t>
      </w:r>
    </w:p>
    <w:p w14:paraId="6F218A02" w14:textId="48A652F2" w:rsidR="00370FFA" w:rsidRDefault="00370FFA" w:rsidP="00246E29">
      <w:pPr>
        <w:pStyle w:val="PlainText"/>
      </w:pPr>
      <w:r>
        <w:rPr>
          <w:rFonts w:cs="Calibri"/>
          <w:color w:val="000000"/>
        </w:rPr>
        <w:t>JSOTSup</w:t>
      </w:r>
      <w:r>
        <w:rPr>
          <w:rFonts w:cs="Calibri"/>
          <w:color w:val="000000"/>
        </w:rPr>
        <w:tab/>
      </w:r>
      <w:r w:rsidR="00DB4BC6" w:rsidRPr="00DB4BC6">
        <w:t>Journal for the Study of the Old Testament</w:t>
      </w:r>
      <w:r w:rsidR="00DB4BC6">
        <w:t xml:space="preserve"> Supplement</w:t>
      </w:r>
    </w:p>
    <w:p w14:paraId="2FC8DFAA" w14:textId="45535175" w:rsidR="00D97651" w:rsidRDefault="00D97651" w:rsidP="00246E29">
      <w:pPr>
        <w:pStyle w:val="PlainText"/>
      </w:pPr>
      <w:r>
        <w:t>KJV</w:t>
      </w:r>
      <w:r>
        <w:tab/>
      </w:r>
      <w:r>
        <w:tab/>
        <w:t>King James Version</w:t>
      </w:r>
      <w:r w:rsidR="00992DE4">
        <w:t xml:space="preserve"> (Authorized Version)</w:t>
      </w:r>
    </w:p>
    <w:p w14:paraId="319222B5" w14:textId="00299158" w:rsidR="00706B49" w:rsidRDefault="00706B49" w:rsidP="00246E29">
      <w:pPr>
        <w:pStyle w:val="PlainText"/>
        <w:rPr>
          <w:rFonts w:cs="Calibri"/>
        </w:rPr>
      </w:pPr>
      <w:r w:rsidRPr="001F52A8">
        <w:rPr>
          <w:rFonts w:cs="Calibri"/>
        </w:rPr>
        <w:t>LHBOTS</w:t>
      </w:r>
      <w:r>
        <w:rPr>
          <w:rFonts w:cs="Calibri"/>
        </w:rPr>
        <w:tab/>
      </w:r>
      <w:r>
        <w:rPr>
          <w:rFonts w:cs="Calibri"/>
        </w:rPr>
        <w:tab/>
      </w:r>
      <w:r w:rsidR="0015380C">
        <w:rPr>
          <w:rFonts w:cs="Calibri"/>
        </w:rPr>
        <w:t>L</w:t>
      </w:r>
      <w:r>
        <w:rPr>
          <w:rFonts w:cs="Calibri"/>
        </w:rPr>
        <w:t>ibrary of Hebrew Bible/Old Testa</w:t>
      </w:r>
      <w:r w:rsidR="0015380C">
        <w:rPr>
          <w:rFonts w:cs="Calibri"/>
        </w:rPr>
        <w:t>m</w:t>
      </w:r>
      <w:r>
        <w:rPr>
          <w:rFonts w:cs="Calibri"/>
        </w:rPr>
        <w:t>ent Studies</w:t>
      </w:r>
    </w:p>
    <w:p w14:paraId="55B98641" w14:textId="67A8AAAE" w:rsidR="00A96D60" w:rsidRDefault="00A96D60" w:rsidP="00246E29">
      <w:pPr>
        <w:pStyle w:val="PlainText"/>
        <w:rPr>
          <w:rFonts w:cs="Calibri"/>
        </w:rPr>
      </w:pPr>
      <w:r>
        <w:rPr>
          <w:rFonts w:cs="Calibri"/>
        </w:rPr>
        <w:t>LXX</w:t>
      </w:r>
      <w:r>
        <w:rPr>
          <w:rFonts w:cs="Calibri"/>
        </w:rPr>
        <w:tab/>
      </w:r>
      <w:r>
        <w:rPr>
          <w:rFonts w:cs="Calibri"/>
        </w:rPr>
        <w:tab/>
        <w:t>Septuagint</w:t>
      </w:r>
    </w:p>
    <w:p w14:paraId="4CA8D3FD" w14:textId="56F07725" w:rsidR="00740495" w:rsidRPr="007A484A" w:rsidRDefault="00740495" w:rsidP="00246E29">
      <w:pPr>
        <w:pStyle w:val="PlainText"/>
      </w:pPr>
      <w:r>
        <w:rPr>
          <w:rFonts w:cs="Calibri"/>
        </w:rPr>
        <w:t>MT</w:t>
      </w:r>
      <w:r>
        <w:rPr>
          <w:rFonts w:cs="Calibri"/>
        </w:rPr>
        <w:tab/>
      </w:r>
      <w:r>
        <w:rPr>
          <w:rFonts w:cs="Calibri"/>
        </w:rPr>
        <w:tab/>
        <w:t>Masoretic Text</w:t>
      </w:r>
    </w:p>
    <w:p w14:paraId="63615FBD" w14:textId="13758F2B" w:rsidR="00414271" w:rsidRDefault="00414271" w:rsidP="00246E29">
      <w:pPr>
        <w:pStyle w:val="PlainText"/>
      </w:pPr>
      <w:r w:rsidRPr="001F52A8">
        <w:t>NICOT</w:t>
      </w:r>
      <w:r w:rsidRPr="001F52A8">
        <w:tab/>
      </w:r>
      <w:r w:rsidR="00FE656A">
        <w:tab/>
      </w:r>
      <w:r w:rsidRPr="001F52A8">
        <w:t>New International Commentary on the Old Testament</w:t>
      </w:r>
    </w:p>
    <w:p w14:paraId="20022D3B" w14:textId="70657935" w:rsidR="00467995" w:rsidRDefault="00467995" w:rsidP="00246E29">
      <w:pPr>
        <w:pStyle w:val="PlainText"/>
      </w:pPr>
      <w:r>
        <w:t>NIV</w:t>
      </w:r>
      <w:r w:rsidR="00917409">
        <w:tab/>
      </w:r>
      <w:r w:rsidR="00917409">
        <w:tab/>
        <w:t>New International Version</w:t>
      </w:r>
    </w:p>
    <w:p w14:paraId="3B831E3A" w14:textId="663D553B" w:rsidR="00917409" w:rsidRDefault="00917409" w:rsidP="00246E29">
      <w:pPr>
        <w:pStyle w:val="PlainText"/>
      </w:pPr>
      <w:r>
        <w:t>NJPS</w:t>
      </w:r>
      <w:r>
        <w:tab/>
      </w:r>
      <w:r>
        <w:tab/>
        <w:t xml:space="preserve">New Jewish Publication Society </w:t>
      </w:r>
      <w:r w:rsidR="001F4868">
        <w:t>T</w:t>
      </w:r>
      <w:r>
        <w:t>ranslation</w:t>
      </w:r>
    </w:p>
    <w:p w14:paraId="03A81383" w14:textId="377FD1D8" w:rsidR="00467995" w:rsidRPr="001F52A8" w:rsidRDefault="00467995" w:rsidP="00246E29">
      <w:pPr>
        <w:pStyle w:val="PlainText"/>
      </w:pPr>
      <w:r>
        <w:t>NRSV</w:t>
      </w:r>
      <w:r w:rsidR="00917409">
        <w:tab/>
      </w:r>
      <w:r w:rsidR="00917409">
        <w:tab/>
        <w:t>New Revised Standard Version</w:t>
      </w:r>
    </w:p>
    <w:p w14:paraId="46911508" w14:textId="392D26AD" w:rsidR="00BE71AF" w:rsidRDefault="00BE71AF" w:rsidP="00246E29">
      <w:pPr>
        <w:pStyle w:val="PlainText"/>
      </w:pPr>
      <w:r w:rsidRPr="001F52A8">
        <w:t>OTL</w:t>
      </w:r>
      <w:r w:rsidRPr="001F52A8">
        <w:tab/>
      </w:r>
      <w:r w:rsidR="00FE656A">
        <w:tab/>
      </w:r>
      <w:r w:rsidRPr="001F52A8">
        <w:t>Old Testament Library</w:t>
      </w:r>
    </w:p>
    <w:p w14:paraId="32C66BE7" w14:textId="2AB43239" w:rsidR="00A67A3F" w:rsidRDefault="00D64C19" w:rsidP="00246E29">
      <w:pPr>
        <w:pStyle w:val="PlainText"/>
        <w:rPr>
          <w:i/>
          <w:iCs/>
        </w:rPr>
      </w:pPr>
      <w:r>
        <w:rPr>
          <w:i/>
          <w:iCs/>
        </w:rPr>
        <w:t>TDOT</w:t>
      </w:r>
      <w:r>
        <w:rPr>
          <w:i/>
          <w:iCs/>
        </w:rPr>
        <w:tab/>
      </w:r>
      <w:r>
        <w:rPr>
          <w:i/>
          <w:iCs/>
        </w:rPr>
        <w:tab/>
        <w:t>Theological Dictionary of the Old Test</w:t>
      </w:r>
      <w:r w:rsidR="001F248B">
        <w:rPr>
          <w:i/>
          <w:iCs/>
        </w:rPr>
        <w:t>ament</w:t>
      </w:r>
    </w:p>
    <w:p w14:paraId="68C57F03" w14:textId="2C7AFDE4" w:rsidR="00A96D60" w:rsidRPr="00A96D60" w:rsidRDefault="00A96D60" w:rsidP="00246E29">
      <w:pPr>
        <w:pStyle w:val="PlainText"/>
      </w:pPr>
      <w:r>
        <w:t>Vg</w:t>
      </w:r>
      <w:r>
        <w:tab/>
      </w:r>
      <w:r>
        <w:tab/>
        <w:t>Vulgate</w:t>
      </w:r>
    </w:p>
    <w:p w14:paraId="764D63BB" w14:textId="608454DD" w:rsidR="00246E29" w:rsidRDefault="00246E29" w:rsidP="00246E29">
      <w:pPr>
        <w:pStyle w:val="PlainText"/>
        <w:rPr>
          <w:i/>
          <w:iCs/>
        </w:rPr>
      </w:pPr>
      <w:r w:rsidRPr="001F52A8">
        <w:rPr>
          <w:i/>
          <w:iCs/>
        </w:rPr>
        <w:t>VT</w:t>
      </w:r>
      <w:r w:rsidRPr="001F52A8">
        <w:rPr>
          <w:i/>
          <w:iCs/>
        </w:rPr>
        <w:tab/>
      </w:r>
      <w:r w:rsidR="00FE656A">
        <w:rPr>
          <w:i/>
          <w:iCs/>
        </w:rPr>
        <w:tab/>
      </w:r>
      <w:r w:rsidRPr="001F52A8">
        <w:rPr>
          <w:i/>
          <w:iCs/>
        </w:rPr>
        <w:t>Vetus Testamentum</w:t>
      </w:r>
    </w:p>
    <w:p w14:paraId="75B079C5" w14:textId="7014551D" w:rsidR="00FE656A" w:rsidRPr="00FE656A" w:rsidRDefault="00FE656A" w:rsidP="00246E29">
      <w:pPr>
        <w:pStyle w:val="PlainText"/>
      </w:pPr>
      <w:r>
        <w:t>VTSup</w:t>
      </w:r>
      <w:r>
        <w:tab/>
      </w:r>
      <w:r>
        <w:tab/>
      </w:r>
      <w:r w:rsidRPr="00FE656A">
        <w:t>Vetus Testamentum</w:t>
      </w:r>
      <w:r>
        <w:t xml:space="preserve"> Supplement</w:t>
      </w:r>
    </w:p>
    <w:p w14:paraId="203D50CC" w14:textId="48F33E1E" w:rsidR="00246E29" w:rsidRDefault="00246E29" w:rsidP="00246E29">
      <w:pPr>
        <w:pStyle w:val="PlainText"/>
      </w:pPr>
      <w:r w:rsidRPr="001F52A8">
        <w:t xml:space="preserve">WBC </w:t>
      </w:r>
      <w:r w:rsidRPr="001F52A8">
        <w:tab/>
      </w:r>
      <w:r w:rsidR="00FE656A">
        <w:tab/>
      </w:r>
      <w:r w:rsidRPr="001F52A8">
        <w:t>Word Biblical Commentary</w:t>
      </w:r>
    </w:p>
    <w:p w14:paraId="36A2CE2E" w14:textId="20E0180F" w:rsidR="005D171C" w:rsidRPr="002F63E3" w:rsidRDefault="00C01E1D" w:rsidP="00246E29">
      <w:pPr>
        <w:pStyle w:val="PlainText"/>
        <w:rPr>
          <w:i/>
          <w:iCs/>
        </w:rPr>
      </w:pPr>
      <w:r>
        <w:rPr>
          <w:i/>
          <w:iCs/>
        </w:rPr>
        <w:t>ZAW</w:t>
      </w:r>
      <w:r>
        <w:rPr>
          <w:i/>
          <w:iCs/>
        </w:rPr>
        <w:tab/>
      </w:r>
      <w:r>
        <w:rPr>
          <w:i/>
          <w:iCs/>
        </w:rPr>
        <w:tab/>
      </w:r>
      <w:r w:rsidRPr="002F63E3">
        <w:rPr>
          <w:rStyle w:val="Heading2Char"/>
          <w:i/>
          <w:iCs/>
          <w:color w:val="auto"/>
          <w:sz w:val="22"/>
          <w:szCs w:val="22"/>
        </w:rPr>
        <w:t>Zeitschrift für die alttestamentliche Wissenschaft</w:t>
      </w:r>
    </w:p>
    <w:p w14:paraId="0691D237" w14:textId="233A4606" w:rsidR="007A6414" w:rsidRDefault="007A6414" w:rsidP="00246E29">
      <w:pPr>
        <w:pStyle w:val="PlainText"/>
      </w:pPr>
    </w:p>
    <w:p w14:paraId="584E16A8" w14:textId="0987EC82" w:rsidR="004F04B1" w:rsidRDefault="00B10367" w:rsidP="00D86163">
      <w:pPr>
        <w:ind w:firstLine="0"/>
      </w:pPr>
      <w:r>
        <w:t>English translations and printed Hebrew Bible</w:t>
      </w:r>
      <w:r w:rsidR="005417B9">
        <w:t>s</w:t>
      </w:r>
      <w:r>
        <w:t xml:space="preserve"> have different versions of the chapter divisions</w:t>
      </w:r>
      <w:r w:rsidR="00161F82">
        <w:t xml:space="preserve"> </w:t>
      </w:r>
      <w:r w:rsidR="00A647F9">
        <w:t>in the Scriptures</w:t>
      </w:r>
      <w:r w:rsidR="00A71E75">
        <w:t xml:space="preserve">, </w:t>
      </w:r>
      <w:r w:rsidR="00161F82">
        <w:t xml:space="preserve">which were introduced into the text in the medieval period. </w:t>
      </w:r>
      <w:r w:rsidR="000171DC">
        <w:t xml:space="preserve">Where necessary, </w:t>
      </w:r>
      <w:r w:rsidR="00161F82">
        <w:t xml:space="preserve">I give the English reference </w:t>
      </w:r>
      <w:r w:rsidR="005A2DD3">
        <w:t xml:space="preserve">first, then </w:t>
      </w:r>
      <w:r w:rsidR="000171DC">
        <w:t xml:space="preserve">in square brackets </w:t>
      </w:r>
      <w:r w:rsidR="005A2DD3">
        <w:t>the equivalent in a printed Hebrew Bible</w:t>
      </w:r>
      <w:r w:rsidR="000B3464">
        <w:t xml:space="preserve">: e.g., </w:t>
      </w:r>
      <w:r w:rsidR="00D86163">
        <w:t xml:space="preserve">2 Sam </w:t>
      </w:r>
      <w:r w:rsidR="000C5EEB" w:rsidRPr="001F52A8">
        <w:t>19:3 [4]</w:t>
      </w:r>
      <w:r w:rsidR="009A2212">
        <w:t>.</w:t>
      </w:r>
    </w:p>
    <w:p w14:paraId="7CEDDCED" w14:textId="77777777" w:rsidR="004F04B1" w:rsidRDefault="004F04B1">
      <w:pPr>
        <w:spacing w:after="160"/>
        <w:ind w:firstLine="0"/>
      </w:pPr>
      <w:r>
        <w:br w:type="page"/>
      </w:r>
    </w:p>
    <w:p w14:paraId="34BB0604" w14:textId="16307CE8" w:rsidR="003A6D7C" w:rsidRPr="001F52A8" w:rsidRDefault="003A6D7C" w:rsidP="00574C70">
      <w:pPr>
        <w:pStyle w:val="Heading1"/>
        <w:numPr>
          <w:ilvl w:val="0"/>
          <w:numId w:val="19"/>
        </w:numPr>
      </w:pPr>
      <w:r w:rsidRPr="001F52A8">
        <w:lastRenderedPageBreak/>
        <w:t>Introduction</w:t>
      </w:r>
    </w:p>
    <w:p w14:paraId="4EC53B9A" w14:textId="77777777" w:rsidR="00D81E72" w:rsidRDefault="009456E9" w:rsidP="002562ED">
      <w:r>
        <w:t xml:space="preserve">First and Second Samuel tell the story of a crucial century </w:t>
      </w:r>
      <w:r w:rsidR="00631A6E">
        <w:t>early in</w:t>
      </w:r>
      <w:r>
        <w:t xml:space="preserve"> Israel</w:t>
      </w:r>
      <w:r w:rsidR="00952067">
        <w:t xml:space="preserve">’s life. </w:t>
      </w:r>
      <w:r w:rsidR="009224FA">
        <w:t xml:space="preserve">After introducing Samuel himself, </w:t>
      </w:r>
      <w:r w:rsidR="002562ED">
        <w:t>they</w:t>
      </w:r>
      <w:r w:rsidR="00885765">
        <w:t xml:space="preserve"> relate </w:t>
      </w:r>
      <w:r w:rsidR="009F2D07">
        <w:t xml:space="preserve">how Saul became king </w:t>
      </w:r>
      <w:r w:rsidR="0036222F">
        <w:t>and failed as king</w:t>
      </w:r>
      <w:r w:rsidR="00F85141">
        <w:t xml:space="preserve">, </w:t>
      </w:r>
      <w:r w:rsidR="00CB2131">
        <w:t xml:space="preserve">and how David became king and </w:t>
      </w:r>
      <w:r w:rsidR="00F85141">
        <w:t>also</w:t>
      </w:r>
      <w:r w:rsidR="009B71F4">
        <w:t xml:space="preserve"> then went through crises. </w:t>
      </w:r>
      <w:r w:rsidR="003A6DB7">
        <w:rPr>
          <w:color w:val="000000"/>
        </w:rPr>
        <w:t>The story</w:t>
      </w:r>
      <w:r w:rsidR="00302ECF" w:rsidRPr="001F52A8">
        <w:t xml:space="preserve"> takes the Israelites from being a loose collection of clans living in homesteads, villages, and small townships, to being a state with a capital and a central government</w:t>
      </w:r>
      <w:r w:rsidR="00302ECF">
        <w:t xml:space="preserve">, </w:t>
      </w:r>
      <w:r w:rsidR="00302ECF" w:rsidRPr="001F52A8">
        <w:t>a king whose son will succeed him</w:t>
      </w:r>
      <w:r w:rsidR="00302ECF">
        <w:t>,</w:t>
      </w:r>
      <w:r w:rsidR="00302ECF" w:rsidRPr="001F52A8">
        <w:t xml:space="preserve"> and prophets who support him and/or confront him</w:t>
      </w:r>
      <w:r w:rsidR="00700E6A">
        <w:t xml:space="preserve">. </w:t>
      </w:r>
      <w:r w:rsidR="00DF311E">
        <w:t>T</w:t>
      </w:r>
      <w:r w:rsidR="00302ECF" w:rsidRPr="001F52A8">
        <w:t>he</w:t>
      </w:r>
      <w:r w:rsidR="009B2C01">
        <w:t>y</w:t>
      </w:r>
      <w:r w:rsidR="00302ECF" w:rsidRPr="001F52A8">
        <w:t xml:space="preserve"> shar</w:t>
      </w:r>
      <w:r w:rsidR="00DF311E">
        <w:t>e</w:t>
      </w:r>
      <w:r w:rsidR="00302ECF" w:rsidRPr="001F52A8">
        <w:t xml:space="preserve"> a relationship with the</w:t>
      </w:r>
      <w:r w:rsidR="00DF311E">
        <w:t>ir</w:t>
      </w:r>
      <w:r w:rsidR="00302ECF" w:rsidRPr="001F52A8">
        <w:t xml:space="preserve"> God</w:t>
      </w:r>
      <w:r w:rsidR="000A22AC">
        <w:t xml:space="preserve"> who </w:t>
      </w:r>
      <w:r w:rsidR="000A22AC" w:rsidRPr="001F52A8">
        <w:t>lives among them</w:t>
      </w:r>
      <w:r w:rsidR="001C55CC">
        <w:t>.</w:t>
      </w:r>
      <w:r w:rsidR="00302ECF" w:rsidRPr="001F52A8">
        <w:t xml:space="preserve"> </w:t>
      </w:r>
      <w:r w:rsidR="001C55CC">
        <w:t>At the beginning of the story</w:t>
      </w:r>
      <w:r w:rsidR="001C55CC" w:rsidRPr="001F52A8">
        <w:t xml:space="preserve"> </w:t>
      </w:r>
      <w:r w:rsidR="001C55CC">
        <w:t xml:space="preserve">he is living </w:t>
      </w:r>
      <w:r w:rsidR="00302ECF" w:rsidRPr="001F52A8">
        <w:t>above the “covenant chest” (the “ark”)</w:t>
      </w:r>
      <w:r w:rsidR="00AA70E5">
        <w:t xml:space="preserve"> </w:t>
      </w:r>
      <w:r w:rsidR="00D4297E">
        <w:t>in</w:t>
      </w:r>
      <w:r w:rsidR="00AA70E5" w:rsidRPr="001F52A8">
        <w:t xml:space="preserve"> a sanctuary</w:t>
      </w:r>
      <w:r w:rsidR="00D4297E">
        <w:t xml:space="preserve"> at Shiloh</w:t>
      </w:r>
      <w:r w:rsidR="00302ECF" w:rsidRPr="001F52A8">
        <w:t xml:space="preserve">; </w:t>
      </w:r>
      <w:r w:rsidR="005E3B79">
        <w:t>by</w:t>
      </w:r>
      <w:r w:rsidR="00302ECF" w:rsidRPr="001F52A8">
        <w:t xml:space="preserve"> the end of the story the sanctuary has come to be in the capital city and their king is planning to build a temple there. At the beginning of the story they are under pressure from the Philistines to the west and north; </w:t>
      </w:r>
      <w:r w:rsidR="005E3B79">
        <w:t>at</w:t>
      </w:r>
      <w:r w:rsidR="00302ECF" w:rsidRPr="001F52A8">
        <w:t xml:space="preserve"> the end of the story they are in control of </w:t>
      </w:r>
      <w:r w:rsidR="00353DCF">
        <w:t>an</w:t>
      </w:r>
      <w:r w:rsidR="00302ECF" w:rsidRPr="001F52A8">
        <w:t xml:space="preserve"> area correspond</w:t>
      </w:r>
      <w:r w:rsidR="00706857">
        <w:t>ing</w:t>
      </w:r>
      <w:r w:rsidR="00302ECF" w:rsidRPr="001F52A8">
        <w:t xml:space="preserve"> to the modern bounds of Israel and Palestine</w:t>
      </w:r>
      <w:r w:rsidR="00302ECF">
        <w:t xml:space="preserve"> along with</w:t>
      </w:r>
      <w:r w:rsidR="00302ECF" w:rsidRPr="001F52A8">
        <w:t xml:space="preserve"> much of what is now Jordan and Syria. These epoch-making developments take place over a period of a few decades, the reign of two kings, maybe from about 10</w:t>
      </w:r>
      <w:r w:rsidR="001C2734">
        <w:t>70</w:t>
      </w:r>
      <w:r w:rsidR="00302ECF" w:rsidRPr="001F52A8">
        <w:t xml:space="preserve"> BC to about 970 BC. </w:t>
      </w:r>
      <w:r w:rsidR="00286BFC">
        <w:t>T</w:t>
      </w:r>
      <w:r w:rsidR="00302ECF" w:rsidRPr="001F52A8">
        <w:t>he focus of the story does not lie simply on these developments but on the human and family processes and events associated with them – the family origins of the first prophet, the conflicts between the first king and his apparent rival, and the family conflicts of this rival when he becomes the second king.</w:t>
      </w:r>
      <w:r w:rsidR="00700E6A">
        <w:t xml:space="preserve"> </w:t>
      </w:r>
    </w:p>
    <w:p w14:paraId="0C44870B" w14:textId="748A18E5" w:rsidR="00700E6A" w:rsidRDefault="00700E6A" w:rsidP="008D476A">
      <w:r>
        <w:t>T</w:t>
      </w:r>
      <w:r w:rsidR="001E5099">
        <w:t>hree</w:t>
      </w:r>
      <w:r>
        <w:t xml:space="preserve"> related theological paradoxes emerge from this </w:t>
      </w:r>
      <w:r w:rsidR="00AB1F06">
        <w:t>process</w:t>
      </w:r>
      <w:r>
        <w:t xml:space="preserve"> and constitute central features of the theology of Samuel. Yahweh is ambivalent about the introduction of a monarchy that made this development possible. </w:t>
      </w:r>
      <w:r w:rsidR="008D476A">
        <w:t xml:space="preserve">Events involve Yahweh’s activity and also human initiative. </w:t>
      </w:r>
      <w:r w:rsidR="008015BF">
        <w:t>And b</w:t>
      </w:r>
      <w:r>
        <w:t>oth the first two kings whom Yahweh chose were religiously and morally ambiguous characters.</w:t>
      </w:r>
      <w:r w:rsidR="003B187D">
        <w:t xml:space="preserve"> </w:t>
      </w:r>
    </w:p>
    <w:p w14:paraId="53E5C5C5" w14:textId="1C765985" w:rsidR="002E3333" w:rsidRPr="00C148D9" w:rsidRDefault="002E3333" w:rsidP="002E3333">
      <w:pPr>
        <w:rPr>
          <w:color w:val="000000"/>
        </w:rPr>
      </w:pPr>
      <w:r>
        <w:t>Whereas</w:t>
      </w:r>
      <w:r w:rsidRPr="001F52A8">
        <w:t xml:space="preserve"> </w:t>
      </w:r>
      <w:r w:rsidR="00BF25D8">
        <w:t xml:space="preserve">First and Second Samuel </w:t>
      </w:r>
      <w:r>
        <w:t xml:space="preserve">appear as two books in modern Hebrew and English Bibles, the Babylonian Talmud </w:t>
      </w:r>
      <w:r w:rsidRPr="001F52A8">
        <w:t>(</w:t>
      </w:r>
      <w:r w:rsidRPr="001F52A8">
        <w:rPr>
          <w:i/>
          <w:iCs/>
        </w:rPr>
        <w:t xml:space="preserve">Baba Batra </w:t>
      </w:r>
      <w:r w:rsidRPr="001F52A8">
        <w:t>14b)</w:t>
      </w:r>
      <w:r>
        <w:t xml:space="preserve"> refers to Samuel as one book, and it is one book in Hebrew manuscripts, including the Masoretic Text. </w:t>
      </w:r>
      <w:r w:rsidRPr="001F52A8">
        <w:t xml:space="preserve">First Samuel is a </w:t>
      </w:r>
      <w:r>
        <w:t>coherent</w:t>
      </w:r>
      <w:r w:rsidRPr="001F52A8">
        <w:t xml:space="preserve"> unit with a </w:t>
      </w:r>
      <w:r>
        <w:t xml:space="preserve">proper </w:t>
      </w:r>
      <w:r w:rsidRPr="001F52A8">
        <w:t>beginning (Samuel’s birth) and</w:t>
      </w:r>
      <w:r>
        <w:t xml:space="preserve"> a meaningful </w:t>
      </w:r>
      <w:r w:rsidRPr="001F52A8">
        <w:t xml:space="preserve">end (Saul’s death), “but </w:t>
      </w:r>
      <w:r w:rsidRPr="001F52A8">
        <w:rPr>
          <w:color w:val="000000"/>
        </w:rPr>
        <w:t>when read together with 2 Samuel these elements increasingly appear in retrospect to have been a tragic episode en route to something else.”</w:t>
      </w:r>
      <w:r w:rsidRPr="001F52A8">
        <w:rPr>
          <w:rStyle w:val="FootnoteReference"/>
          <w:color w:val="000000"/>
        </w:rPr>
        <w:footnoteReference w:id="1"/>
      </w:r>
      <w:r>
        <w:rPr>
          <w:color w:val="000000"/>
        </w:rPr>
        <w:t xml:space="preserve"> </w:t>
      </w:r>
      <w:r>
        <w:t>I</w:t>
      </w:r>
      <w:r w:rsidRPr="001F52A8">
        <w:t xml:space="preserve">f one were to attach </w:t>
      </w:r>
      <w:r>
        <w:t>a single</w:t>
      </w:r>
      <w:r w:rsidRPr="001F52A8">
        <w:t xml:space="preserve"> name to </w:t>
      </w:r>
      <w:r>
        <w:t>the entire work</w:t>
      </w:r>
      <w:r w:rsidRPr="001F52A8">
        <w:t xml:space="preserve"> as its subject it would be David.</w:t>
      </w:r>
      <w:r w:rsidRPr="001F52A8">
        <w:rPr>
          <w:rStyle w:val="FootnoteReference"/>
        </w:rPr>
        <w:footnoteReference w:id="2"/>
      </w:r>
      <w:r>
        <w:t xml:space="preserve"> This volume thus studies “Samuel” as a whole; the context should make clear when Samuel refers to the book and when it refers to the prophet Samuel. </w:t>
      </w:r>
      <w:r w:rsidRPr="001F52A8">
        <w:t>Th</w:t>
      </w:r>
      <w:r w:rsidR="00134B50">
        <w:t>e</w:t>
      </w:r>
      <w:r>
        <w:t xml:space="preserve"> </w:t>
      </w:r>
      <w:r w:rsidRPr="001F52A8">
        <w:t>division between Samuel and Kings is slightly odd</w:t>
      </w:r>
      <w:r>
        <w:t>, as</w:t>
      </w:r>
      <w:r w:rsidRPr="001F52A8">
        <w:t xml:space="preserve"> </w:t>
      </w:r>
      <w:r>
        <w:t>i</w:t>
      </w:r>
      <w:r w:rsidRPr="001F52A8">
        <w:t>t is 1 Kings 1 – 2 that brings the David story to an end. Kings</w:t>
      </w:r>
      <w:r>
        <w:t xml:space="preserve"> </w:t>
      </w:r>
      <w:r w:rsidRPr="001F52A8">
        <w:t>lead</w:t>
      </w:r>
      <w:r>
        <w:t>s</w:t>
      </w:r>
      <w:r w:rsidRPr="001F52A8">
        <w:t xml:space="preserve"> seamlessly on from Samuel</w:t>
      </w:r>
      <w:r w:rsidR="00F4650A">
        <w:t>, and t</w:t>
      </w:r>
      <w:r w:rsidRPr="001F52A8">
        <w:t>he Septuagint is onto something when it describes Samuel-Kings as the “Four Books of Reigns</w:t>
      </w:r>
      <w:r>
        <w:t>.</w:t>
      </w:r>
      <w:r w:rsidR="00733507">
        <w:t>”</w:t>
      </w:r>
      <w:r w:rsidRPr="001F52A8">
        <w:t xml:space="preserve"> But 2 Samuel does come to a conclusion of its own</w:t>
      </w:r>
      <w:r>
        <w:t>,</w:t>
      </w:r>
      <w:r w:rsidRPr="001F52A8">
        <w:t xml:space="preserve"> and 1 Kings 1 – 2 is the beginning of Solomon’s story</w:t>
      </w:r>
      <w:r>
        <w:t xml:space="preserve"> as well as the end of David’s</w:t>
      </w:r>
      <w:r w:rsidRPr="001F52A8">
        <w:t>.</w:t>
      </w:r>
    </w:p>
    <w:p w14:paraId="2CAB1125" w14:textId="4EB15AD4" w:rsidR="006766E2" w:rsidRDefault="004D5AE4" w:rsidP="003A31FA">
      <w:r>
        <w:t>Like</w:t>
      </w:r>
      <w:r w:rsidR="006766E2">
        <w:t xml:space="preserve"> most of the Scriptures, </w:t>
      </w:r>
      <w:r w:rsidR="00F820D2">
        <w:t>Samuel</w:t>
      </w:r>
      <w:r>
        <w:t xml:space="preserve"> </w:t>
      </w:r>
      <w:r w:rsidR="00654B12">
        <w:t>is</w:t>
      </w:r>
      <w:r>
        <w:t xml:space="preserve"> anonymous</w:t>
      </w:r>
      <w:r w:rsidR="006766E2">
        <w:t xml:space="preserve">, </w:t>
      </w:r>
      <w:r w:rsidR="00BB1624">
        <w:t>and</w:t>
      </w:r>
      <w:r w:rsidR="006766E2">
        <w:t xml:space="preserve"> we can </w:t>
      </w:r>
      <w:r w:rsidR="00654B12">
        <w:t xml:space="preserve">only </w:t>
      </w:r>
      <w:r w:rsidR="006766E2">
        <w:t xml:space="preserve">make informed guesses </w:t>
      </w:r>
      <w:r w:rsidR="00916A4D">
        <w:t xml:space="preserve">about the </w:t>
      </w:r>
      <w:r w:rsidR="00926DE3">
        <w:t>process whereby it came into being.</w:t>
      </w:r>
    </w:p>
    <w:p w14:paraId="0CD7DEBD" w14:textId="5088BD38" w:rsidR="00216150" w:rsidRDefault="00216150" w:rsidP="003A31FA"/>
    <w:p w14:paraId="6E667E5F" w14:textId="354FB6E8" w:rsidR="008E697A" w:rsidRDefault="00926DE3" w:rsidP="008E697A">
      <w:pPr>
        <w:pStyle w:val="ListParagraph"/>
        <w:numPr>
          <w:ilvl w:val="0"/>
          <w:numId w:val="16"/>
        </w:numPr>
        <w:ind w:left="720"/>
      </w:pPr>
      <w:r>
        <w:t>The Talmud</w:t>
      </w:r>
      <w:r w:rsidR="00883C08">
        <w:t xml:space="preserve"> </w:t>
      </w:r>
      <w:r w:rsidR="00BD6BDF" w:rsidRPr="001F52A8">
        <w:t>(</w:t>
      </w:r>
      <w:r w:rsidR="00BD6BDF" w:rsidRPr="001F52A8">
        <w:rPr>
          <w:i/>
          <w:iCs/>
        </w:rPr>
        <w:t xml:space="preserve">Baba Batra </w:t>
      </w:r>
      <w:r w:rsidR="00BD6BDF" w:rsidRPr="001F52A8">
        <w:t>1</w:t>
      </w:r>
      <w:r w:rsidR="00BD6BDF">
        <w:t xml:space="preserve">5a) </w:t>
      </w:r>
      <w:r w:rsidR="006A2E0A">
        <w:t xml:space="preserve">goes on to </w:t>
      </w:r>
      <w:r w:rsidR="00983C27" w:rsidRPr="001F52A8">
        <w:t xml:space="preserve">name Samuel as the book’s author, but then qualifies that statement </w:t>
      </w:r>
      <w:r w:rsidR="00DE1180">
        <w:t>by adding</w:t>
      </w:r>
      <w:r w:rsidR="00983C27" w:rsidRPr="001F52A8">
        <w:t xml:space="preserve"> that Gad and Nathan completed the work after Samuel’s death.</w:t>
      </w:r>
      <w:r w:rsidR="00476DC3" w:rsidRPr="001F52A8">
        <w:t xml:space="preserve"> </w:t>
      </w:r>
      <w:r w:rsidR="00D56043">
        <w:t>Samuel</w:t>
      </w:r>
      <w:r w:rsidR="00476DC3" w:rsidRPr="001F52A8">
        <w:t xml:space="preserve"> is a key figure in </w:t>
      </w:r>
      <w:r w:rsidR="00476DC3">
        <w:t>the book</w:t>
      </w:r>
      <w:r w:rsidR="00476DC3" w:rsidRPr="001F52A8">
        <w:t xml:space="preserve"> as the person who anoints first Saul and then Davi</w:t>
      </w:r>
      <w:r w:rsidR="00B1540F">
        <w:t xml:space="preserve">d. </w:t>
      </w:r>
      <w:r w:rsidR="007E0037">
        <w:t>T</w:t>
      </w:r>
      <w:r w:rsidR="005335E2">
        <w:t xml:space="preserve">here is hard information in the book that would need to go back to </w:t>
      </w:r>
      <w:r w:rsidR="0011096B">
        <w:t xml:space="preserve">the time of David and Solomon, </w:t>
      </w:r>
      <w:r w:rsidR="007E0037">
        <w:t>and</w:t>
      </w:r>
      <w:r w:rsidR="0011096B">
        <w:t xml:space="preserve"> </w:t>
      </w:r>
      <w:r w:rsidR="0011096B">
        <w:lastRenderedPageBreak/>
        <w:t xml:space="preserve">one can imagine that </w:t>
      </w:r>
      <w:r w:rsidR="00413FCA">
        <w:t xml:space="preserve">people in that time would be interested </w:t>
      </w:r>
      <w:r w:rsidR="0076237D">
        <w:t xml:space="preserve">in having </w:t>
      </w:r>
      <w:r w:rsidR="00413FCA">
        <w:t xml:space="preserve">an account of how the monarchy came into being and </w:t>
      </w:r>
      <w:r w:rsidR="00086C67">
        <w:t>how David and Solomon came to the throne.</w:t>
      </w:r>
      <w:r w:rsidR="001A0878" w:rsidRPr="001F52A8">
        <w:rPr>
          <w:rStyle w:val="FootnoteReference"/>
        </w:rPr>
        <w:footnoteReference w:id="3"/>
      </w:r>
      <w:r w:rsidR="003530D2">
        <w:t xml:space="preserve"> </w:t>
      </w:r>
      <w:r w:rsidR="008E7FB4">
        <w:t>S</w:t>
      </w:r>
      <w:r w:rsidR="00722793">
        <w:t xml:space="preserve">cholarly theories </w:t>
      </w:r>
      <w:r w:rsidR="008E7FB4">
        <w:t xml:space="preserve">have inferred that </w:t>
      </w:r>
      <w:r w:rsidR="00310076">
        <w:t xml:space="preserve">from that time </w:t>
      </w:r>
      <w:r w:rsidR="00BC5461">
        <w:t xml:space="preserve">there </w:t>
      </w:r>
      <w:r w:rsidR="008E7FB4">
        <w:t>were indeed</w:t>
      </w:r>
      <w:r w:rsidR="00BC5461">
        <w:t xml:space="preserve"> </w:t>
      </w:r>
      <w:r w:rsidR="00E55469">
        <w:t xml:space="preserve">accounts of Samuel, of the </w:t>
      </w:r>
      <w:r w:rsidR="006469DB">
        <w:t xml:space="preserve">adventures of the covenant chest, of the rise of David, and of the </w:t>
      </w:r>
      <w:r w:rsidR="002437BC">
        <w:t xml:space="preserve">story of David’s </w:t>
      </w:r>
      <w:r w:rsidR="00F41BC9">
        <w:t xml:space="preserve">family </w:t>
      </w:r>
      <w:r w:rsidR="000663FB">
        <w:t>that w</w:t>
      </w:r>
      <w:r w:rsidR="00D376F4">
        <w:t>as background to</w:t>
      </w:r>
      <w:r w:rsidR="000663FB">
        <w:t xml:space="preserve"> Solomon</w:t>
      </w:r>
      <w:r w:rsidR="00D376F4">
        <w:t>’s</w:t>
      </w:r>
      <w:r w:rsidR="000663FB">
        <w:t xml:space="preserve"> succeed</w:t>
      </w:r>
      <w:r w:rsidR="00D376F4">
        <w:t>ing</w:t>
      </w:r>
      <w:r w:rsidR="000663FB">
        <w:t xml:space="preserve"> him, </w:t>
      </w:r>
      <w:r w:rsidR="0063010A">
        <w:t>accounts that were</w:t>
      </w:r>
      <w:r w:rsidR="00F41BC9">
        <w:t xml:space="preserve"> incorporated </w:t>
      </w:r>
      <w:r w:rsidR="00BC5461">
        <w:t>in</w:t>
      </w:r>
      <w:r w:rsidR="0063010A">
        <w:t>to</w:t>
      </w:r>
      <w:r w:rsidR="00BC5461">
        <w:t xml:space="preserve"> the book as we have it.</w:t>
      </w:r>
    </w:p>
    <w:p w14:paraId="66D2DBDA" w14:textId="7CCB324E" w:rsidR="00086C67" w:rsidRDefault="001176A9" w:rsidP="004B53FC">
      <w:pPr>
        <w:pStyle w:val="ListParagraph"/>
        <w:numPr>
          <w:ilvl w:val="0"/>
          <w:numId w:val="16"/>
        </w:numPr>
        <w:ind w:left="720"/>
      </w:pPr>
      <w:r w:rsidRPr="001F52A8">
        <w:t xml:space="preserve">The nearest thing in the scroll to a concrete clue about its origin lies in its references to things that </w:t>
      </w:r>
      <w:r w:rsidR="003120B2">
        <w:t>re</w:t>
      </w:r>
      <w:r w:rsidR="00787468">
        <w:t>main</w:t>
      </w:r>
      <w:r w:rsidRPr="001F52A8">
        <w:t xml:space="preserve"> true “</w:t>
      </w:r>
      <w:r w:rsidR="00A7041C">
        <w:t>now” or “</w:t>
      </w:r>
      <w:r w:rsidRPr="001F52A8">
        <w:t xml:space="preserve">today” (1 Sam 5:5; 6:18; </w:t>
      </w:r>
      <w:r w:rsidR="00A7041C">
        <w:t xml:space="preserve">9:9; </w:t>
      </w:r>
      <w:r w:rsidRPr="001F52A8">
        <w:t xml:space="preserve">27:6; 30:25; 2 Sam 4:3; 6:8; 18:18), but they </w:t>
      </w:r>
      <w:r w:rsidR="00787468">
        <w:t>do</w:t>
      </w:r>
      <w:r w:rsidRPr="001F52A8">
        <w:t xml:space="preserve"> no</w:t>
      </w:r>
      <w:r w:rsidR="00787468">
        <w:t>t</w:t>
      </w:r>
      <w:r w:rsidRPr="001F52A8">
        <w:t xml:space="preserve"> indicat</w:t>
      </w:r>
      <w:r w:rsidR="00787468">
        <w:t>e</w:t>
      </w:r>
      <w:r w:rsidRPr="001F52A8">
        <w:t xml:space="preserve"> when </w:t>
      </w:r>
      <w:r w:rsidR="00A7041C">
        <w:t xml:space="preserve">“now” or </w:t>
      </w:r>
      <w:r w:rsidRPr="001F52A8">
        <w:t xml:space="preserve">“today” </w:t>
      </w:r>
      <w:r w:rsidR="00232311">
        <w:t>i</w:t>
      </w:r>
      <w:r w:rsidRPr="001F52A8">
        <w:t>s</w:t>
      </w:r>
      <w:r w:rsidR="00232311">
        <w:t>,</w:t>
      </w:r>
      <w:r w:rsidRPr="001F52A8">
        <w:t xml:space="preserve"> except </w:t>
      </w:r>
      <w:r w:rsidR="00211AC3">
        <w:t>in</w:t>
      </w:r>
      <w:r w:rsidRPr="001F52A8">
        <w:t xml:space="preserve"> </w:t>
      </w:r>
      <w:r w:rsidR="002E11D9">
        <w:t>one</w:t>
      </w:r>
      <w:r w:rsidRPr="001F52A8">
        <w:t xml:space="preserve"> reference to the kings of Judah (1 Sam 27:6). This note, then, comes from </w:t>
      </w:r>
      <w:r w:rsidR="003D51DF">
        <w:t xml:space="preserve">a time </w:t>
      </w:r>
      <w:r w:rsidR="00161065">
        <w:t>after</w:t>
      </w:r>
      <w:r w:rsidR="00D644A0">
        <w:t xml:space="preserve"> </w:t>
      </w:r>
      <w:r w:rsidRPr="001F52A8">
        <w:t>the split between Ephraim and Judah after Solomon’s day</w:t>
      </w:r>
      <w:r w:rsidR="00D644A0">
        <w:t xml:space="preserve"> and</w:t>
      </w:r>
      <w:r w:rsidR="00BC3FCC">
        <w:t xml:space="preserve"> </w:t>
      </w:r>
      <w:r w:rsidRPr="001F52A8">
        <w:t xml:space="preserve">before the end of the Judahite monarchy in 587. </w:t>
      </w:r>
      <w:r w:rsidR="007A57C2">
        <w:t>T</w:t>
      </w:r>
      <w:r w:rsidR="00792ECD">
        <w:t>heologians</w:t>
      </w:r>
      <w:r w:rsidR="001D64CB">
        <w:t xml:space="preserve"> with a “prophetic” outlook in the time of Isaiah or Jeremiah might </w:t>
      </w:r>
      <w:r w:rsidR="00347F57">
        <w:t xml:space="preserve">have generated a version of </w:t>
      </w:r>
      <w:r w:rsidR="0008370D">
        <w:t>the</w:t>
      </w:r>
      <w:r w:rsidR="00347F57">
        <w:t xml:space="preserve"> story</w:t>
      </w:r>
      <w:r w:rsidR="0008370D">
        <w:t xml:space="preserve"> of the monarchy’s </w:t>
      </w:r>
      <w:r w:rsidR="00E940C5">
        <w:t>history</w:t>
      </w:r>
      <w:r w:rsidR="00DC6739">
        <w:t xml:space="preserve"> that incorporated thos earlier materials</w:t>
      </w:r>
      <w:r w:rsidR="00347F57">
        <w:t>.</w:t>
      </w:r>
      <w:r w:rsidR="00194F19">
        <w:rPr>
          <w:rStyle w:val="FootnoteReference"/>
        </w:rPr>
        <w:footnoteReference w:id="4"/>
      </w:r>
      <w:r w:rsidR="007924B2">
        <w:t xml:space="preserve"> </w:t>
      </w:r>
      <w:r w:rsidR="00205D3E">
        <w:t xml:space="preserve">In </w:t>
      </w:r>
      <w:r w:rsidR="00531551">
        <w:t>Jewish thinking, Samuel is part of “The Former Prophets</w:t>
      </w:r>
      <w:r w:rsidR="007C74B9">
        <w:t>,</w:t>
      </w:r>
      <w:r w:rsidR="00531551">
        <w:t xml:space="preserve">” </w:t>
      </w:r>
      <w:r w:rsidR="007C74B9">
        <w:t>while a</w:t>
      </w:r>
      <w:r w:rsidR="007924B2">
        <w:t xml:space="preserve">n influential scholarly theory </w:t>
      </w:r>
      <w:r w:rsidR="000B3FD1">
        <w:t>links</w:t>
      </w:r>
      <w:r w:rsidR="007924B2">
        <w:t xml:space="preserve"> a first edition </w:t>
      </w:r>
      <w:r w:rsidR="000B3FD1">
        <w:t xml:space="preserve">of the </w:t>
      </w:r>
      <w:r w:rsidR="00047078">
        <w:t>narrativ</w:t>
      </w:r>
      <w:r w:rsidR="007C74B9">
        <w:t>e as a whole</w:t>
      </w:r>
      <w:r w:rsidR="000B3FD1">
        <w:t xml:space="preserve"> with the time of King Josiah, the late seventh century.</w:t>
      </w:r>
      <w:r w:rsidR="008A697E">
        <w:rPr>
          <w:rStyle w:val="FootnoteReference"/>
        </w:rPr>
        <w:footnoteReference w:id="5"/>
      </w:r>
    </w:p>
    <w:p w14:paraId="54622304" w14:textId="320F5828" w:rsidR="00300AA5" w:rsidRDefault="00E12B71" w:rsidP="00210C1F">
      <w:pPr>
        <w:pStyle w:val="ListParagraph"/>
        <w:numPr>
          <w:ilvl w:val="0"/>
          <w:numId w:val="16"/>
        </w:numPr>
        <w:ind w:left="720"/>
      </w:pPr>
      <w:r>
        <w:t xml:space="preserve">The </w:t>
      </w:r>
      <w:r w:rsidR="00BC1E5B" w:rsidRPr="001F52A8">
        <w:t xml:space="preserve">next nearest thing to a clue is </w:t>
      </w:r>
      <w:r w:rsidR="00BC1E5B">
        <w:t xml:space="preserve">the </w:t>
      </w:r>
      <w:r w:rsidR="001948A4">
        <w:t>narrative</w:t>
      </w:r>
      <w:r w:rsidR="00210C1F">
        <w:t>’s</w:t>
      </w:r>
      <w:r w:rsidR="00C85957">
        <w:t xml:space="preserve"> </w:t>
      </w:r>
      <w:r w:rsidR="001948A4">
        <w:t>rais</w:t>
      </w:r>
      <w:r w:rsidR="00210C1F">
        <w:t>ing</w:t>
      </w:r>
      <w:r w:rsidR="001948A4">
        <w:t xml:space="preserve"> the question of who will succeed David and build the temple</w:t>
      </w:r>
      <w:r w:rsidR="00D4137A">
        <w:t>,</w:t>
      </w:r>
      <w:r w:rsidR="001948A4">
        <w:t xml:space="preserve"> but n</w:t>
      </w:r>
      <w:r w:rsidR="00210C1F">
        <w:t>o</w:t>
      </w:r>
      <w:r w:rsidR="001948A4">
        <w:t>t answer</w:t>
      </w:r>
      <w:r w:rsidR="00210C1F">
        <w:t>ing</w:t>
      </w:r>
      <w:r w:rsidR="001948A4">
        <w:t xml:space="preserve"> it</w:t>
      </w:r>
      <w:r w:rsidR="00210C1F">
        <w:t>, and</w:t>
      </w:r>
      <w:r w:rsidR="00C85957">
        <w:t xml:space="preserve"> </w:t>
      </w:r>
      <w:r w:rsidR="001948A4">
        <w:t>leav</w:t>
      </w:r>
      <w:r w:rsidR="00210C1F">
        <w:t>ing</w:t>
      </w:r>
      <w:r w:rsidR="001948A4">
        <w:t xml:space="preserve"> the story of David hanging in mid</w:t>
      </w:r>
      <w:r w:rsidR="00364FF1">
        <w:t>-</w:t>
      </w:r>
      <w:r w:rsidR="00C63BA2">
        <w:t xml:space="preserve">air. </w:t>
      </w:r>
      <w:r w:rsidR="00AF5166">
        <w:t>O</w:t>
      </w:r>
      <w:r w:rsidR="00BC1E5B" w:rsidRPr="001F52A8">
        <w:t xml:space="preserve">ther points of connection suggest that Samuel is written in a way that makes links with what will follow in Kings. </w:t>
      </w:r>
      <w:r w:rsidR="00D05ACD">
        <w:t xml:space="preserve">The Septuagint’s </w:t>
      </w:r>
      <w:r w:rsidR="00616C9C">
        <w:t>seeing them as the four book</w:t>
      </w:r>
      <w:r w:rsidR="00DB46DD">
        <w:t>s</w:t>
      </w:r>
      <w:r w:rsidR="004E64A5">
        <w:t xml:space="preserve"> of Reigns </w:t>
      </w:r>
      <w:r w:rsidR="005911C9">
        <w:t xml:space="preserve">coheres with the </w:t>
      </w:r>
      <w:r w:rsidR="00DD161E">
        <w:t>possibility</w:t>
      </w:r>
      <w:r w:rsidR="009C0300" w:rsidRPr="001F52A8">
        <w:t xml:space="preserve"> of </w:t>
      </w:r>
      <w:r w:rsidR="00BD5DEE">
        <w:t xml:space="preserve">seeing </w:t>
      </w:r>
      <w:r w:rsidR="009C0300" w:rsidRPr="001F52A8">
        <w:t>Samuel</w:t>
      </w:r>
      <w:r w:rsidR="00B619BC">
        <w:t xml:space="preserve"> and </w:t>
      </w:r>
      <w:r w:rsidR="009C0300" w:rsidRPr="001F52A8">
        <w:t>Kings as a two-part work tell</w:t>
      </w:r>
      <w:r w:rsidR="00904B51">
        <w:t>ing</w:t>
      </w:r>
      <w:r w:rsidR="009C0300" w:rsidRPr="001F52A8">
        <w:t xml:space="preserve"> the story of the monarchic period as a whole from its beginnings to its caesura in 587</w:t>
      </w:r>
      <w:r w:rsidR="00AA39FB">
        <w:t>.</w:t>
      </w:r>
      <w:r w:rsidR="009C0300" w:rsidRPr="001F52A8">
        <w:t xml:space="preserve"> </w:t>
      </w:r>
      <w:r w:rsidR="007049B3">
        <w:t>Perhaps</w:t>
      </w:r>
      <w:r w:rsidR="00300AA5" w:rsidRPr="001F52A8">
        <w:t xml:space="preserve"> </w:t>
      </w:r>
      <w:r w:rsidR="00B619BC">
        <w:t>they</w:t>
      </w:r>
      <w:r w:rsidR="00300AA5" w:rsidRPr="001F52A8">
        <w:t xml:space="preserve"> originally belong</w:t>
      </w:r>
      <w:r w:rsidR="00B619BC">
        <w:t>ed</w:t>
      </w:r>
      <w:r w:rsidR="00300AA5" w:rsidRPr="001F52A8">
        <w:t xml:space="preserve"> together like Exodus-Leviticus-Numbers, and </w:t>
      </w:r>
      <w:r w:rsidR="00B619BC">
        <w:t xml:space="preserve">like them </w:t>
      </w:r>
      <w:r w:rsidR="007049B3">
        <w:t>were</w:t>
      </w:r>
      <w:r w:rsidR="00300AA5" w:rsidRPr="001F52A8">
        <w:t xml:space="preserve"> subdivided for convenience</w:t>
      </w:r>
      <w:r w:rsidR="00CF3FD2">
        <w:t>,</w:t>
      </w:r>
      <w:r w:rsidR="007049B3">
        <w:t xml:space="preserve"> as Samuel itself was subdivided</w:t>
      </w:r>
      <w:r w:rsidR="00F05409">
        <w:t xml:space="preserve"> later</w:t>
      </w:r>
      <w:r w:rsidR="007049B3">
        <w:t>.</w:t>
      </w:r>
      <w:r w:rsidR="00904B51">
        <w:t xml:space="preserve"> </w:t>
      </w:r>
      <w:r w:rsidR="00904B51" w:rsidRPr="001F52A8">
        <w:t>Samuel</w:t>
      </w:r>
      <w:r w:rsidR="00904B51">
        <w:t>, then,</w:t>
      </w:r>
      <w:r w:rsidR="00904B51" w:rsidRPr="001F52A8">
        <w:t xml:space="preserve"> more or less as we have it belongs in the time after 587.</w:t>
      </w:r>
      <w:r w:rsidR="00904B51">
        <w:rPr>
          <w:rStyle w:val="FootnoteReference"/>
        </w:rPr>
        <w:footnoteReference w:id="6"/>
      </w:r>
    </w:p>
    <w:p w14:paraId="4DA716FD" w14:textId="013B02E4" w:rsidR="001E5972" w:rsidRDefault="001E5972" w:rsidP="00086C67">
      <w:pPr>
        <w:pStyle w:val="ListParagraph"/>
        <w:numPr>
          <w:ilvl w:val="0"/>
          <w:numId w:val="16"/>
        </w:numPr>
        <w:ind w:left="720"/>
      </w:pPr>
      <w:r>
        <w:t>There is more than average difference between the version</w:t>
      </w:r>
      <w:r w:rsidR="000C2F84">
        <w:t>s</w:t>
      </w:r>
      <w:r>
        <w:t xml:space="preserve"> of Samuel in the </w:t>
      </w:r>
      <w:r w:rsidR="000C2F84">
        <w:t>Masoretic Text</w:t>
      </w:r>
      <w:r w:rsidR="00A11EC2">
        <w:t>,</w:t>
      </w:r>
      <w:r w:rsidR="000C2F84">
        <w:t xml:space="preserve"> in the Septuagint</w:t>
      </w:r>
      <w:r w:rsidR="00A11EC2">
        <w:t>,</w:t>
      </w:r>
      <w:r w:rsidR="00F11E18">
        <w:t xml:space="preserve"> </w:t>
      </w:r>
      <w:r w:rsidR="000C2F84">
        <w:t>and in the fragment</w:t>
      </w:r>
      <w:r w:rsidR="003F6C40">
        <w:t>ary</w:t>
      </w:r>
      <w:r w:rsidR="0074306F">
        <w:t xml:space="preserve"> </w:t>
      </w:r>
      <w:r w:rsidR="00702478">
        <w:t>manuscripts</w:t>
      </w:r>
      <w:r w:rsidR="000C2F84">
        <w:t xml:space="preserve"> among the Qumran scrolls</w:t>
      </w:r>
      <w:r w:rsidR="00A11EC2">
        <w:t>.</w:t>
      </w:r>
      <w:r w:rsidR="0061618D">
        <w:rPr>
          <w:rStyle w:val="FootnoteReference"/>
        </w:rPr>
        <w:footnoteReference w:id="7"/>
      </w:r>
      <w:r w:rsidR="00A11EC2">
        <w:t xml:space="preserve"> T</w:t>
      </w:r>
      <w:r w:rsidR="00AD1FCE">
        <w:t xml:space="preserve">he marginal </w:t>
      </w:r>
      <w:r w:rsidR="00AD1FCE">
        <w:lastRenderedPageBreak/>
        <w:t xml:space="preserve">notes in </w:t>
      </w:r>
      <w:r w:rsidR="00642DEF">
        <w:t xml:space="preserve">modern translations indicate that they often follow </w:t>
      </w:r>
      <w:r w:rsidR="00F11E18">
        <w:t>these other versions of the book</w:t>
      </w:r>
      <w:r w:rsidR="00EB208D">
        <w:t>; I have usually stayed with MT</w:t>
      </w:r>
      <w:r w:rsidR="00F11E18">
        <w:t xml:space="preserve">. The existence </w:t>
      </w:r>
      <w:r w:rsidR="00D44606">
        <w:t>of the</w:t>
      </w:r>
      <w:r w:rsidR="00020013">
        <w:t xml:space="preserve">se slightly different versions </w:t>
      </w:r>
      <w:r w:rsidR="009B2F01">
        <w:t xml:space="preserve">indicates that Jewish </w:t>
      </w:r>
      <w:r w:rsidR="009A5C7F">
        <w:t xml:space="preserve">teachers </w:t>
      </w:r>
      <w:r w:rsidR="009B2F01">
        <w:t>were still</w:t>
      </w:r>
      <w:r w:rsidR="000F0E19">
        <w:t xml:space="preserve"> amplifying the book in the Persian and Hellenistic period</w:t>
      </w:r>
      <w:r w:rsidR="003E5200">
        <w:t xml:space="preserve">, perhaps in </w:t>
      </w:r>
      <w:r w:rsidR="004047DA">
        <w:t>different</w:t>
      </w:r>
      <w:r w:rsidR="003E5200">
        <w:t xml:space="preserve"> contexts in Judah, Egypt, and Babylon.</w:t>
      </w:r>
      <w:r w:rsidR="00457CAC">
        <w:t xml:space="preserve"> </w:t>
      </w:r>
      <w:r w:rsidR="00957A30">
        <w:t>Indeed,</w:t>
      </w:r>
      <w:r w:rsidR="00457CAC">
        <w:t xml:space="preserve"> as an aspect of </w:t>
      </w:r>
      <w:r w:rsidR="00D81715">
        <w:t xml:space="preserve">scholarly inclination to ask whether the First Testament as a whole </w:t>
      </w:r>
      <w:r w:rsidR="00FF4D16">
        <w:t>largely comes from</w:t>
      </w:r>
      <w:r w:rsidR="00D81715">
        <w:t xml:space="preserve"> the Second Temple </w:t>
      </w:r>
      <w:r w:rsidR="00957A30">
        <w:t>era</w:t>
      </w:r>
      <w:r w:rsidR="00A15E8C">
        <w:t xml:space="preserve">, </w:t>
      </w:r>
      <w:r w:rsidR="0001781C">
        <w:t>it’s been suggested that this period was the key one in which Samuel came into exi</w:t>
      </w:r>
      <w:r w:rsidR="000013AE">
        <w:t>s</w:t>
      </w:r>
      <w:r w:rsidR="0001781C">
        <w:t>tence</w:t>
      </w:r>
      <w:r w:rsidR="00D81715">
        <w:t>.</w:t>
      </w:r>
      <w:r w:rsidR="00D46362">
        <w:rPr>
          <w:rStyle w:val="FootnoteReference"/>
        </w:rPr>
        <w:footnoteReference w:id="8"/>
      </w:r>
    </w:p>
    <w:p w14:paraId="196E9696" w14:textId="63A35CE7" w:rsidR="00970D14" w:rsidRDefault="0000041F" w:rsidP="0036641F">
      <w:r>
        <w:t xml:space="preserve">Different groups of modern scholars are more inclined to focus on one or other of these periods as </w:t>
      </w:r>
      <w:r w:rsidR="001A1251">
        <w:t>fundamental</w:t>
      </w:r>
      <w:r>
        <w:t xml:space="preserve"> to an understanding of the book, and </w:t>
      </w:r>
      <w:r w:rsidR="00894B25">
        <w:t>I will occasionally draw attention to the way the story might have come home in different periods</w:t>
      </w:r>
      <w:r w:rsidR="004454E5">
        <w:t xml:space="preserve">. </w:t>
      </w:r>
      <w:r w:rsidR="00810E9B">
        <w:t>My own hunch regarding</w:t>
      </w:r>
      <w:r w:rsidR="009E396D">
        <w:t xml:space="preserve"> th</w:t>
      </w:r>
      <w:r w:rsidR="00BA75BB">
        <w:t>e</w:t>
      </w:r>
      <w:r w:rsidR="009E396D">
        <w:t xml:space="preserve"> process</w:t>
      </w:r>
      <w:r w:rsidR="004F421B">
        <w:t xml:space="preserve"> </w:t>
      </w:r>
      <w:r w:rsidR="009E396D">
        <w:t xml:space="preserve">is </w:t>
      </w:r>
      <w:r w:rsidR="004F421B">
        <w:t xml:space="preserve">that </w:t>
      </w:r>
      <w:r w:rsidR="00F21CDD">
        <w:t>the second of the four stages abo</w:t>
      </w:r>
      <w:r w:rsidR="00DA135A">
        <w:t>ve</w:t>
      </w:r>
      <w:r w:rsidR="004F421B">
        <w:t xml:space="preserve"> is the key one</w:t>
      </w:r>
      <w:r w:rsidR="00DA135A">
        <w:t>;</w:t>
      </w:r>
      <w:r w:rsidR="006045EA">
        <w:t xml:space="preserve"> the crucial creative work on the book happened in Jerusalem some time</w:t>
      </w:r>
      <w:r w:rsidR="00A336CB">
        <w:t xml:space="preserve"> during the divided monarchy. </w:t>
      </w:r>
      <w:r w:rsidR="00254315">
        <w:t>With any narrative, it can be</w:t>
      </w:r>
      <w:r w:rsidR="001755E0">
        <w:t xml:space="preserve"> worth asking what is the key question </w:t>
      </w:r>
      <w:r w:rsidR="00800334">
        <w:t>i</w:t>
      </w:r>
      <w:r w:rsidR="001755E0">
        <w:t xml:space="preserve">t </w:t>
      </w:r>
      <w:r w:rsidR="007F6088">
        <w:t>seeks to answer</w:t>
      </w:r>
      <w:r w:rsidR="001755E0">
        <w:t xml:space="preserve">, and </w:t>
      </w:r>
      <w:r w:rsidR="00340B5F">
        <w:t>a</w:t>
      </w:r>
      <w:r w:rsidR="00F97AD2">
        <w:t xml:space="preserve"> key question </w:t>
      </w:r>
      <w:r w:rsidR="00F34282">
        <w:t xml:space="preserve">in Samuel </w:t>
      </w:r>
      <w:r w:rsidR="00F96B8F">
        <w:t>might then be</w:t>
      </w:r>
      <w:r w:rsidR="0024437A">
        <w:t>,</w:t>
      </w:r>
      <w:r w:rsidR="00F97AD2">
        <w:t xml:space="preserve"> “</w:t>
      </w:r>
      <w:r w:rsidR="0024437A">
        <w:t>H</w:t>
      </w:r>
      <w:r w:rsidR="00F97AD2">
        <w:t>ow did we come to have kings</w:t>
      </w:r>
      <w:r w:rsidR="00AB3342">
        <w:t>,</w:t>
      </w:r>
      <w:r w:rsidR="00F97AD2">
        <w:t xml:space="preserve"> anyway</w:t>
      </w:r>
      <w:r w:rsidR="00BB37DC">
        <w:t>?</w:t>
      </w:r>
      <w:r w:rsidR="00AB3342">
        <w:t xml:space="preserve">” </w:t>
      </w:r>
      <w:r w:rsidR="009F2DE9">
        <w:t xml:space="preserve">The vagaries of the Judahite monarchy </w:t>
      </w:r>
      <w:r w:rsidR="00340B5F">
        <w:t>c</w:t>
      </w:r>
      <w:r w:rsidR="00BB37DC">
        <w:t xml:space="preserve">ould make this </w:t>
      </w:r>
      <w:r w:rsidR="00800334">
        <w:t xml:space="preserve">question </w:t>
      </w:r>
      <w:r w:rsidR="00BB37DC">
        <w:t xml:space="preserve">natural. </w:t>
      </w:r>
      <w:r w:rsidR="0024437A">
        <w:t>M</w:t>
      </w:r>
      <w:r w:rsidR="00326AF5">
        <w:t>ore specifically the question might be, “Who was this David, who continues to be so important to us?”</w:t>
      </w:r>
      <w:r w:rsidR="004B2006">
        <w:t xml:space="preserve"> </w:t>
      </w:r>
      <w:r w:rsidR="002E19E5">
        <w:t>David’s</w:t>
      </w:r>
      <w:r w:rsidR="004B2006">
        <w:t xml:space="preserve"> </w:t>
      </w:r>
      <w:r w:rsidR="00B34666">
        <w:t>significance</w:t>
      </w:r>
      <w:r w:rsidR="004B2006">
        <w:t xml:space="preserve"> as the </w:t>
      </w:r>
      <w:r w:rsidR="00294D3D">
        <w:t xml:space="preserve">first </w:t>
      </w:r>
      <w:r w:rsidR="003769CC">
        <w:t xml:space="preserve">great </w:t>
      </w:r>
      <w:r w:rsidR="00294D3D">
        <w:t xml:space="preserve">king, </w:t>
      </w:r>
      <w:r w:rsidR="00576ADE">
        <w:t xml:space="preserve">as </w:t>
      </w:r>
      <w:r w:rsidR="00294D3D">
        <w:t xml:space="preserve">the recipient of Yahweh’s promise, and </w:t>
      </w:r>
      <w:r w:rsidR="00576ADE">
        <w:t xml:space="preserve">as </w:t>
      </w:r>
      <w:r w:rsidR="00294D3D">
        <w:t xml:space="preserve">the benchmark by which Judahite </w:t>
      </w:r>
      <w:r w:rsidR="00B34666">
        <w:t>monarchs</w:t>
      </w:r>
      <w:r w:rsidR="00294D3D">
        <w:t xml:space="preserve"> are measured in Kings</w:t>
      </w:r>
      <w:r w:rsidR="00B34666">
        <w:t xml:space="preserve">, would </w:t>
      </w:r>
      <w:r w:rsidR="005D6C69">
        <w:t xml:space="preserve">also </w:t>
      </w:r>
      <w:r w:rsidR="00B34666">
        <w:t xml:space="preserve">make this question natural. </w:t>
      </w:r>
    </w:p>
    <w:p w14:paraId="3B1635BE" w14:textId="05500196" w:rsidR="0036641F" w:rsidRDefault="005306E9" w:rsidP="0036641F">
      <w:r>
        <w:t>A</w:t>
      </w:r>
      <w:r w:rsidR="005A567B">
        <w:t xml:space="preserve">n understanding </w:t>
      </w:r>
      <w:r>
        <w:t>of</w:t>
      </w:r>
      <w:r w:rsidR="00BE7D5E">
        <w:t xml:space="preserve"> Shakespeare’s plays </w:t>
      </w:r>
      <w:r w:rsidR="00CB7DC6">
        <w:t xml:space="preserve">(for instance) </w:t>
      </w:r>
      <w:r>
        <w:t>benefits from a knowledge of the period in which they were written</w:t>
      </w:r>
      <w:r w:rsidR="00367094">
        <w:t>, yet they</w:t>
      </w:r>
      <w:r>
        <w:t xml:space="preserve"> </w:t>
      </w:r>
      <w:r w:rsidR="00CB7DC6">
        <w:t xml:space="preserve">make sense, </w:t>
      </w:r>
      <w:r w:rsidR="008E7B26">
        <w:t xml:space="preserve">stand, </w:t>
      </w:r>
      <w:r w:rsidR="00CB7DC6">
        <w:t xml:space="preserve">and speak independently of </w:t>
      </w:r>
      <w:r w:rsidR="00367094">
        <w:t>such</w:t>
      </w:r>
      <w:r w:rsidR="00CB7DC6">
        <w:t xml:space="preserve"> knowledge</w:t>
      </w:r>
      <w:r w:rsidR="0007286B">
        <w:t>. Likewise,</w:t>
      </w:r>
      <w:r w:rsidR="00BE7D5E">
        <w:t xml:space="preserve"> the Samuel narrative makes sense, </w:t>
      </w:r>
      <w:r w:rsidR="005F763E">
        <w:t xml:space="preserve">stands, </w:t>
      </w:r>
      <w:r w:rsidR="00BE7D5E">
        <w:t xml:space="preserve">and speaks independently of our being sure which period it comes from. Like other works from the ancient world such as </w:t>
      </w:r>
      <w:r w:rsidR="00BE7D5E" w:rsidRPr="001F52A8">
        <w:t xml:space="preserve">the Iliad, </w:t>
      </w:r>
      <w:r w:rsidR="005849BA">
        <w:t>it</w:t>
      </w:r>
      <w:r w:rsidR="005F763E">
        <w:t xml:space="preserve"> </w:t>
      </w:r>
      <w:r w:rsidR="00BE7D5E" w:rsidRPr="001F52A8">
        <w:t>need</w:t>
      </w:r>
      <w:r w:rsidR="00466C82">
        <w:t>s</w:t>
      </w:r>
      <w:r w:rsidR="00BE7D5E" w:rsidRPr="001F52A8">
        <w:t xml:space="preserve"> to be understood against the broad historical background of its culture, but within that broad context, more insight emerges from reading it in its own right as a narrative than from focusing on questions about precise historical background. </w:t>
      </w:r>
    </w:p>
    <w:p w14:paraId="503FA556" w14:textId="386AC00F" w:rsidR="00061CB9" w:rsidRDefault="008A08DB" w:rsidP="001755E0">
      <w:r>
        <w:t>While</w:t>
      </w:r>
      <w:r w:rsidR="00DE0A76">
        <w:t xml:space="preserve"> </w:t>
      </w:r>
      <w:r>
        <w:t>the book does not reveal</w:t>
      </w:r>
      <w:r w:rsidR="00DE0A76">
        <w:t xml:space="preserve"> </w:t>
      </w:r>
      <w:r w:rsidR="005849BA">
        <w:t>its author’s</w:t>
      </w:r>
      <w:r w:rsidR="00DE0A76">
        <w:t xml:space="preserve"> </w:t>
      </w:r>
      <w:r>
        <w:t xml:space="preserve">identity, we can infer </w:t>
      </w:r>
      <w:r w:rsidR="002E09D6">
        <w:t>w</w:t>
      </w:r>
      <w:r w:rsidR="00061CB9">
        <w:t xml:space="preserve">hat kind of person </w:t>
      </w:r>
      <w:r w:rsidR="002E09D6">
        <w:t>it was.</w:t>
      </w:r>
      <w:r w:rsidR="00061CB9">
        <w:t xml:space="preserve"> </w:t>
      </w:r>
      <w:r w:rsidR="00387D9A">
        <w:t>He or she</w:t>
      </w:r>
    </w:p>
    <w:p w14:paraId="350D4D5E" w14:textId="5A5DDA00" w:rsidR="00387D9A" w:rsidRDefault="00387D9A" w:rsidP="001755E0"/>
    <w:p w14:paraId="43B1BB13" w14:textId="15405D26" w:rsidR="000550FC" w:rsidRDefault="00C942D0" w:rsidP="000550FC">
      <w:pPr>
        <w:pStyle w:val="ListParagraph"/>
        <w:numPr>
          <w:ilvl w:val="0"/>
          <w:numId w:val="17"/>
        </w:numPr>
        <w:ind w:left="720"/>
      </w:pPr>
      <w:r>
        <w:t>Had</w:t>
      </w:r>
      <w:r w:rsidR="000550FC">
        <w:t xml:space="preserve"> research access to state records and existent accounts of events in </w:t>
      </w:r>
      <w:r w:rsidR="00537A06">
        <w:t xml:space="preserve">the time of </w:t>
      </w:r>
      <w:r w:rsidR="00E91FC3">
        <w:t xml:space="preserve">Samuel, </w:t>
      </w:r>
      <w:r w:rsidR="00537A06">
        <w:t xml:space="preserve">Saul and </w:t>
      </w:r>
      <w:r w:rsidR="000550FC">
        <w:t>David</w:t>
      </w:r>
    </w:p>
    <w:p w14:paraId="2C27712A" w14:textId="7790FB1B" w:rsidR="00603AF9" w:rsidRDefault="00603AF9" w:rsidP="00603AF9">
      <w:pPr>
        <w:pStyle w:val="ListParagraph"/>
        <w:numPr>
          <w:ilvl w:val="0"/>
          <w:numId w:val="17"/>
        </w:numPr>
        <w:ind w:left="720"/>
      </w:pPr>
      <w:r>
        <w:t>Ha</w:t>
      </w:r>
      <w:r w:rsidR="00A35F8E">
        <w:t>d</w:t>
      </w:r>
      <w:r>
        <w:t xml:space="preserve"> the skill and education to write a work of some length – in other words, </w:t>
      </w:r>
      <w:r w:rsidR="00E91FC3">
        <w:t xml:space="preserve">he or she was </w:t>
      </w:r>
      <w:r>
        <w:t>a scribe, and someone who would be at home in the circles of the “wise”</w:t>
      </w:r>
    </w:p>
    <w:p w14:paraId="262BC485" w14:textId="1D8C2571" w:rsidR="00AA68E3" w:rsidRDefault="00A35F8E" w:rsidP="00AA68E3">
      <w:pPr>
        <w:pStyle w:val="ListParagraph"/>
        <w:numPr>
          <w:ilvl w:val="0"/>
          <w:numId w:val="17"/>
        </w:numPr>
        <w:ind w:left="720"/>
      </w:pPr>
      <w:r>
        <w:t>Was</w:t>
      </w:r>
      <w:r w:rsidR="00AA68E3">
        <w:t xml:space="preserve"> gifted with the literary ability to paint a creative portrait of events, to imagine conversations that people had, and to work out what they would be thinking</w:t>
      </w:r>
    </w:p>
    <w:p w14:paraId="27591AA7" w14:textId="7B02B703" w:rsidR="00B747C4" w:rsidRPr="00BF4E4E" w:rsidRDefault="00B747C4" w:rsidP="00B747C4">
      <w:pPr>
        <w:pStyle w:val="ListParagraph"/>
        <w:numPr>
          <w:ilvl w:val="0"/>
          <w:numId w:val="17"/>
        </w:numPr>
        <w:ind w:left="720"/>
      </w:pPr>
      <w:r>
        <w:rPr>
          <w:rFonts w:cs="Calibri"/>
        </w:rPr>
        <w:t>Ha</w:t>
      </w:r>
      <w:r w:rsidR="00A35F8E">
        <w:rPr>
          <w:rFonts w:cs="Calibri"/>
        </w:rPr>
        <w:t>d</w:t>
      </w:r>
      <w:r>
        <w:rPr>
          <w:rFonts w:cs="Calibri"/>
        </w:rPr>
        <w:t xml:space="preserve"> a prophetic sensitivity to what Yahweh was doing </w:t>
      </w:r>
      <w:r w:rsidR="00E269AA">
        <w:rPr>
          <w:rFonts w:cs="Calibri"/>
        </w:rPr>
        <w:t>in this s</w:t>
      </w:r>
      <w:r w:rsidR="00750C30">
        <w:rPr>
          <w:rFonts w:cs="Calibri"/>
        </w:rPr>
        <w:t>equence of events</w:t>
      </w:r>
      <w:r w:rsidR="00E269AA">
        <w:rPr>
          <w:rFonts w:cs="Calibri"/>
        </w:rPr>
        <w:t xml:space="preserve"> </w:t>
      </w:r>
      <w:r>
        <w:rPr>
          <w:rFonts w:cs="Calibri"/>
        </w:rPr>
        <w:t>and to what Yahweh th</w:t>
      </w:r>
      <w:r w:rsidR="00E269AA">
        <w:rPr>
          <w:rFonts w:cs="Calibri"/>
        </w:rPr>
        <w:t>ought</w:t>
      </w:r>
      <w:r>
        <w:rPr>
          <w:rFonts w:cs="Calibri"/>
        </w:rPr>
        <w:t xml:space="preserve"> of events as they develop</w:t>
      </w:r>
      <w:r w:rsidR="00E269AA">
        <w:rPr>
          <w:rFonts w:cs="Calibri"/>
        </w:rPr>
        <w:t>ed</w:t>
      </w:r>
    </w:p>
    <w:p w14:paraId="2060434C" w14:textId="22E1B197" w:rsidR="00B747C4" w:rsidRDefault="00B747C4" w:rsidP="00B747C4">
      <w:pPr>
        <w:pStyle w:val="ListParagraph"/>
        <w:numPr>
          <w:ilvl w:val="0"/>
          <w:numId w:val="17"/>
        </w:numPr>
        <w:ind w:left="720"/>
      </w:pPr>
      <w:r>
        <w:rPr>
          <w:rFonts w:cs="Calibri"/>
        </w:rPr>
        <w:t>Kn</w:t>
      </w:r>
      <w:r w:rsidR="00A35F8E">
        <w:rPr>
          <w:rFonts w:cs="Calibri"/>
        </w:rPr>
        <w:t>ew</w:t>
      </w:r>
      <w:r>
        <w:rPr>
          <w:rFonts w:cs="Calibri"/>
        </w:rPr>
        <w:t xml:space="preserve"> that Yahweh </w:t>
      </w:r>
      <w:r w:rsidR="00E269AA">
        <w:rPr>
          <w:rFonts w:cs="Calibri"/>
        </w:rPr>
        <w:t>wa</w:t>
      </w:r>
      <w:r>
        <w:rPr>
          <w:rFonts w:cs="Calibri"/>
        </w:rPr>
        <w:t>s at work in th</w:t>
      </w:r>
      <w:r w:rsidR="00750C30">
        <w:rPr>
          <w:rFonts w:cs="Calibri"/>
        </w:rPr>
        <w:t>e</w:t>
      </w:r>
      <w:r w:rsidR="005D7310">
        <w:rPr>
          <w:rFonts w:cs="Calibri"/>
        </w:rPr>
        <w:t>m</w:t>
      </w:r>
      <w:r>
        <w:rPr>
          <w:rFonts w:cs="Calibri"/>
        </w:rPr>
        <w:t xml:space="preserve"> but also kn</w:t>
      </w:r>
      <w:r w:rsidR="00A35F8E">
        <w:rPr>
          <w:rFonts w:cs="Calibri"/>
        </w:rPr>
        <w:t>ew</w:t>
      </w:r>
      <w:r>
        <w:rPr>
          <w:rFonts w:cs="Calibri"/>
        </w:rPr>
        <w:t xml:space="preserve"> that he mostly works behind the scenes through or despite the actions of human beings</w:t>
      </w:r>
    </w:p>
    <w:p w14:paraId="69548056" w14:textId="32ECBB77" w:rsidR="00B747C4" w:rsidRPr="00425EF7" w:rsidRDefault="00B747C4" w:rsidP="00B747C4">
      <w:pPr>
        <w:pStyle w:val="ListParagraph"/>
        <w:numPr>
          <w:ilvl w:val="0"/>
          <w:numId w:val="17"/>
        </w:numPr>
        <w:ind w:left="720"/>
      </w:pPr>
      <w:r>
        <w:t>Ha</w:t>
      </w:r>
      <w:r w:rsidR="00A35F8E">
        <w:t>d</w:t>
      </w:r>
      <w:r>
        <w:t xml:space="preserve"> a prophetic perspective in emphasizing faithfulness, </w:t>
      </w:r>
      <w:r w:rsidR="00D54CA8">
        <w:t xml:space="preserve">proper government, </w:t>
      </w:r>
      <w:r>
        <w:t>commitment, and truthfulness (</w:t>
      </w:r>
      <w:r>
        <w:rPr>
          <w:rFonts w:cs="Calibri"/>
          <w:i/>
          <w:iCs/>
        </w:rPr>
        <w:t>ṣədāqâ</w:t>
      </w:r>
      <w:r>
        <w:rPr>
          <w:rFonts w:cs="Calibri"/>
        </w:rPr>
        <w:t>,</w:t>
      </w:r>
      <w:r>
        <w:rPr>
          <w:rFonts w:cs="Calibri"/>
          <w:i/>
          <w:iCs/>
        </w:rPr>
        <w:t xml:space="preserve"> mišpāṭ</w:t>
      </w:r>
      <w:r>
        <w:rPr>
          <w:rFonts w:cs="Calibri"/>
        </w:rPr>
        <w:t>,</w:t>
      </w:r>
      <w:r>
        <w:rPr>
          <w:rFonts w:cs="Calibri"/>
          <w:i/>
          <w:iCs/>
        </w:rPr>
        <w:t xml:space="preserve"> ḥesed</w:t>
      </w:r>
      <w:r>
        <w:rPr>
          <w:rFonts w:cs="Calibri"/>
        </w:rPr>
        <w:t xml:space="preserve">, </w:t>
      </w:r>
      <w:r w:rsidRPr="00AA0CC3">
        <w:rPr>
          <w:rFonts w:cs="Calibri"/>
          <w:i/>
          <w:iCs/>
        </w:rPr>
        <w:t>’ĕmet/’ĕmûnâ</w:t>
      </w:r>
      <w:r>
        <w:rPr>
          <w:rFonts w:cs="Calibri"/>
        </w:rPr>
        <w:t>)</w:t>
      </w:r>
      <w:r w:rsidR="00D54CA8">
        <w:rPr>
          <w:rFonts w:cs="Calibri"/>
        </w:rPr>
        <w:t xml:space="preserve"> and the need for kings to heed prophets</w:t>
      </w:r>
    </w:p>
    <w:p w14:paraId="3AF47FE1" w14:textId="7FB7E9A6" w:rsidR="00DA151D" w:rsidRDefault="00B87A86" w:rsidP="00DA151D">
      <w:pPr>
        <w:pStyle w:val="ListParagraph"/>
        <w:numPr>
          <w:ilvl w:val="0"/>
          <w:numId w:val="17"/>
        </w:numPr>
        <w:ind w:left="720"/>
      </w:pPr>
      <w:r>
        <w:t>Affirmed a</w:t>
      </w:r>
      <w:r w:rsidR="00DA151D">
        <w:t xml:space="preserve"> commit</w:t>
      </w:r>
      <w:r>
        <w:t>ment</w:t>
      </w:r>
      <w:r w:rsidR="00DA151D">
        <w:t xml:space="preserve"> to the worship of Yahweh in the sanctuaries and eventually in the temple in Jerusalem but d</w:t>
      </w:r>
      <w:r>
        <w:t>id</w:t>
      </w:r>
      <w:r w:rsidR="00DA151D">
        <w:t xml:space="preserve"> not work with a </w:t>
      </w:r>
      <w:r w:rsidR="00803BED">
        <w:t xml:space="preserve">specifically </w:t>
      </w:r>
      <w:r w:rsidR="00DA151D">
        <w:t>priestly p</w:t>
      </w:r>
      <w:r w:rsidR="00803BED">
        <w:t>er</w:t>
      </w:r>
      <w:r w:rsidR="00DA151D">
        <w:t>spective</w:t>
      </w:r>
    </w:p>
    <w:p w14:paraId="40D31059" w14:textId="3E8435EF" w:rsidR="00D10947" w:rsidRDefault="00803BED" w:rsidP="00D10947">
      <w:pPr>
        <w:pStyle w:val="ListParagraph"/>
        <w:numPr>
          <w:ilvl w:val="0"/>
          <w:numId w:val="17"/>
        </w:numPr>
        <w:ind w:left="720"/>
      </w:pPr>
      <w:r>
        <w:lastRenderedPageBreak/>
        <w:t>Wa</w:t>
      </w:r>
      <w:r w:rsidR="00D10947">
        <w:t xml:space="preserve">s broad-minded, confident, and fearless in painting </w:t>
      </w:r>
      <w:r w:rsidR="005464B9">
        <w:t>a</w:t>
      </w:r>
      <w:r w:rsidR="00D10947">
        <w:t xml:space="preserve"> portrait of people such as Eli, Samuel, Saul, David, and Joab</w:t>
      </w:r>
    </w:p>
    <w:p w14:paraId="7C2701F7" w14:textId="7B50B435" w:rsidR="00D10947" w:rsidRDefault="00D10947" w:rsidP="00D10947">
      <w:pPr>
        <w:pStyle w:val="ListParagraph"/>
        <w:numPr>
          <w:ilvl w:val="0"/>
          <w:numId w:val="17"/>
        </w:numPr>
        <w:ind w:left="720"/>
      </w:pPr>
      <w:r>
        <w:t xml:space="preserve">Yet </w:t>
      </w:r>
      <w:r w:rsidR="00803BED">
        <w:t>was</w:t>
      </w:r>
      <w:r>
        <w:t xml:space="preserve"> then confident enough to leave the </w:t>
      </w:r>
      <w:r w:rsidR="00F47B1E">
        <w:t xml:space="preserve">story’s </w:t>
      </w:r>
      <w:r>
        <w:t>audience to come to their assessment of these individuals in their complexity</w:t>
      </w:r>
    </w:p>
    <w:p w14:paraId="439217BA" w14:textId="6E687E2F" w:rsidR="00872737" w:rsidRDefault="00F20B1C" w:rsidP="00F72785">
      <w:pPr>
        <w:pStyle w:val="ListParagraph"/>
        <w:numPr>
          <w:ilvl w:val="0"/>
          <w:numId w:val="17"/>
        </w:numPr>
        <w:ind w:left="720"/>
      </w:pPr>
      <w:r>
        <w:t>Empha</w:t>
      </w:r>
      <w:r w:rsidR="00AC3927">
        <w:t>size</w:t>
      </w:r>
      <w:r w:rsidR="00803BED">
        <w:t>d</w:t>
      </w:r>
      <w:r w:rsidR="00D10947">
        <w:t xml:space="preserve"> the </w:t>
      </w:r>
      <w:r>
        <w:t>role</w:t>
      </w:r>
      <w:r w:rsidR="00D10947">
        <w:t xml:space="preserve"> of significant women</w:t>
      </w:r>
      <w:r w:rsidR="00135116">
        <w:t xml:space="preserve">, </w:t>
      </w:r>
      <w:r w:rsidR="00D10947">
        <w:t>begin</w:t>
      </w:r>
      <w:r w:rsidR="00135116">
        <w:t>ning</w:t>
      </w:r>
      <w:r w:rsidR="00D10947">
        <w:t xml:space="preserve"> with Hannah, almost end</w:t>
      </w:r>
      <w:r w:rsidR="00135116">
        <w:t>ing</w:t>
      </w:r>
      <w:r w:rsidR="00D10947">
        <w:t xml:space="preserve"> with Rizpah, and </w:t>
      </w:r>
      <w:r>
        <w:t>including</w:t>
      </w:r>
      <w:r w:rsidR="00D10947">
        <w:t xml:space="preserve"> Abigail</w:t>
      </w:r>
      <w:r w:rsidR="00CA2944">
        <w:t>,</w:t>
      </w:r>
      <w:r w:rsidR="00D10947">
        <w:t xml:space="preserve"> Michal</w:t>
      </w:r>
      <w:r w:rsidR="00CA2944">
        <w:t>, Bathsheba</w:t>
      </w:r>
      <w:r w:rsidR="00872737">
        <w:t>, Tamar</w:t>
      </w:r>
      <w:r w:rsidR="00F2440C">
        <w:t>, and the smart woman</w:t>
      </w:r>
      <w:r w:rsidR="00135116">
        <w:t xml:space="preserve"> in 2 Samuel </w:t>
      </w:r>
      <w:r>
        <w:t>14.</w:t>
      </w:r>
      <w:r w:rsidR="00E352B3">
        <w:rPr>
          <w:rStyle w:val="FootnoteReference"/>
        </w:rPr>
        <w:footnoteReference w:id="9"/>
      </w:r>
    </w:p>
    <w:p w14:paraId="6F0218F2" w14:textId="7D8825DE" w:rsidR="00D10947" w:rsidRDefault="00D17E2C" w:rsidP="00F72785">
      <w:pPr>
        <w:pStyle w:val="ListParagraph"/>
        <w:numPr>
          <w:ilvl w:val="0"/>
          <w:numId w:val="17"/>
        </w:numPr>
        <w:ind w:left="720"/>
      </w:pPr>
      <w:r>
        <w:t>Was</w:t>
      </w:r>
      <w:r w:rsidR="00D10947">
        <w:t xml:space="preserve"> fervently pro-Israel over against </w:t>
      </w:r>
      <w:r w:rsidR="002518B1">
        <w:t>nations</w:t>
      </w:r>
      <w:r w:rsidR="00D10947">
        <w:t xml:space="preserve"> such as Moab and Ammon, but open-minded in relation to foreigners such as Uriah and Araunah</w:t>
      </w:r>
      <w:r w:rsidR="001A37C7">
        <w:t>.</w:t>
      </w:r>
    </w:p>
    <w:p w14:paraId="54B85EC4" w14:textId="5F889CA0" w:rsidR="00C23462" w:rsidRDefault="00BA2FC0" w:rsidP="00BA2FC0">
      <w:pPr>
        <w:ind w:firstLine="0"/>
      </w:pPr>
      <w:r>
        <w:t xml:space="preserve">If one wanted a figure to </w:t>
      </w:r>
      <w:r w:rsidR="0037352C">
        <w:t xml:space="preserve">whom one might </w:t>
      </w:r>
      <w:r>
        <w:t xml:space="preserve">attach the work </w:t>
      </w:r>
      <w:r w:rsidR="0037352C">
        <w:t>in one’s imagination, then it might be Huldah</w:t>
      </w:r>
      <w:r w:rsidR="00F72FB0">
        <w:t xml:space="preserve"> (2 K</w:t>
      </w:r>
      <w:r w:rsidR="00792181">
        <w:t xml:space="preserve">gs </w:t>
      </w:r>
      <w:r w:rsidR="00CE11A4">
        <w:t>22:14-20).</w:t>
      </w:r>
    </w:p>
    <w:p w14:paraId="22211F6D" w14:textId="77777777" w:rsidR="00B67B37" w:rsidRDefault="00577408" w:rsidP="002606AC">
      <w:r>
        <w:t xml:space="preserve">While Samuel opens in a way that could constitute an absolute beginning (it compares with the beginning to Ruth), it can be seen as continuing from Joshua and Judges, </w:t>
      </w:r>
      <w:r w:rsidR="00F758C4">
        <w:t>which</w:t>
      </w:r>
      <w:r>
        <w:t xml:space="preserve"> link forward to it. Broadly it is thus part of the much longer story that runs from Joshua to Kings (the “Former Prophets”) or from Deuteronomy to Kings (the “Deuteronomistic History”) or from Genesis to Kings (the “First History”)</w:t>
      </w:r>
      <w:r w:rsidR="00FC14A0">
        <w:t>;</w:t>
      </w:r>
      <w:r>
        <w:t xml:space="preserve"> </w:t>
      </w:r>
      <w:r w:rsidR="00AB4F78">
        <w:t xml:space="preserve">in </w:t>
      </w:r>
      <w:r>
        <w:t xml:space="preserve">Chronicles-Ezra-Nehemiah </w:t>
      </w:r>
      <w:r w:rsidR="00AB4F78">
        <w:t>(</w:t>
      </w:r>
      <w:r>
        <w:t>the “Second History”</w:t>
      </w:r>
      <w:r w:rsidR="00AB4F78">
        <w:t>)</w:t>
      </w:r>
      <w:r w:rsidR="00FC14A0">
        <w:t xml:space="preserve"> </w:t>
      </w:r>
      <w:r w:rsidR="005C2805">
        <w:t xml:space="preserve">Chronicles </w:t>
      </w:r>
      <w:r w:rsidR="00AB4F78">
        <w:t xml:space="preserve">then </w:t>
      </w:r>
      <w:r w:rsidRPr="001F52A8">
        <w:t>retell</w:t>
      </w:r>
      <w:r w:rsidR="005C2805">
        <w:t>s</w:t>
      </w:r>
      <w:r w:rsidRPr="001F52A8">
        <w:t xml:space="preserve"> the story from the end of Saul’s life onwards</w:t>
      </w:r>
      <w:r w:rsidR="00F44617">
        <w:t xml:space="preserve"> in</w:t>
      </w:r>
      <w:r>
        <w:t xml:space="preserve"> a</w:t>
      </w:r>
      <w:r w:rsidR="004A23FC">
        <w:t>n account</w:t>
      </w:r>
      <w:r w:rsidRPr="001F52A8">
        <w:t xml:space="preserve"> of David </w:t>
      </w:r>
      <w:r w:rsidR="00F44617">
        <w:t xml:space="preserve">that </w:t>
      </w:r>
      <w:r w:rsidRPr="001F52A8">
        <w:t>focus</w:t>
      </w:r>
      <w:r w:rsidR="00F44617">
        <w:t>es</w:t>
      </w:r>
      <w:r w:rsidRPr="001F52A8">
        <w:t xml:space="preserve"> </w:t>
      </w:r>
      <w:r w:rsidR="005C0F5A">
        <w:t>on</w:t>
      </w:r>
      <w:r w:rsidRPr="001F52A8">
        <w:t xml:space="preserve"> </w:t>
      </w:r>
      <w:r w:rsidR="005C0F5A">
        <w:t>his</w:t>
      </w:r>
      <w:r w:rsidRPr="001F52A8">
        <w:t xml:space="preserve"> preparations for the building of the temple</w:t>
      </w:r>
      <w:r w:rsidR="00615AE8">
        <w:t xml:space="preserve"> </w:t>
      </w:r>
      <w:r w:rsidR="001E667A">
        <w:t>and</w:t>
      </w:r>
      <w:r w:rsidR="00615AE8">
        <w:t xml:space="preserve"> </w:t>
      </w:r>
      <w:r w:rsidRPr="001F52A8">
        <w:t>reflects its context in the Second Temple period.</w:t>
      </w:r>
      <w:r w:rsidR="00B67B37">
        <w:t xml:space="preserve"> </w:t>
      </w:r>
      <w:r w:rsidR="002606AC">
        <w:t xml:space="preserve">Samuel, then, </w:t>
      </w:r>
      <w:r w:rsidR="002606AC" w:rsidRPr="001F52A8">
        <w:t>form</w:t>
      </w:r>
      <w:r w:rsidR="002606AC">
        <w:t>s</w:t>
      </w:r>
      <w:r w:rsidR="002606AC" w:rsidRPr="001F52A8">
        <w:t xml:space="preserve"> part of </w:t>
      </w:r>
      <w:r w:rsidR="00F20662">
        <w:t>Israel’s</w:t>
      </w:r>
      <w:r w:rsidR="002606AC" w:rsidRPr="001F52A8">
        <w:t xml:space="preserve"> story from its origins to the end of the monarchy, and i</w:t>
      </w:r>
      <w:r w:rsidR="002606AC">
        <w:t>n</w:t>
      </w:r>
      <w:r w:rsidR="002606AC" w:rsidRPr="001F52A8">
        <w:t xml:space="preserve"> relating the story of the monarchy</w:t>
      </w:r>
      <w:r w:rsidR="008E5393">
        <w:t>’s origins</w:t>
      </w:r>
      <w:r w:rsidR="002606AC">
        <w:t>,</w:t>
      </w:r>
      <w:r w:rsidR="002606AC" w:rsidRPr="001F52A8">
        <w:t xml:space="preserve"> it </w:t>
      </w:r>
      <w:r w:rsidR="002606AC">
        <w:t xml:space="preserve">has </w:t>
      </w:r>
      <w:r w:rsidR="002606AC" w:rsidRPr="001F52A8">
        <w:t xml:space="preserve">an important place </w:t>
      </w:r>
      <w:r w:rsidR="00EE4E32">
        <w:t>in that narrative</w:t>
      </w:r>
      <w:r w:rsidR="002606AC" w:rsidRPr="001F52A8">
        <w:t>.</w:t>
      </w:r>
      <w:r w:rsidR="002606AC">
        <w:t xml:space="preserve"> </w:t>
      </w:r>
    </w:p>
    <w:p w14:paraId="183515C6" w14:textId="77777777" w:rsidR="00EA557E" w:rsidRDefault="00D57222" w:rsidP="00326355">
      <w:r>
        <w:t>T</w:t>
      </w:r>
      <w:r w:rsidR="00F46443">
        <w:t>o</w:t>
      </w:r>
      <w:r w:rsidR="002606AC" w:rsidRPr="001F52A8">
        <w:t xml:space="preserve"> understand </w:t>
      </w:r>
      <w:r w:rsidR="008011CD">
        <w:t xml:space="preserve">the </w:t>
      </w:r>
      <w:r>
        <w:t xml:space="preserve">working of the </w:t>
      </w:r>
      <w:r w:rsidR="008011CD">
        <w:t xml:space="preserve">sequence </w:t>
      </w:r>
      <w:r w:rsidR="00E6241F">
        <w:t xml:space="preserve">of scrolls </w:t>
      </w:r>
      <w:r w:rsidR="008011CD">
        <w:t xml:space="preserve">from </w:t>
      </w:r>
      <w:r w:rsidR="00300A0C">
        <w:t>Genesis to Kings</w:t>
      </w:r>
      <w:r w:rsidR="002606AC" w:rsidRPr="001F52A8">
        <w:t>, a</w:t>
      </w:r>
      <w:r>
        <w:t>n</w:t>
      </w:r>
      <w:r w:rsidR="002606AC" w:rsidRPr="001F52A8">
        <w:t xml:space="preserve"> illuminating model is a </w:t>
      </w:r>
      <w:r w:rsidR="0016579C">
        <w:t>sequence</w:t>
      </w:r>
      <w:r w:rsidR="002606AC" w:rsidRPr="001F52A8">
        <w:t xml:space="preserve"> of television series. As Series Eight in the sequence</w:t>
      </w:r>
      <w:r w:rsidR="002606AC">
        <w:t xml:space="preserve"> that runs from Genesis to Kings</w:t>
      </w:r>
      <w:r w:rsidR="002606AC" w:rsidRPr="001F52A8">
        <w:t>, Samuel picks up issues left unresolved in Series Seven, tells its own story, and closes with</w:t>
      </w:r>
      <w:r w:rsidR="00C32956">
        <w:t xml:space="preserve"> </w:t>
      </w:r>
      <w:r w:rsidR="00272CA7">
        <w:t>un</w:t>
      </w:r>
      <w:r w:rsidR="006579E8">
        <w:t>resolved question</w:t>
      </w:r>
      <w:r w:rsidR="00C32956">
        <w:t>s</w:t>
      </w:r>
      <w:r w:rsidR="002606AC" w:rsidRPr="001F52A8">
        <w:t xml:space="preserve"> that make</w:t>
      </w:r>
      <w:r w:rsidR="00C32956">
        <w:t xml:space="preserve"> the</w:t>
      </w:r>
      <w:r w:rsidR="002606AC" w:rsidRPr="001F52A8">
        <w:t xml:space="preserve"> </w:t>
      </w:r>
      <w:r w:rsidR="00C32956">
        <w:t>audience</w:t>
      </w:r>
      <w:r w:rsidR="002606AC" w:rsidRPr="001F52A8">
        <w:t xml:space="preserve"> continue into Series Nine.</w:t>
      </w:r>
      <w:r w:rsidR="00EA557E">
        <w:t xml:space="preserve"> </w:t>
      </w:r>
    </w:p>
    <w:p w14:paraId="4E36275F" w14:textId="4F49A46C" w:rsidR="001C0175" w:rsidRDefault="001E7BC1" w:rsidP="00326355">
      <w:r>
        <w:t xml:space="preserve">Like many television series and movies, </w:t>
      </w:r>
      <w:r w:rsidR="00E1787B" w:rsidRPr="001F52A8">
        <w:t xml:space="preserve">Samuel is </w:t>
      </w:r>
      <w:r w:rsidR="0016579C">
        <w:t xml:space="preserve">not </w:t>
      </w:r>
      <w:r w:rsidR="006771F4">
        <w:t>simply history</w:t>
      </w:r>
      <w:r w:rsidR="000E1876">
        <w:t>,</w:t>
      </w:r>
      <w:r w:rsidR="006771F4">
        <w:t xml:space="preserve"> </w:t>
      </w:r>
      <w:r w:rsidR="006579E8">
        <w:t>but</w:t>
      </w:r>
      <w:r w:rsidR="006771F4">
        <w:t xml:space="preserve"> neither is it historical </w:t>
      </w:r>
      <w:r w:rsidR="0016579C">
        <w:t>fiction</w:t>
      </w:r>
      <w:r w:rsidR="006771F4">
        <w:t xml:space="preserve">. It is </w:t>
      </w:r>
      <w:r w:rsidR="00E1787B" w:rsidRPr="001F52A8">
        <w:t xml:space="preserve">dramatized, </w:t>
      </w:r>
      <w:r w:rsidR="005B54DD" w:rsidRPr="001F52A8">
        <w:t xml:space="preserve">visionary </w:t>
      </w:r>
      <w:r w:rsidR="00E1787B" w:rsidRPr="001F52A8">
        <w:t>history</w:t>
      </w:r>
      <w:r w:rsidR="007700CD">
        <w:t>,</w:t>
      </w:r>
      <w:r w:rsidR="00E1787B" w:rsidRPr="001F52A8">
        <w:t xml:space="preserve"> not chronological, objective history.</w:t>
      </w:r>
      <w:r w:rsidR="00F52B34" w:rsidRPr="001F52A8">
        <w:t xml:space="preserve"> </w:t>
      </w:r>
      <w:r w:rsidR="007700CD">
        <w:t>While it</w:t>
      </w:r>
      <w:r w:rsidR="00F52B34" w:rsidRPr="001F52A8">
        <w:t xml:space="preserve"> </w:t>
      </w:r>
      <w:r w:rsidR="0090536E">
        <w:t>concern</w:t>
      </w:r>
      <w:r w:rsidR="006E2D2E">
        <w:t>s</w:t>
      </w:r>
      <w:r w:rsidR="0090536E">
        <w:t xml:space="preserve"> itself with</w:t>
      </w:r>
      <w:r w:rsidR="00F52B34" w:rsidRPr="001F52A8">
        <w:t xml:space="preserve"> things that happened, </w:t>
      </w:r>
      <w:r w:rsidR="000A61B3" w:rsidRPr="001F52A8">
        <w:t>i</w:t>
      </w:r>
      <w:r w:rsidR="005B54DD" w:rsidRPr="001F52A8">
        <w:t xml:space="preserve">t uses imagination to </w:t>
      </w:r>
      <w:r w:rsidR="00E52C26">
        <w:t>discern</w:t>
      </w:r>
      <w:r w:rsidR="00E52C26" w:rsidRPr="001F52A8">
        <w:t xml:space="preserve"> </w:t>
      </w:r>
      <w:r w:rsidR="000A61B3" w:rsidRPr="001F52A8">
        <w:t xml:space="preserve">what sort of thing </w:t>
      </w:r>
      <w:r w:rsidR="00861561">
        <w:t>people</w:t>
      </w:r>
      <w:r w:rsidR="000A61B3" w:rsidRPr="001F52A8">
        <w:t xml:space="preserve"> could appropriately have said</w:t>
      </w:r>
      <w:r w:rsidR="00683D24" w:rsidRPr="001F52A8">
        <w:t>, felt, and thought, and what w</w:t>
      </w:r>
      <w:r w:rsidR="0018054D">
        <w:t>ill</w:t>
      </w:r>
      <w:r w:rsidR="00683D24" w:rsidRPr="001F52A8">
        <w:t xml:space="preserve"> help the </w:t>
      </w:r>
      <w:r w:rsidR="00861561">
        <w:t xml:space="preserve">audience </w:t>
      </w:r>
      <w:r w:rsidR="00683D24" w:rsidRPr="001F52A8">
        <w:t xml:space="preserve">understand </w:t>
      </w:r>
      <w:r w:rsidR="00EE1AC1" w:rsidRPr="001F52A8">
        <w:t xml:space="preserve">the significance of </w:t>
      </w:r>
      <w:r w:rsidR="00683D24" w:rsidRPr="001F52A8">
        <w:t>what was happening.</w:t>
      </w:r>
      <w:r w:rsidR="00B658CE" w:rsidRPr="001F52A8">
        <w:t xml:space="preserve"> </w:t>
      </w:r>
    </w:p>
    <w:p w14:paraId="0B090197" w14:textId="229C32C1" w:rsidR="00326355" w:rsidRPr="001F52A8" w:rsidRDefault="00326355" w:rsidP="00A67642">
      <w:r w:rsidRPr="001F52A8">
        <w:t>In the First Testament, there are works that are close to chronological history (e.g., parts of 2 Kings) and works that are close to fiction (e.g., Jonah)</w:t>
      </w:r>
      <w:r w:rsidR="001C0175">
        <w:t>, and s</w:t>
      </w:r>
      <w:r w:rsidR="006F2734" w:rsidRPr="001F52A8">
        <w:t xml:space="preserve">cholarly views on </w:t>
      </w:r>
      <w:r w:rsidR="006F2734">
        <w:t>Samuel’s</w:t>
      </w:r>
      <w:r w:rsidR="006F2734" w:rsidRPr="001F52A8">
        <w:t xml:space="preserve"> historical value vary. Whereas figures in Kings such as Omri and Hezekiah </w:t>
      </w:r>
      <w:r w:rsidR="006F2734">
        <w:t>feature</w:t>
      </w:r>
      <w:r w:rsidR="006F2734" w:rsidRPr="001F52A8">
        <w:t xml:space="preserve"> in other Middle Eastern documents, we have no mention of Saul </w:t>
      </w:r>
      <w:r w:rsidR="006F2734">
        <w:t>or</w:t>
      </w:r>
      <w:r w:rsidR="006F2734" w:rsidRPr="001F52A8">
        <w:t xml:space="preserve"> David, though an inscription from Tel Dan does refer to “the house of David.” The book</w:t>
      </w:r>
      <w:r w:rsidR="006F2734">
        <w:t xml:space="preserve"> covers a period when</w:t>
      </w:r>
      <w:r w:rsidR="006F2734" w:rsidRPr="001F52A8">
        <w:t xml:space="preserve"> Assyria and Egypt were in decline, which </w:t>
      </w:r>
      <w:r w:rsidR="006F2734">
        <w:t>could make</w:t>
      </w:r>
      <w:r w:rsidR="006F2734" w:rsidRPr="001F52A8">
        <w:t xml:space="preserve"> David </w:t>
      </w:r>
      <w:r w:rsidR="006F2734">
        <w:t xml:space="preserve">freer </w:t>
      </w:r>
      <w:r w:rsidR="006F2734" w:rsidRPr="001F52A8">
        <w:t>to assert himself in the region than would have been possible at some other times</w:t>
      </w:r>
      <w:r w:rsidR="004C330A">
        <w:t>. O</w:t>
      </w:r>
      <w:r w:rsidR="006F2734" w:rsidRPr="001F52A8">
        <w:t xml:space="preserve">ther peoples such as the Aramaeans, the Ammonites, and the Philistines </w:t>
      </w:r>
      <w:r w:rsidR="006F2734">
        <w:t>were doing the same. In this sense, David’s story is historically plausible.</w:t>
      </w:r>
      <w:r w:rsidR="006F2734" w:rsidRPr="001F52A8">
        <w:t xml:space="preserve"> </w:t>
      </w:r>
      <w:r w:rsidR="00986870">
        <w:t>But i</w:t>
      </w:r>
      <w:r w:rsidR="006F2734" w:rsidRPr="001F52A8">
        <w:t>ntensive scholarly research over two centuries has not generated progress in agreement on</w:t>
      </w:r>
      <w:r w:rsidR="006F2734">
        <w:t xml:space="preserve"> Samuel’s historical value</w:t>
      </w:r>
      <w:r w:rsidR="006F2734" w:rsidRPr="001F52A8">
        <w:t xml:space="preserve">. It </w:t>
      </w:r>
      <w:r w:rsidR="006F2734">
        <w:t>surely n</w:t>
      </w:r>
      <w:r w:rsidR="006F2734" w:rsidRPr="001F52A8">
        <w:t xml:space="preserve">ever will. There are scholars who believe that the narrative is simply factual, and scholars who believe it is pure fiction. </w:t>
      </w:r>
      <w:r w:rsidR="007C21D7">
        <w:t>While m</w:t>
      </w:r>
      <w:r w:rsidR="006F2734" w:rsidRPr="001F52A8">
        <w:t xml:space="preserve">y working assumption is that it is something in between, I do not know which pole it is nearer to. </w:t>
      </w:r>
      <w:r w:rsidR="00A67642">
        <w:t xml:space="preserve">On one hand, I assume that </w:t>
      </w:r>
      <w:r>
        <w:t>p</w:t>
      </w:r>
      <w:r w:rsidRPr="001F52A8">
        <w:t xml:space="preserve">eople such as Hannah, Eli, Saul, David, Abigail, Mephibosheth, and Bathsheba </w:t>
      </w:r>
      <w:r>
        <w:t xml:space="preserve">indeed </w:t>
      </w:r>
      <w:r w:rsidRPr="001F52A8">
        <w:t xml:space="preserve">lived in Israel in </w:t>
      </w:r>
      <w:r w:rsidRPr="001F52A8">
        <w:lastRenderedPageBreak/>
        <w:t xml:space="preserve">the eleventh and tenth centuries and lived the kind of lives that Samuel relates. </w:t>
      </w:r>
      <w:r w:rsidR="006D4F36">
        <w:t>In this sense th</w:t>
      </w:r>
      <w:r w:rsidR="00724FB1">
        <w:t>e</w:t>
      </w:r>
      <w:r w:rsidR="006D4F36">
        <w:t xml:space="preserve">y are </w:t>
      </w:r>
      <w:r w:rsidR="00724FB1">
        <w:t>li</w:t>
      </w:r>
      <w:r w:rsidR="006D4F36">
        <w:t xml:space="preserve">ke people </w:t>
      </w:r>
      <w:r w:rsidR="00102B2C">
        <w:t xml:space="preserve">such as </w:t>
      </w:r>
      <w:r w:rsidR="00724FB1">
        <w:t xml:space="preserve">Jehoiachin, </w:t>
      </w:r>
      <w:r w:rsidR="00102B2C">
        <w:t xml:space="preserve">Zedekiah, and </w:t>
      </w:r>
      <w:r w:rsidR="00724FB1">
        <w:t>Gedaliah</w:t>
      </w:r>
      <w:r w:rsidR="00102B2C">
        <w:t xml:space="preserve"> </w:t>
      </w:r>
      <w:r w:rsidR="00DB1765">
        <w:t xml:space="preserve">in </w:t>
      </w:r>
      <w:r w:rsidR="00724FB1">
        <w:t>2 Kings</w:t>
      </w:r>
      <w:r w:rsidR="00DB1765">
        <w:t xml:space="preserve">. </w:t>
      </w:r>
      <w:r>
        <w:t>While the Christian description of Joshua to Nehemiah as “The Historical Books” may give readers a narrow or thin perspective, it is not totally inappropriate.</w:t>
      </w:r>
      <w:r>
        <w:rPr>
          <w:rStyle w:val="FootnoteReference"/>
        </w:rPr>
        <w:footnoteReference w:id="10"/>
      </w:r>
      <w:r>
        <w:t xml:space="preserve"> </w:t>
      </w:r>
      <w:r w:rsidRPr="001F52A8">
        <w:t xml:space="preserve">But </w:t>
      </w:r>
      <w:r>
        <w:t>in</w:t>
      </w:r>
      <w:r w:rsidRPr="001F52A8">
        <w:t xml:space="preserve"> tell</w:t>
      </w:r>
      <w:r>
        <w:t>ing</w:t>
      </w:r>
      <w:r w:rsidRPr="001F52A8">
        <w:t xml:space="preserve"> the</w:t>
      </w:r>
      <w:r>
        <w:t>se people’s</w:t>
      </w:r>
      <w:r w:rsidRPr="001F52A8">
        <w:t xml:space="preserve"> stories</w:t>
      </w:r>
      <w:r>
        <w:t>, Samuel</w:t>
      </w:r>
      <w:r w:rsidRPr="001F52A8">
        <w:t xml:space="preserve"> uses the techniques of Jonah in imagining their lives, thinking, and conversations. </w:t>
      </w:r>
      <w:r>
        <w:t>I</w:t>
      </w:r>
      <w:r w:rsidRPr="001F52A8">
        <w:t>t si</w:t>
      </w:r>
      <w:r>
        <w:t>ts</w:t>
      </w:r>
      <w:r w:rsidRPr="001F52A8">
        <w:t xml:space="preserve"> between Homer and Herodotus as a work that relates a historical story in a</w:t>
      </w:r>
      <w:r>
        <w:t>n imaginative</w:t>
      </w:r>
      <w:r w:rsidRPr="001F52A8">
        <w:t xml:space="preserve"> way.</w:t>
      </w:r>
    </w:p>
    <w:p w14:paraId="744EED30" w14:textId="3C5644E5" w:rsidR="00B170E4" w:rsidRPr="001F52A8" w:rsidRDefault="00440714" w:rsidP="00B170E4">
      <w:r>
        <w:t>S</w:t>
      </w:r>
      <w:r w:rsidR="00B170E4" w:rsidRPr="001F52A8">
        <w:t xml:space="preserve">tudying the </w:t>
      </w:r>
      <w:r w:rsidR="00526388">
        <w:t xml:space="preserve">Samuel </w:t>
      </w:r>
      <w:r w:rsidR="00B170E4" w:rsidRPr="001F52A8">
        <w:t xml:space="preserve">narrative is </w:t>
      </w:r>
      <w:r w:rsidR="00FC679A">
        <w:t xml:space="preserve">then </w:t>
      </w:r>
      <w:r w:rsidR="00AA14F3">
        <w:t>aga</w:t>
      </w:r>
      <w:r w:rsidR="008F14C0">
        <w:t xml:space="preserve">in </w:t>
      </w:r>
      <w:r w:rsidR="00B170E4" w:rsidRPr="001F52A8">
        <w:t>comparable with studying Shakespeare’s “historical” plays</w:t>
      </w:r>
      <w:r w:rsidR="00E2352E">
        <w:t xml:space="preserve">. </w:t>
      </w:r>
      <w:r w:rsidR="00FC679A">
        <w:t>One can</w:t>
      </w:r>
      <w:r w:rsidR="00B170E4" w:rsidRPr="001F52A8">
        <w:t xml:space="preserve"> investigate their sources and</w:t>
      </w:r>
      <w:r w:rsidR="00FC679A">
        <w:t xml:space="preserve"> the</w:t>
      </w:r>
      <w:r w:rsidR="00B170E4" w:rsidRPr="001F52A8">
        <w:t xml:space="preserve"> historical events to which they refer, </w:t>
      </w:r>
      <w:r w:rsidR="00E2352E">
        <w:t>and</w:t>
      </w:r>
      <w:r w:rsidR="00526388">
        <w:t>/or</w:t>
      </w:r>
      <w:r w:rsidR="00E2352E">
        <w:t xml:space="preserve"> </w:t>
      </w:r>
      <w:r w:rsidR="00B170E4" w:rsidRPr="001F52A8">
        <w:t>study the play</w:t>
      </w:r>
      <w:r w:rsidR="00194AFF">
        <w:t>s</w:t>
      </w:r>
      <w:r w:rsidR="00B170E4" w:rsidRPr="001F52A8">
        <w:t xml:space="preserve"> </w:t>
      </w:r>
      <w:r w:rsidR="00194AFF">
        <w:t>themselves</w:t>
      </w:r>
      <w:r w:rsidR="00B170E4" w:rsidRPr="001F52A8">
        <w:t xml:space="preserve"> and </w:t>
      </w:r>
      <w:r w:rsidR="00194AFF">
        <w:t>their</w:t>
      </w:r>
      <w:r w:rsidR="00B170E4" w:rsidRPr="001F52A8">
        <w:t xml:space="preserve"> theology or ethics or ideology</w:t>
      </w:r>
      <w:r w:rsidR="00194AFF">
        <w:t>;</w:t>
      </w:r>
      <w:r w:rsidR="00C72166">
        <w:t xml:space="preserve"> the</w:t>
      </w:r>
      <w:r w:rsidR="00664C93">
        <w:t xml:space="preserve"> </w:t>
      </w:r>
      <w:r w:rsidR="00C72166">
        <w:t xml:space="preserve">forms of study </w:t>
      </w:r>
      <w:r w:rsidR="00664C93">
        <w:t>have</w:t>
      </w:r>
      <w:r w:rsidR="00C72166">
        <w:t xml:space="preserve"> different aims</w:t>
      </w:r>
      <w:r w:rsidR="00B170E4" w:rsidRPr="001F52A8">
        <w:t xml:space="preserve">. </w:t>
      </w:r>
      <w:r w:rsidR="00A455F3">
        <w:t>In this volume we are concerned with</w:t>
      </w:r>
      <w:r w:rsidR="00B170E4" w:rsidRPr="001F52A8">
        <w:t xml:space="preserve"> “the plays.”</w:t>
      </w:r>
      <w:r w:rsidR="00C93749">
        <w:t xml:space="preserve"> </w:t>
      </w:r>
      <w:r w:rsidR="00E01EA4">
        <w:t xml:space="preserve">Actually, </w:t>
      </w:r>
      <w:r w:rsidR="00B170E4" w:rsidRPr="001F52A8">
        <w:t>“</w:t>
      </w:r>
      <w:r w:rsidR="00E01EA4">
        <w:t>y</w:t>
      </w:r>
      <w:r w:rsidR="00B170E4" w:rsidRPr="001F52A8">
        <w:t xml:space="preserve">ou wouldn’t go to </w:t>
      </w:r>
      <w:r w:rsidR="00B170E4" w:rsidRPr="001F52A8">
        <w:rPr>
          <w:i/>
          <w:iCs/>
        </w:rPr>
        <w:t>Macbeth</w:t>
      </w:r>
      <w:r w:rsidR="00B170E4" w:rsidRPr="001F52A8">
        <w:t xml:space="preserve"> to learn about the history of Scotland – you go to it to learn what a man feels like after he’s gained a kingdom and lost his soul.”</w:t>
      </w:r>
      <w:r w:rsidR="00B170E4" w:rsidRPr="001F52A8">
        <w:rPr>
          <w:rStyle w:val="FootnoteReference"/>
        </w:rPr>
        <w:footnoteReference w:id="11"/>
      </w:r>
      <w:r w:rsidR="00FC490A">
        <w:t xml:space="preserve"> </w:t>
      </w:r>
    </w:p>
    <w:p w14:paraId="0456B202" w14:textId="5D04EEDD" w:rsidR="00553A88" w:rsidRPr="001F52A8" w:rsidRDefault="005E6D83" w:rsidP="005E6D83">
      <w:r w:rsidRPr="001F52A8">
        <w:t xml:space="preserve">Samuel has a further parallel with </w:t>
      </w:r>
      <w:r w:rsidR="006D15FA">
        <w:t>(</w:t>
      </w:r>
      <w:r w:rsidRPr="001F52A8">
        <w:t>post</w:t>
      </w:r>
      <w:r w:rsidR="006D15FA">
        <w:t>)</w:t>
      </w:r>
      <w:r w:rsidRPr="001F52A8">
        <w:t xml:space="preserve">modern drama. It’s quite common for individual episodes in a television series to jump forward and backward, and </w:t>
      </w:r>
      <w:r w:rsidR="00E01EA4">
        <w:t>to make</w:t>
      </w:r>
      <w:r w:rsidRPr="001F52A8">
        <w:t xml:space="preserve"> such jumps within an episode. So it </w:t>
      </w:r>
      <w:r w:rsidR="000B492E">
        <w:t xml:space="preserve">is </w:t>
      </w:r>
      <w:r w:rsidRPr="001F52A8">
        <w:t xml:space="preserve">with Samuel. First Samuel 13 – 15 comprises two accounts of Yahweh’s decision to terminate Saul’s reign or not allow him to be the beginning of a dynasty. These accounts directly follow on his accession as king and they are but the beginning of an account of his reign. They function to tell the </w:t>
      </w:r>
      <w:r w:rsidR="00CF1E76">
        <w:t>auditors</w:t>
      </w:r>
      <w:r w:rsidRPr="001F52A8">
        <w:t xml:space="preserve"> where the story is going, but their message is not presupposed by the chapters that follow</w:t>
      </w:r>
      <w:r w:rsidR="007118C9">
        <w:t>, which</w:t>
      </w:r>
      <w:r w:rsidRPr="001F52A8">
        <w:t xml:space="preserve"> tell the </w:t>
      </w:r>
      <w:r w:rsidR="00CF1E76">
        <w:t>auditors</w:t>
      </w:r>
      <w:r w:rsidRPr="001F52A8">
        <w:t xml:space="preserve"> how his story eventually reached this denouement. </w:t>
      </w:r>
      <w:r w:rsidR="00117D67">
        <w:t>Samuel’s own story constitutes a series of snap</w:t>
      </w:r>
      <w:r w:rsidR="00A021D8">
        <w:t>shots from his birth, his summons maybe t</w:t>
      </w:r>
      <w:r w:rsidR="008A3BCB">
        <w:t>w</w:t>
      </w:r>
      <w:r w:rsidR="00A021D8">
        <w:t xml:space="preserve">enty years later, his </w:t>
      </w:r>
      <w:r w:rsidR="008A3BCB">
        <w:t>challenge to turn to Yahweh another twenty years lat</w:t>
      </w:r>
      <w:r w:rsidR="00BB68F3">
        <w:t>e</w:t>
      </w:r>
      <w:r w:rsidR="008A3BCB">
        <w:t>r</w:t>
      </w:r>
      <w:r w:rsidR="00BB68F3">
        <w:t>, and his old age</w:t>
      </w:r>
      <w:r w:rsidR="007D6DC4">
        <w:t xml:space="preserve"> (though he then takes </w:t>
      </w:r>
      <w:r w:rsidR="0023076C">
        <w:t xml:space="preserve">fifteen chapters to die). </w:t>
      </w:r>
      <w:r w:rsidR="004836E7">
        <w:t>In David’s story</w:t>
      </w:r>
      <w:r w:rsidR="009A0FF7">
        <w:t xml:space="preserve">, the </w:t>
      </w:r>
      <w:r w:rsidR="00A40636">
        <w:t xml:space="preserve">sequence of </w:t>
      </w:r>
      <w:r w:rsidR="00057463">
        <w:t>material</w:t>
      </w:r>
      <w:r w:rsidR="00A40636">
        <w:t xml:space="preserve"> in 2 Samuel 2 </w:t>
      </w:r>
      <w:r w:rsidR="00057463">
        <w:t>–</w:t>
      </w:r>
      <w:r w:rsidR="00A40636">
        <w:t xml:space="preserve"> 10</w:t>
      </w:r>
      <w:r w:rsidR="00057463">
        <w:t xml:space="preserve"> is as much thematic</w:t>
      </w:r>
      <w:r w:rsidR="00BB68F3">
        <w:t xml:space="preserve"> </w:t>
      </w:r>
      <w:r w:rsidR="00057463">
        <w:t>as chronological</w:t>
      </w:r>
      <w:r w:rsidR="00EF7AE8">
        <w:t xml:space="preserve">, though 2 Samuel </w:t>
      </w:r>
      <w:r w:rsidR="00AE1F80">
        <w:t xml:space="preserve">11 </w:t>
      </w:r>
      <w:r w:rsidR="00D91500">
        <w:t>–</w:t>
      </w:r>
      <w:r w:rsidR="00AE1F80">
        <w:t xml:space="preserve"> 20</w:t>
      </w:r>
      <w:r w:rsidR="00D91500">
        <w:t xml:space="preserve"> then follows a mor</w:t>
      </w:r>
      <w:r w:rsidR="000F7F70">
        <w:t>e</w:t>
      </w:r>
      <w:r w:rsidR="00D91500">
        <w:t xml:space="preserve"> connected chronological sequence</w:t>
      </w:r>
      <w:r w:rsidR="00904EFC">
        <w:t>.</w:t>
      </w:r>
      <w:r w:rsidR="00057463">
        <w:t xml:space="preserve"> </w:t>
      </w:r>
      <w:r w:rsidR="00904EFC">
        <w:t>T</w:t>
      </w:r>
      <w:r w:rsidR="00AE1F80">
        <w:t>he closing four chapters</w:t>
      </w:r>
      <w:r w:rsidR="00904EFC">
        <w:t xml:space="preserve"> comprise a collection of </w:t>
      </w:r>
      <w:r w:rsidR="00902728">
        <w:t>songs of praise</w:t>
      </w:r>
      <w:r w:rsidR="0048572B">
        <w:t>, lists, and</w:t>
      </w:r>
      <w:r w:rsidR="00902728">
        <w:t xml:space="preserve"> stories from different periods to bring the book to an end.</w:t>
      </w:r>
      <w:r w:rsidR="004A4CBD">
        <w:t xml:space="preserve"> The order of the book is often dramatic</w:t>
      </w:r>
      <w:r w:rsidR="00BC2DBB">
        <w:t xml:space="preserve"> rather than chronological.</w:t>
      </w:r>
    </w:p>
    <w:p w14:paraId="4D6F546C" w14:textId="74D18449" w:rsidR="003A6D7C" w:rsidRPr="001F52A8" w:rsidRDefault="00BC2DBB" w:rsidP="003A6D7C">
      <w:r>
        <w:t>Further,</w:t>
      </w:r>
      <w:r w:rsidR="003A6D7C" w:rsidRPr="001F52A8">
        <w:t xml:space="preserve"> several writers, directors, and producers </w:t>
      </w:r>
      <w:r>
        <w:t xml:space="preserve">of a television series </w:t>
      </w:r>
      <w:r w:rsidR="00646204">
        <w:t>may</w:t>
      </w:r>
      <w:r w:rsidR="003A6D7C" w:rsidRPr="001F52A8">
        <w:t xml:space="preserve"> contribute different episodes. The Samuel scroll brings together material of various kinds from various origins, with less concern for smoothness than normally obtains in television. The material includes:</w:t>
      </w:r>
    </w:p>
    <w:p w14:paraId="4306A4FA" w14:textId="77777777" w:rsidR="003A6D7C" w:rsidRPr="001F52A8" w:rsidRDefault="003A6D7C" w:rsidP="003A6D7C"/>
    <w:p w14:paraId="70F3DA51" w14:textId="4C61C61A" w:rsidR="003A6D7C" w:rsidRPr="001F52A8" w:rsidRDefault="00444950" w:rsidP="003A6D7C">
      <w:pPr>
        <w:pStyle w:val="ListParagraph"/>
        <w:numPr>
          <w:ilvl w:val="0"/>
          <w:numId w:val="2"/>
        </w:numPr>
        <w:suppressAutoHyphens w:val="0"/>
        <w:autoSpaceDN/>
        <w:spacing w:after="0" w:afterAutospacing="0"/>
        <w:ind w:left="1080"/>
        <w:textAlignment w:val="auto"/>
        <w:rPr>
          <w:lang w:val="en-US"/>
        </w:rPr>
      </w:pPr>
      <w:r>
        <w:rPr>
          <w:lang w:val="en-US"/>
        </w:rPr>
        <w:t>An account of</w:t>
      </w:r>
      <w:r w:rsidR="003A6D7C" w:rsidRPr="001F52A8">
        <w:rPr>
          <w:lang w:val="en-US"/>
        </w:rPr>
        <w:t xml:space="preserve"> Samuel’s origins (1 Sam 1 – 4:1a)</w:t>
      </w:r>
    </w:p>
    <w:p w14:paraId="560B4AEA" w14:textId="77777777" w:rsidR="003A6D7C" w:rsidRPr="001F52A8" w:rsidRDefault="003A6D7C" w:rsidP="003A6D7C">
      <w:pPr>
        <w:pStyle w:val="ListParagraph"/>
        <w:ind w:left="1080" w:firstLine="0"/>
        <w:rPr>
          <w:lang w:val="en-US"/>
        </w:rPr>
      </w:pPr>
      <w:r w:rsidRPr="001F52A8">
        <w:rPr>
          <w:lang w:val="en-US"/>
        </w:rPr>
        <w:t>within it, Hannah’s thanksgiving in 2:1-10 stands out as a separable unit</w:t>
      </w:r>
    </w:p>
    <w:p w14:paraId="0A45C5A8" w14:textId="5DF9AAA9" w:rsidR="003A6D7C" w:rsidRPr="001F52A8" w:rsidRDefault="003A6D7C" w:rsidP="003A6D7C">
      <w:pPr>
        <w:pStyle w:val="ListParagraph"/>
        <w:numPr>
          <w:ilvl w:val="0"/>
          <w:numId w:val="2"/>
        </w:numPr>
        <w:suppressAutoHyphens w:val="0"/>
        <w:autoSpaceDN/>
        <w:spacing w:after="0" w:afterAutospacing="0"/>
        <w:ind w:left="1080"/>
        <w:textAlignment w:val="auto"/>
        <w:rPr>
          <w:lang w:val="en-US"/>
        </w:rPr>
      </w:pPr>
      <w:r w:rsidRPr="001F52A8">
        <w:rPr>
          <w:lang w:val="en-US"/>
        </w:rPr>
        <w:t>A</w:t>
      </w:r>
      <w:r w:rsidR="00444950">
        <w:rPr>
          <w:lang w:val="en-US"/>
        </w:rPr>
        <w:t xml:space="preserve"> narrative</w:t>
      </w:r>
      <w:r w:rsidRPr="001F52A8">
        <w:rPr>
          <w:lang w:val="en-US"/>
        </w:rPr>
        <w:t xml:space="preserve"> about the covenant chest (4:1b – 7:1)</w:t>
      </w:r>
    </w:p>
    <w:p w14:paraId="31BC7EEC" w14:textId="128E1253" w:rsidR="003A6D7C" w:rsidRPr="001F52A8" w:rsidRDefault="003A6D7C" w:rsidP="003A6D7C">
      <w:pPr>
        <w:pStyle w:val="ListParagraph"/>
        <w:numPr>
          <w:ilvl w:val="0"/>
          <w:numId w:val="2"/>
        </w:numPr>
        <w:suppressAutoHyphens w:val="0"/>
        <w:autoSpaceDN/>
        <w:spacing w:after="0" w:afterAutospacing="0"/>
        <w:ind w:left="1080"/>
        <w:textAlignment w:val="auto"/>
        <w:rPr>
          <w:lang w:val="en-US"/>
        </w:rPr>
      </w:pPr>
      <w:r w:rsidRPr="001F52A8">
        <w:rPr>
          <w:lang w:val="en-US"/>
        </w:rPr>
        <w:t>A</w:t>
      </w:r>
      <w:r w:rsidR="00444950">
        <w:rPr>
          <w:lang w:val="en-US"/>
        </w:rPr>
        <w:t>n account</w:t>
      </w:r>
      <w:r w:rsidRPr="001F52A8">
        <w:rPr>
          <w:lang w:val="en-US"/>
        </w:rPr>
        <w:t xml:space="preserve"> about how Saul came to be king (7:2 – 12:25)</w:t>
      </w:r>
    </w:p>
    <w:p w14:paraId="275DE2C0" w14:textId="3087B90F" w:rsidR="003A6D7C" w:rsidRPr="001F52A8" w:rsidRDefault="003A6D7C" w:rsidP="003A6D7C">
      <w:pPr>
        <w:pStyle w:val="ListParagraph"/>
        <w:ind w:left="1080" w:firstLine="0"/>
        <w:rPr>
          <w:lang w:val="en-US"/>
        </w:rPr>
      </w:pPr>
      <w:r w:rsidRPr="001F52A8">
        <w:rPr>
          <w:lang w:val="en-US"/>
        </w:rPr>
        <w:t>It incorporate</w:t>
      </w:r>
      <w:r w:rsidR="00945C2F">
        <w:rPr>
          <w:lang w:val="en-US"/>
        </w:rPr>
        <w:t>s</w:t>
      </w:r>
      <w:r w:rsidRPr="001F52A8">
        <w:rPr>
          <w:lang w:val="en-US"/>
        </w:rPr>
        <w:t xml:space="preserve"> more positive and more negative accounts of the idea of having a king</w:t>
      </w:r>
      <w:r w:rsidR="0017686A">
        <w:rPr>
          <w:rStyle w:val="FootnoteReference"/>
          <w:lang w:val="en-US"/>
        </w:rPr>
        <w:footnoteReference w:id="12"/>
      </w:r>
    </w:p>
    <w:p w14:paraId="57D0B05F" w14:textId="0CCB2CDD" w:rsidR="003A6D7C" w:rsidRPr="001F52A8" w:rsidRDefault="003A6D7C" w:rsidP="003A6D7C">
      <w:pPr>
        <w:pStyle w:val="ListParagraph"/>
        <w:numPr>
          <w:ilvl w:val="0"/>
          <w:numId w:val="2"/>
        </w:numPr>
        <w:suppressAutoHyphens w:val="0"/>
        <w:autoSpaceDN/>
        <w:spacing w:after="0" w:afterAutospacing="0"/>
        <w:ind w:left="1080"/>
        <w:textAlignment w:val="auto"/>
        <w:rPr>
          <w:lang w:val="en-US"/>
        </w:rPr>
      </w:pPr>
      <w:r w:rsidRPr="001F52A8">
        <w:rPr>
          <w:lang w:val="en-US"/>
        </w:rPr>
        <w:t xml:space="preserve">A </w:t>
      </w:r>
      <w:r w:rsidR="00F562A9">
        <w:rPr>
          <w:lang w:val="en-US"/>
        </w:rPr>
        <w:t>narrative</w:t>
      </w:r>
      <w:r w:rsidRPr="001F52A8">
        <w:rPr>
          <w:lang w:val="en-US"/>
        </w:rPr>
        <w:t xml:space="preserve"> about how Samuel rejected Saul (13:1 – 16:13)</w:t>
      </w:r>
    </w:p>
    <w:p w14:paraId="7C0B176E" w14:textId="6B8ED93C" w:rsidR="003A6D7C" w:rsidRPr="001F52A8" w:rsidRDefault="003A6D7C" w:rsidP="003A6D7C">
      <w:pPr>
        <w:pStyle w:val="ListParagraph"/>
        <w:ind w:left="1080" w:firstLine="0"/>
        <w:rPr>
          <w:lang w:val="en-US"/>
        </w:rPr>
      </w:pPr>
      <w:r w:rsidRPr="001F52A8">
        <w:rPr>
          <w:lang w:val="en-US"/>
        </w:rPr>
        <w:t xml:space="preserve">It includes two stories about Yahweh’s dismissal of Saul, which opens the way for David </w:t>
      </w:r>
    </w:p>
    <w:p w14:paraId="508EDEE1" w14:textId="736B0EF8" w:rsidR="003A6D7C" w:rsidRPr="001F52A8" w:rsidRDefault="003A6D7C" w:rsidP="003A6D7C">
      <w:pPr>
        <w:pStyle w:val="ListParagraph"/>
        <w:numPr>
          <w:ilvl w:val="0"/>
          <w:numId w:val="2"/>
        </w:numPr>
        <w:suppressAutoHyphens w:val="0"/>
        <w:autoSpaceDN/>
        <w:spacing w:after="0" w:afterAutospacing="0"/>
        <w:ind w:left="1080"/>
        <w:textAlignment w:val="auto"/>
        <w:rPr>
          <w:lang w:val="en-US"/>
        </w:rPr>
      </w:pPr>
      <w:r w:rsidRPr="001F52A8">
        <w:rPr>
          <w:lang w:val="en-US"/>
        </w:rPr>
        <w:lastRenderedPageBreak/>
        <w:t>A substantial narrative about how David comes to succeed Saul (1 Sam 16:14 – Sam 4:5). It includes several examples of two stories going over the same ground: two about David’s introduction to Saul (16:14 – 23; 17:1</w:t>
      </w:r>
      <w:r w:rsidR="00DB7B03" w:rsidRPr="001F52A8">
        <w:rPr>
          <w:lang w:val="en-US"/>
        </w:rPr>
        <w:t>-</w:t>
      </w:r>
      <w:r w:rsidRPr="001F52A8">
        <w:rPr>
          <w:lang w:val="en-US"/>
        </w:rPr>
        <w:t>40), two about the Ziphites betraying David to Saul (23:19</w:t>
      </w:r>
      <w:r w:rsidR="00DB7B03" w:rsidRPr="001F52A8">
        <w:rPr>
          <w:lang w:val="en-US"/>
        </w:rPr>
        <w:t>-</w:t>
      </w:r>
      <w:r w:rsidRPr="001F52A8">
        <w:rPr>
          <w:lang w:val="en-US"/>
        </w:rPr>
        <w:t>28; 26:1</w:t>
      </w:r>
      <w:r w:rsidR="00DB7B03" w:rsidRPr="001F52A8">
        <w:rPr>
          <w:lang w:val="en-US"/>
        </w:rPr>
        <w:t>-</w:t>
      </w:r>
      <w:r w:rsidRPr="001F52A8">
        <w:rPr>
          <w:lang w:val="en-US"/>
        </w:rPr>
        <w:t>5), and two about David refraining from killing Saul when he has the chance (24: 1</w:t>
      </w:r>
      <w:r w:rsidR="00DB7B03" w:rsidRPr="001F52A8">
        <w:rPr>
          <w:lang w:val="en-US"/>
        </w:rPr>
        <w:t>-</w:t>
      </w:r>
      <w:r w:rsidRPr="001F52A8">
        <w:rPr>
          <w:lang w:val="en-US"/>
        </w:rPr>
        <w:t>22; 26:6</w:t>
      </w:r>
      <w:r w:rsidR="00DB7B03" w:rsidRPr="001F52A8">
        <w:rPr>
          <w:lang w:val="en-US"/>
        </w:rPr>
        <w:t>-</w:t>
      </w:r>
      <w:r w:rsidRPr="001F52A8">
        <w:rPr>
          <w:lang w:val="en-US"/>
        </w:rPr>
        <w:t>25).</w:t>
      </w:r>
      <w:r w:rsidR="00ED4F7B">
        <w:rPr>
          <w:lang w:val="en-US"/>
        </w:rPr>
        <w:t xml:space="preserve"> </w:t>
      </w:r>
    </w:p>
    <w:p w14:paraId="14094AC3" w14:textId="5F3D147F" w:rsidR="003A6D7C" w:rsidRPr="001F52A8" w:rsidRDefault="003A6D7C" w:rsidP="003A6D7C">
      <w:pPr>
        <w:pStyle w:val="ListParagraph"/>
        <w:numPr>
          <w:ilvl w:val="0"/>
          <w:numId w:val="2"/>
        </w:numPr>
        <w:suppressAutoHyphens w:val="0"/>
        <w:autoSpaceDN/>
        <w:spacing w:after="0" w:afterAutospacing="0"/>
        <w:ind w:left="1080"/>
        <w:textAlignment w:val="auto"/>
        <w:rPr>
          <w:lang w:val="en-US"/>
        </w:rPr>
      </w:pPr>
      <w:r w:rsidRPr="001F52A8">
        <w:rPr>
          <w:lang w:val="en-US"/>
        </w:rPr>
        <w:t xml:space="preserve">An account of David’s becoming king and his success as king (2 Sam 5:1 – </w:t>
      </w:r>
      <w:r w:rsidR="003760BA">
        <w:rPr>
          <w:lang w:val="en-US"/>
        </w:rPr>
        <w:t>10:19</w:t>
      </w:r>
      <w:r w:rsidRPr="001F52A8">
        <w:rPr>
          <w:lang w:val="en-US"/>
        </w:rPr>
        <w:t>)</w:t>
      </w:r>
    </w:p>
    <w:p w14:paraId="4385D955" w14:textId="5401CE49" w:rsidR="003A6D7C" w:rsidRPr="001F52A8" w:rsidRDefault="003A6D7C" w:rsidP="003A6D7C">
      <w:pPr>
        <w:pStyle w:val="ListParagraph"/>
        <w:numPr>
          <w:ilvl w:val="0"/>
          <w:numId w:val="2"/>
        </w:numPr>
        <w:suppressAutoHyphens w:val="0"/>
        <w:autoSpaceDN/>
        <w:spacing w:after="0" w:afterAutospacing="0"/>
        <w:ind w:left="1080"/>
        <w:textAlignment w:val="auto"/>
        <w:rPr>
          <w:lang w:val="en-US"/>
        </w:rPr>
      </w:pPr>
      <w:r w:rsidRPr="001F52A8">
        <w:rPr>
          <w:lang w:val="en-US"/>
        </w:rPr>
        <w:t>A substantial narrative about the great failures of David’s life and the consequences regarding the question of who will succeed him (1</w:t>
      </w:r>
      <w:r w:rsidR="003760BA">
        <w:rPr>
          <w:lang w:val="en-US"/>
        </w:rPr>
        <w:t>1</w:t>
      </w:r>
      <w:r w:rsidRPr="001F52A8">
        <w:rPr>
          <w:lang w:val="en-US"/>
        </w:rPr>
        <w:t>:1 – 20:25)</w:t>
      </w:r>
      <w:r w:rsidR="007C7C05" w:rsidRPr="001F52A8">
        <w:rPr>
          <w:lang w:val="en-US"/>
        </w:rPr>
        <w:t xml:space="preserve">. </w:t>
      </w:r>
      <w:r w:rsidR="003D1F45" w:rsidRPr="001F52A8">
        <w:rPr>
          <w:lang w:val="en-US"/>
        </w:rPr>
        <w:t>.</w:t>
      </w:r>
    </w:p>
    <w:p w14:paraId="00EF5817" w14:textId="77777777" w:rsidR="003A6D7C" w:rsidRPr="001F52A8" w:rsidRDefault="003A6D7C" w:rsidP="003A6D7C">
      <w:pPr>
        <w:pStyle w:val="ListParagraph"/>
        <w:numPr>
          <w:ilvl w:val="0"/>
          <w:numId w:val="2"/>
        </w:numPr>
        <w:suppressAutoHyphens w:val="0"/>
        <w:autoSpaceDN/>
        <w:spacing w:after="0" w:afterAutospacing="0"/>
        <w:ind w:left="1080"/>
        <w:textAlignment w:val="auto"/>
        <w:rPr>
          <w:lang w:val="en-US"/>
        </w:rPr>
      </w:pPr>
      <w:r w:rsidRPr="001F52A8">
        <w:rPr>
          <w:lang w:val="en-US"/>
        </w:rPr>
        <w:t>Some closing footnotes to David’s story (21:1 – 24:25)</w:t>
      </w:r>
    </w:p>
    <w:p w14:paraId="79132565" w14:textId="77777777" w:rsidR="003A6D7C" w:rsidRPr="001F52A8" w:rsidRDefault="003A6D7C" w:rsidP="003A6D7C">
      <w:pPr>
        <w:jc w:val="both"/>
      </w:pPr>
    </w:p>
    <w:p w14:paraId="77A0E0A0" w14:textId="756744CA" w:rsidR="00B07563" w:rsidRPr="001F52A8" w:rsidRDefault="0051260F" w:rsidP="00A5612F">
      <w:pPr>
        <w:ind w:firstLine="0"/>
      </w:pPr>
      <w:r w:rsidRPr="001F52A8">
        <w:t>While the broad structure and plot of the work is clear, it doesn</w:t>
      </w:r>
      <w:r w:rsidR="007B60BB">
        <w:t>’</w:t>
      </w:r>
      <w:r w:rsidRPr="001F52A8">
        <w:t xml:space="preserve">t provide explicit markers of </w:t>
      </w:r>
      <w:r w:rsidR="007B60BB">
        <w:t>a</w:t>
      </w:r>
      <w:r w:rsidRPr="001F52A8">
        <w:t xml:space="preserve"> structure, so any </w:t>
      </w:r>
      <w:r w:rsidR="008D338B" w:rsidRPr="001F52A8">
        <w:t>structure</w:t>
      </w:r>
      <w:r w:rsidRPr="001F52A8">
        <w:t xml:space="preserve"> </w:t>
      </w:r>
      <w:r w:rsidR="008D338B" w:rsidRPr="001F52A8">
        <w:t xml:space="preserve">of the kind just outlined comes in part from the imagination of the </w:t>
      </w:r>
      <w:r w:rsidR="00B07BF2" w:rsidRPr="001F52A8">
        <w:t>reader; other commentators lay it out differently.</w:t>
      </w:r>
      <w:r w:rsidR="00A8782B" w:rsidRPr="001F52A8">
        <w:rPr>
          <w:rStyle w:val="FootnoteReference"/>
        </w:rPr>
        <w:footnoteReference w:id="13"/>
      </w:r>
      <w:r w:rsidR="00B07BF2" w:rsidRPr="001F52A8">
        <w:t xml:space="preserve"> </w:t>
      </w:r>
    </w:p>
    <w:p w14:paraId="4CF871A4" w14:textId="77777777" w:rsidR="00314843" w:rsidRDefault="00AF37DC" w:rsidP="00AF37DC">
      <w:r w:rsidRPr="001F52A8">
        <w:t xml:space="preserve">There are many ways to do Old or New Testament theology, as is revealed by a glance at the volumes in the series to which this </w:t>
      </w:r>
      <w:r w:rsidR="00B668A2">
        <w:t>volume</w:t>
      </w:r>
      <w:r w:rsidRPr="001F52A8">
        <w:t xml:space="preserve"> belongs and in its companion series on the New Testament. Different approaches allow different insights to emerge from the text. Samuel is a narrative book, which </w:t>
      </w:r>
      <w:r w:rsidR="00743702">
        <w:t xml:space="preserve">makes for a </w:t>
      </w:r>
      <w:r w:rsidRPr="001F52A8">
        <w:t xml:space="preserve">distinctive </w:t>
      </w:r>
      <w:r w:rsidR="00743702">
        <w:t>approach to</w:t>
      </w:r>
      <w:r w:rsidRPr="001F52A8">
        <w:t xml:space="preserve"> do</w:t>
      </w:r>
      <w:r w:rsidR="00743702">
        <w:t>ing</w:t>
      </w:r>
      <w:r w:rsidRPr="001F52A8">
        <w:t xml:space="preserve"> theology and distinctive implications for reflection on its theological </w:t>
      </w:r>
      <w:r w:rsidR="002A5A38">
        <w:t>significance</w:t>
      </w:r>
      <w:r w:rsidRPr="001F52A8">
        <w:t>.</w:t>
      </w:r>
      <w:r>
        <w:t xml:space="preserve"> This fact is more obvious since the “literary turn” in the Humanities during the last decades of the twentieth century, which affected biblical studies and issued in a number of illuminating studies of Samuel</w:t>
      </w:r>
      <w:r w:rsidR="009347E8">
        <w:t>.</w:t>
      </w:r>
      <w:r>
        <w:rPr>
          <w:rStyle w:val="FootnoteReference"/>
        </w:rPr>
        <w:footnoteReference w:id="14"/>
      </w:r>
      <w:r>
        <w:t xml:space="preserve"> These literary studies have especially worked with the regular focuses of literary study, particularly the human characters; in this </w:t>
      </w:r>
      <w:r w:rsidR="00F12A56">
        <w:t>volume</w:t>
      </w:r>
      <w:r>
        <w:t xml:space="preserve"> we work more with the theological implications of the narrative. </w:t>
      </w:r>
    </w:p>
    <w:p w14:paraId="50920699" w14:textId="67874F41" w:rsidR="00AF37DC" w:rsidRDefault="00AF37DC" w:rsidP="00AF37DC">
      <w:r w:rsidRPr="001F52A8">
        <w:t>The characteristic</w:t>
      </w:r>
      <w:r>
        <w:t>s of Samuel’s theological approach</w:t>
      </w:r>
      <w:r w:rsidRPr="001F52A8">
        <w:t xml:space="preserve"> </w:t>
      </w:r>
      <w:r>
        <w:t xml:space="preserve">as a narrative </w:t>
      </w:r>
      <w:r w:rsidRPr="001F52A8">
        <w:t>need not be unique to a narrative book, but they come out particularly clearly in a narrative book.</w:t>
      </w:r>
    </w:p>
    <w:p w14:paraId="0D140EE6" w14:textId="77777777" w:rsidR="00AF37DC" w:rsidRPr="001F52A8" w:rsidRDefault="00AF37DC" w:rsidP="00AF37DC"/>
    <w:p w14:paraId="558C55EF" w14:textId="4F61E4D9" w:rsidR="00AF37DC" w:rsidRPr="001F52A8" w:rsidRDefault="00AF37DC" w:rsidP="00AF37DC">
      <w:pPr>
        <w:pStyle w:val="ListParagraph"/>
        <w:numPr>
          <w:ilvl w:val="0"/>
          <w:numId w:val="1"/>
        </w:numPr>
        <w:suppressAutoHyphens w:val="0"/>
        <w:autoSpaceDN/>
        <w:spacing w:after="0" w:afterAutospacing="0"/>
        <w:ind w:left="720"/>
        <w:textAlignment w:val="auto"/>
        <w:rPr>
          <w:lang w:val="en-US"/>
        </w:rPr>
      </w:pPr>
      <w:r w:rsidRPr="001F52A8">
        <w:rPr>
          <w:lang w:val="en-US"/>
        </w:rPr>
        <w:t>It focuses more on something that God did do, once, than on general statements about what God always does</w:t>
      </w:r>
      <w:r w:rsidR="00F12A56">
        <w:rPr>
          <w:lang w:val="en-US"/>
        </w:rPr>
        <w:t xml:space="preserve">. It </w:t>
      </w:r>
      <w:r w:rsidRPr="001F52A8">
        <w:rPr>
          <w:lang w:val="en-US"/>
        </w:rPr>
        <w:t>thus invites readers to live in a world in which God did this thing once.</w:t>
      </w:r>
    </w:p>
    <w:p w14:paraId="03C99D80" w14:textId="4CD99D59" w:rsidR="00AF37DC" w:rsidRPr="001F52A8" w:rsidRDefault="00AF37DC" w:rsidP="00AF37DC">
      <w:pPr>
        <w:pStyle w:val="ListParagraph"/>
        <w:numPr>
          <w:ilvl w:val="0"/>
          <w:numId w:val="1"/>
        </w:numPr>
        <w:suppressAutoHyphens w:val="0"/>
        <w:autoSpaceDN/>
        <w:spacing w:after="0" w:afterAutospacing="0"/>
        <w:ind w:left="720"/>
        <w:textAlignment w:val="auto"/>
        <w:rPr>
          <w:lang w:val="en-US"/>
        </w:rPr>
      </w:pPr>
      <w:r w:rsidRPr="001F52A8">
        <w:rPr>
          <w:lang w:val="en-US"/>
        </w:rPr>
        <w:t>Yet it also speaks about things that God and people recurrently do</w:t>
      </w:r>
      <w:r w:rsidR="00512C4A">
        <w:rPr>
          <w:lang w:val="en-US"/>
        </w:rPr>
        <w:t>. I</w:t>
      </w:r>
      <w:r>
        <w:rPr>
          <w:lang w:val="en-US"/>
        </w:rPr>
        <w:t>t</w:t>
      </w:r>
      <w:r w:rsidRPr="001F52A8">
        <w:rPr>
          <w:lang w:val="en-US"/>
        </w:rPr>
        <w:t xml:space="preserve"> thus invites people to live in a world in which these things recur.</w:t>
      </w:r>
    </w:p>
    <w:p w14:paraId="68ABEBA6" w14:textId="7C572040" w:rsidR="00AF37DC" w:rsidRPr="001F52A8" w:rsidRDefault="00AF37DC" w:rsidP="00AF37DC">
      <w:pPr>
        <w:pStyle w:val="ListParagraph"/>
        <w:numPr>
          <w:ilvl w:val="0"/>
          <w:numId w:val="1"/>
        </w:numPr>
        <w:suppressAutoHyphens w:val="0"/>
        <w:autoSpaceDN/>
        <w:spacing w:after="0" w:afterAutospacing="0"/>
        <w:ind w:left="720"/>
        <w:textAlignment w:val="auto"/>
        <w:rPr>
          <w:lang w:val="en-US"/>
        </w:rPr>
      </w:pPr>
      <w:r w:rsidRPr="001F52A8">
        <w:rPr>
          <w:lang w:val="en-US"/>
        </w:rPr>
        <w:t>It can incorporate statements that stands in tension with each other. Go</w:t>
      </w:r>
      <w:r w:rsidR="00512C4A">
        <w:rPr>
          <w:lang w:val="en-US"/>
        </w:rPr>
        <w:t>d relented</w:t>
      </w:r>
      <w:r w:rsidRPr="001F52A8">
        <w:rPr>
          <w:lang w:val="en-US"/>
        </w:rPr>
        <w:t xml:space="preserve">; God does not </w:t>
      </w:r>
      <w:r w:rsidR="00512C4A">
        <w:rPr>
          <w:lang w:val="en-US"/>
        </w:rPr>
        <w:t>relent</w:t>
      </w:r>
      <w:r w:rsidRPr="001F52A8">
        <w:rPr>
          <w:lang w:val="en-US"/>
        </w:rPr>
        <w:t>.</w:t>
      </w:r>
    </w:p>
    <w:p w14:paraId="267C2955" w14:textId="110FDBFB" w:rsidR="00AF37DC" w:rsidRPr="001F52A8" w:rsidRDefault="00AF37DC" w:rsidP="00AF37DC">
      <w:pPr>
        <w:pStyle w:val="ListParagraph"/>
        <w:numPr>
          <w:ilvl w:val="0"/>
          <w:numId w:val="1"/>
        </w:numPr>
        <w:suppressAutoHyphens w:val="0"/>
        <w:autoSpaceDN/>
        <w:spacing w:after="0" w:afterAutospacing="0"/>
        <w:ind w:left="720"/>
        <w:textAlignment w:val="auto"/>
        <w:rPr>
          <w:lang w:val="en-US"/>
        </w:rPr>
      </w:pPr>
      <w:r w:rsidRPr="001F52A8">
        <w:rPr>
          <w:lang w:val="en-US"/>
        </w:rPr>
        <w:t xml:space="preserve">It can </w:t>
      </w:r>
      <w:r w:rsidR="0045043F">
        <w:rPr>
          <w:lang w:val="en-US"/>
        </w:rPr>
        <w:t xml:space="preserve">thus </w:t>
      </w:r>
      <w:r w:rsidRPr="001F52A8">
        <w:rPr>
          <w:lang w:val="en-US"/>
        </w:rPr>
        <w:t>leave irresolvable enigmas unresolved: what is the relationship between God’s grace and human commitment to God?</w:t>
      </w:r>
    </w:p>
    <w:p w14:paraId="044A562F" w14:textId="7F5699ED" w:rsidR="00AF37DC" w:rsidRPr="001F52A8" w:rsidRDefault="00AF37DC" w:rsidP="00AF37DC">
      <w:pPr>
        <w:pStyle w:val="ListParagraph"/>
        <w:numPr>
          <w:ilvl w:val="0"/>
          <w:numId w:val="1"/>
        </w:numPr>
        <w:suppressAutoHyphens w:val="0"/>
        <w:autoSpaceDN/>
        <w:spacing w:after="0" w:afterAutospacing="0"/>
        <w:ind w:left="720"/>
        <w:textAlignment w:val="auto"/>
        <w:rPr>
          <w:lang w:val="en-US"/>
        </w:rPr>
      </w:pPr>
      <w:r w:rsidRPr="001F52A8">
        <w:rPr>
          <w:lang w:val="en-US"/>
        </w:rPr>
        <w:t xml:space="preserve">It can tell its readers the facts without necessarily telling </w:t>
      </w:r>
      <w:r w:rsidR="000D227E">
        <w:rPr>
          <w:lang w:val="en-US"/>
        </w:rPr>
        <w:t>them</w:t>
      </w:r>
      <w:r w:rsidRPr="001F52A8">
        <w:rPr>
          <w:lang w:val="en-US"/>
        </w:rPr>
        <w:t xml:space="preserve"> how to interpret them.</w:t>
      </w:r>
    </w:p>
    <w:p w14:paraId="32D8F44F" w14:textId="77777777" w:rsidR="00AF37DC" w:rsidRPr="001F52A8" w:rsidRDefault="00AF37DC" w:rsidP="00AF37DC">
      <w:pPr>
        <w:pStyle w:val="ListParagraph"/>
        <w:numPr>
          <w:ilvl w:val="0"/>
          <w:numId w:val="1"/>
        </w:numPr>
        <w:suppressAutoHyphens w:val="0"/>
        <w:autoSpaceDN/>
        <w:spacing w:after="0" w:afterAutospacing="0"/>
        <w:ind w:left="720"/>
        <w:textAlignment w:val="auto"/>
        <w:rPr>
          <w:lang w:val="en-US"/>
        </w:rPr>
      </w:pPr>
      <w:r w:rsidRPr="001F52A8">
        <w:rPr>
          <w:lang w:val="en-US"/>
        </w:rPr>
        <w:t>It can leave questions open. Did God forgive David for his affair with Bathsheba and his having Uriah killed?</w:t>
      </w:r>
    </w:p>
    <w:p w14:paraId="48214D1F" w14:textId="77777777" w:rsidR="00AF37DC" w:rsidRPr="001F52A8" w:rsidRDefault="00AF37DC" w:rsidP="00AF37DC"/>
    <w:p w14:paraId="3A2C9E4D" w14:textId="77777777" w:rsidR="00B35912" w:rsidRDefault="00AF37DC" w:rsidP="00AF37DC">
      <w:r>
        <w:t xml:space="preserve">In discussing Samuel’s theology, one might proceed by writing chapters on its understanding of God, of Israel, of prophecy, of monarchy, and so on, or one might proceed by writing a chapter by chapter theological exposition of the text. I have done something in between in dividing the book into </w:t>
      </w:r>
      <w:r w:rsidR="00136931">
        <w:lastRenderedPageBreak/>
        <w:t>six</w:t>
      </w:r>
      <w:r>
        <w:t xml:space="preserve"> parts, working through the</w:t>
      </w:r>
      <w:r w:rsidR="00136931">
        <w:t xml:space="preserve"> parts</w:t>
      </w:r>
      <w:r>
        <w:t xml:space="preserve"> one by one, and looking from a theological perspective at topics as they arise. Sometimes these topics are explicitly theological (e.g., God, his activity in the world, and his relationships with people). Sometimes they are more general (e.g., family or monarchy) and we </w:t>
      </w:r>
      <w:r w:rsidR="00136931">
        <w:t>consider</w:t>
      </w:r>
      <w:r>
        <w:t xml:space="preserve"> their significance in the context of human life lived before God. </w:t>
      </w:r>
    </w:p>
    <w:p w14:paraId="4098709C" w14:textId="605F116E" w:rsidR="00AF37DC" w:rsidRDefault="00AF37DC" w:rsidP="00AF37DC">
      <w:r w:rsidRPr="001F52A8">
        <w:t xml:space="preserve">Doing </w:t>
      </w:r>
      <w:r>
        <w:t xml:space="preserve">such theological study </w:t>
      </w:r>
      <w:r w:rsidRPr="001F52A8">
        <w:t xml:space="preserve">can </w:t>
      </w:r>
      <w:r>
        <w:t xml:space="preserve">then </w:t>
      </w:r>
      <w:r w:rsidRPr="001F52A8">
        <w:t>seek to confine itself to teasing out the theological implications of the Scriptures</w:t>
      </w:r>
      <w:r>
        <w:t xml:space="preserve"> themselves</w:t>
      </w:r>
      <w:r w:rsidRPr="001F52A8">
        <w:t xml:space="preserve">, or </w:t>
      </w:r>
      <w:r w:rsidR="00AE266D">
        <w:t xml:space="preserve">it </w:t>
      </w:r>
      <w:r w:rsidRPr="001F52A8">
        <w:t xml:space="preserve">can allow for evaluating their theology in light of convictions one brings to them. My focus lies on the first of these </w:t>
      </w:r>
      <w:r>
        <w:t>alternatives</w:t>
      </w:r>
      <w:r w:rsidRPr="001F52A8">
        <w:t>. Where the theology of the text goes against my convictions or convictions that are common in my culture, I seek to let the text confront them.</w:t>
      </w:r>
    </w:p>
    <w:p w14:paraId="533F7BE0" w14:textId="458015B8" w:rsidR="00B179D9" w:rsidRDefault="00B179D9">
      <w:pPr>
        <w:spacing w:after="160"/>
        <w:ind w:firstLine="0"/>
      </w:pPr>
      <w:r>
        <w:br w:type="page"/>
      </w:r>
    </w:p>
    <w:p w14:paraId="0376F8AA" w14:textId="7387F656" w:rsidR="003A6D7C" w:rsidRPr="001F52A8" w:rsidRDefault="003A6D7C" w:rsidP="00574C70">
      <w:pPr>
        <w:pStyle w:val="Heading1"/>
        <w:numPr>
          <w:ilvl w:val="0"/>
          <w:numId w:val="19"/>
        </w:numPr>
      </w:pPr>
      <w:r w:rsidRPr="001F52A8">
        <w:lastRenderedPageBreak/>
        <w:t xml:space="preserve">Yahweh </w:t>
      </w:r>
      <w:r w:rsidR="007C6A4D" w:rsidRPr="001F52A8">
        <w:t>W</w:t>
      </w:r>
      <w:r w:rsidRPr="001F52A8">
        <w:t xml:space="preserve">ho </w:t>
      </w:r>
      <w:r w:rsidR="00E7483E">
        <w:t xml:space="preserve">Prepares </w:t>
      </w:r>
      <w:r w:rsidR="006A2208">
        <w:t xml:space="preserve">the Way </w:t>
      </w:r>
      <w:r w:rsidR="00E7483E">
        <w:t>for</w:t>
      </w:r>
      <w:r w:rsidRPr="001F52A8">
        <w:t xml:space="preserve"> a King (1 Samuel 1</w:t>
      </w:r>
      <w:r w:rsidR="009342B1">
        <w:t>:1 – 4:1a</w:t>
      </w:r>
      <w:r w:rsidRPr="001F52A8">
        <w:t>)</w:t>
      </w:r>
    </w:p>
    <w:p w14:paraId="61F8BD18" w14:textId="70FFCC47" w:rsidR="003A6D7C" w:rsidRPr="001F52A8" w:rsidRDefault="003A6D7C" w:rsidP="001C087F">
      <w:r w:rsidRPr="001F52A8">
        <w:t xml:space="preserve">The overarching theological theme in 1 Samuel 1 – 12 </w:t>
      </w:r>
      <w:r w:rsidR="004B07E0">
        <w:t xml:space="preserve">is </w:t>
      </w:r>
      <w:r w:rsidRPr="001F52A8">
        <w:t>Yahweh as one who designates a king.</w:t>
      </w:r>
      <w:r w:rsidR="004B07E0">
        <w:t xml:space="preserve"> </w:t>
      </w:r>
      <w:r w:rsidR="00BF2E4B">
        <w:t xml:space="preserve">There are two stages to the process whereby that designation happens. First Yahweh </w:t>
      </w:r>
      <w:r w:rsidR="00D6752C">
        <w:t>brings into being and summons a prophet who will do the designating of this first king, and of the second one (the third will emerge without divine intervention).</w:t>
      </w:r>
      <w:r w:rsidR="00D12EE5">
        <w:t xml:space="preserve"> Then </w:t>
      </w:r>
      <w:r w:rsidR="001834AB">
        <w:t>this prophet does the actual designating, summoning and anointing the king</w:t>
      </w:r>
      <w:r w:rsidR="006974B7">
        <w:t xml:space="preserve">. The exposition of the </w:t>
      </w:r>
      <w:r w:rsidRPr="001F52A8">
        <w:t xml:space="preserve">overarching theological theme </w:t>
      </w:r>
      <w:r w:rsidR="00852A6B">
        <w:t xml:space="preserve">and its </w:t>
      </w:r>
      <w:r w:rsidR="00012FF1">
        <w:t xml:space="preserve">implications concerning the nature of God </w:t>
      </w:r>
      <w:r w:rsidR="00282F55">
        <w:t xml:space="preserve">and the nature of monarchy </w:t>
      </w:r>
      <w:r w:rsidR="006974B7">
        <w:t>inci</w:t>
      </w:r>
      <w:r w:rsidR="001C087F">
        <w:t xml:space="preserve">dentally </w:t>
      </w:r>
      <w:r w:rsidRPr="001F52A8">
        <w:t>allows other themes to develop</w:t>
      </w:r>
      <w:r w:rsidR="001C087F">
        <w:t xml:space="preserve">: something about the nature of family, about </w:t>
      </w:r>
      <w:r w:rsidR="00843B98">
        <w:t>prayer, about ministry, about vocation</w:t>
      </w:r>
      <w:r w:rsidR="00FD5013">
        <w:t>, and about being the people of God.</w:t>
      </w:r>
    </w:p>
    <w:p w14:paraId="62E7BA81" w14:textId="4AECF428" w:rsidR="00BA73C2" w:rsidRPr="001F52A8" w:rsidRDefault="00BA73C2" w:rsidP="00BA73C2">
      <w:r w:rsidRPr="001F52A8">
        <w:t>In the Septuagint and thus in most English Bibles, Samuel follows Ruth, and shares the dynamics of that story</w:t>
      </w:r>
      <w:r>
        <w:t>. Ruth is</w:t>
      </w:r>
      <w:r w:rsidRPr="001F52A8">
        <w:t xml:space="preserve"> a story about a family</w:t>
      </w:r>
      <w:r>
        <w:t xml:space="preserve"> that suggests</w:t>
      </w:r>
      <w:r w:rsidRPr="001F52A8">
        <w:t xml:space="preserve"> a family theology</w:t>
      </w:r>
      <w:r>
        <w:t>,</w:t>
      </w:r>
      <w:r w:rsidRPr="001F52A8">
        <w:t xml:space="preserve"> a story about individuals</w:t>
      </w:r>
      <w:r>
        <w:t xml:space="preserve"> that</w:t>
      </w:r>
      <w:r w:rsidRPr="001F52A8">
        <w:t xml:space="preserve"> </w:t>
      </w:r>
      <w:r>
        <w:t>suggests</w:t>
      </w:r>
      <w:r w:rsidRPr="001F52A8">
        <w:t xml:space="preserve"> a theology of the individual</w:t>
      </w:r>
      <w:r>
        <w:t>, and a story about women that suggests a theology of womanhood</w:t>
      </w:r>
      <w:r w:rsidRPr="001F52A8">
        <w:t>. It implies that Yahweh is active in its story, though only once does it explicitly speak of his acting</w:t>
      </w:r>
      <w:r>
        <w:t>, in way that parallels Samuel:</w:t>
      </w:r>
      <w:r w:rsidRPr="001F52A8">
        <w:t xml:space="preserve"> “Yahweh enabled her to get pregnant” (</w:t>
      </w:r>
      <w:r w:rsidR="00DE7A4E">
        <w:t xml:space="preserve">Ruth </w:t>
      </w:r>
      <w:r w:rsidRPr="001F52A8">
        <w:t xml:space="preserve">4:13). </w:t>
      </w:r>
      <w:r w:rsidR="00BD2BA9">
        <w:t>T</w:t>
      </w:r>
      <w:r w:rsidRPr="001F52A8">
        <w:t xml:space="preserve">he close of </w:t>
      </w:r>
      <w:r>
        <w:t>Ruth</w:t>
      </w:r>
      <w:r w:rsidRPr="001F52A8">
        <w:t xml:space="preserve"> then relates it to the broader narrative of Yahweh’s involvement with the story of the monarchy. I</w:t>
      </w:r>
      <w:r w:rsidRPr="001F52A8">
        <w:rPr>
          <w:rFonts w:cstheme="minorHAnsi"/>
        </w:rPr>
        <w:t>n connection with the anticipatory element in 1 Samuel 1, the parallel with the end of Ruth</w:t>
      </w:r>
      <w:r>
        <w:rPr>
          <w:rFonts w:cstheme="minorHAnsi"/>
        </w:rPr>
        <w:t xml:space="preserve"> is especially significant</w:t>
      </w:r>
      <w:r w:rsidRPr="001F52A8">
        <w:rPr>
          <w:rFonts w:cstheme="minorHAnsi"/>
        </w:rPr>
        <w:t xml:space="preserve">: the Ruth story looks on to David, the Hannah story to Saul. </w:t>
      </w:r>
    </w:p>
    <w:p w14:paraId="6EEAD681" w14:textId="76925DDD" w:rsidR="00BA73C2" w:rsidRDefault="00BA73C2" w:rsidP="00BA73C2">
      <w:r>
        <w:rPr>
          <w:rFonts w:cstheme="minorHAnsi"/>
        </w:rPr>
        <w:t>Samuel</w:t>
      </w:r>
      <w:r w:rsidRPr="001F52A8">
        <w:rPr>
          <w:rFonts w:cstheme="minorHAnsi"/>
        </w:rPr>
        <w:t xml:space="preserve"> links in a related way with Judges, which </w:t>
      </w:r>
      <w:r>
        <w:rPr>
          <w:rFonts w:cstheme="minorHAnsi"/>
        </w:rPr>
        <w:t xml:space="preserve">precedes </w:t>
      </w:r>
      <w:r w:rsidRPr="001F52A8">
        <w:rPr>
          <w:rFonts w:cstheme="minorHAnsi"/>
        </w:rPr>
        <w:t xml:space="preserve">Samuel </w:t>
      </w:r>
      <w:r w:rsidRPr="001F52A8">
        <w:t xml:space="preserve">in the Torah, the Prophets, and the Writings. </w:t>
      </w:r>
      <w:r w:rsidR="0005076E">
        <w:t>“I</w:t>
      </w:r>
      <w:r w:rsidRPr="001F52A8">
        <w:t xml:space="preserve">n those days there was no king in Israel – an individual would do what was upright in his eyes” (Judg 21:25) makes an appropriate conclusion to an unsavory story about the Israelites slaughtering most of the </w:t>
      </w:r>
      <w:r w:rsidR="00FD19B4">
        <w:t xml:space="preserve">Benjaminite </w:t>
      </w:r>
      <w:r w:rsidRPr="001F52A8">
        <w:t xml:space="preserve">clan, giving four hundred Gileadite girls as wives to the surviving Benjaminites, and </w:t>
      </w:r>
      <w:r w:rsidR="00270D3C">
        <w:t>direct</w:t>
      </w:r>
      <w:r w:rsidRPr="001F52A8">
        <w:t>ing the rest of the surviv</w:t>
      </w:r>
      <w:r w:rsidR="00270D3C">
        <w:t>or</w:t>
      </w:r>
      <w:r w:rsidRPr="001F52A8">
        <w:t>s to the annual festival at Shiloh where girls would be joining in the festival</w:t>
      </w:r>
      <w:r w:rsidR="00185F1F">
        <w:t>,</w:t>
      </w:r>
      <w:r>
        <w:t xml:space="preserve"> so as to</w:t>
      </w:r>
      <w:r w:rsidRPr="001F52A8">
        <w:t xml:space="preserve"> get some to go off with them. </w:t>
      </w:r>
      <w:r>
        <w:t>Samuel begins with</w:t>
      </w:r>
      <w:r w:rsidRPr="001F52A8">
        <w:t xml:space="preserve"> a more seemly story about th</w:t>
      </w:r>
      <w:r w:rsidR="00185F1F">
        <w:t>is</w:t>
      </w:r>
      <w:r w:rsidRPr="001F52A8">
        <w:t xml:space="preserve"> annual festival</w:t>
      </w:r>
      <w:r w:rsidR="00A23C4A">
        <w:t>. The</w:t>
      </w:r>
      <w:r>
        <w:t xml:space="preserve"> story</w:t>
      </w:r>
      <w:r w:rsidRPr="001F52A8">
        <w:t xml:space="preserve"> </w:t>
      </w:r>
      <w:r>
        <w:t>anticipat</w:t>
      </w:r>
      <w:r w:rsidR="00A23C4A">
        <w:t>es</w:t>
      </w:r>
      <w:r w:rsidRPr="001F52A8">
        <w:t xml:space="preserve"> a time when there will be king</w:t>
      </w:r>
      <w:r>
        <w:t>s</w:t>
      </w:r>
      <w:r w:rsidRPr="001F52A8">
        <w:t xml:space="preserve"> in Israel who might constrain such </w:t>
      </w:r>
      <w:r w:rsidR="00C752C4">
        <w:t>waywardness</w:t>
      </w:r>
      <w:r w:rsidR="00B31CF0">
        <w:t>. Notwithstanding</w:t>
      </w:r>
      <w:r w:rsidRPr="001F52A8">
        <w:t xml:space="preserve"> their faults, maybe Saul</w:t>
      </w:r>
      <w:r>
        <w:t xml:space="preserve"> and</w:t>
      </w:r>
      <w:r w:rsidRPr="001F52A8">
        <w:t xml:space="preserve"> David do.</w:t>
      </w:r>
    </w:p>
    <w:p w14:paraId="02B172FB" w14:textId="5DEBAB0E" w:rsidR="00BE08C3" w:rsidRPr="00656200" w:rsidRDefault="00BE08C3" w:rsidP="00BE08C3">
      <w:r>
        <w:t xml:space="preserve">Before </w:t>
      </w:r>
      <w:r w:rsidR="00DF1655">
        <w:t>they</w:t>
      </w:r>
      <w:r>
        <w:t xml:space="preserve"> appear, </w:t>
      </w:r>
      <w:r w:rsidR="00DF1655">
        <w:t>1 Samuel</w:t>
      </w:r>
      <w:r>
        <w:t xml:space="preserve"> begins as an account of </w:t>
      </w:r>
      <w:r w:rsidR="00651CFF">
        <w:t>Yahweh’s bringing into being and</w:t>
      </w:r>
      <w:r>
        <w:t xml:space="preserve"> summoning a prophet who will designat</w:t>
      </w:r>
      <w:r w:rsidR="000856EB">
        <w:t>e</w:t>
      </w:r>
      <w:r>
        <w:t xml:space="preserve"> both those kings. </w:t>
      </w:r>
      <w:r w:rsidR="00125900">
        <w:t>It opens</w:t>
      </w:r>
      <w:r w:rsidRPr="001F52A8">
        <w:t xml:space="preserve"> as </w:t>
      </w:r>
      <w:r>
        <w:t xml:space="preserve">a </w:t>
      </w:r>
      <w:r w:rsidRPr="001F52A8">
        <w:t xml:space="preserve">story about a family and about </w:t>
      </w:r>
      <w:r>
        <w:t xml:space="preserve">its </w:t>
      </w:r>
      <w:r w:rsidRPr="001F52A8">
        <w:t>individual</w:t>
      </w:r>
      <w:r>
        <w:t xml:space="preserve"> member</w:t>
      </w:r>
      <w:r w:rsidRPr="001F52A8">
        <w:t>s, about their relationship with Yahweh and Yahweh’s relationship with them</w:t>
      </w:r>
      <w:r>
        <w:t>.</w:t>
      </w:r>
    </w:p>
    <w:p w14:paraId="69CC96E7" w14:textId="77777777" w:rsidR="00F44349" w:rsidRPr="001F52A8" w:rsidRDefault="00F44349" w:rsidP="000B0A0F">
      <w:pPr>
        <w:pStyle w:val="Heading2"/>
      </w:pPr>
      <w:r w:rsidRPr="001F52A8">
        <w:t>The God of Hannah</w:t>
      </w:r>
    </w:p>
    <w:p w14:paraId="214C337B" w14:textId="23AB626D" w:rsidR="00E53998" w:rsidRPr="001F52A8" w:rsidRDefault="00E53998" w:rsidP="00E53998">
      <w:r w:rsidRPr="001F52A8">
        <w:t>The God of Samuel is Yahweh. The</w:t>
      </w:r>
      <w:r w:rsidR="00444688">
        <w:t xml:space="preserve"> book</w:t>
      </w:r>
      <w:r w:rsidRPr="001F52A8">
        <w:t xml:space="preserve"> make</w:t>
      </w:r>
      <w:r w:rsidR="00444688">
        <w:t>s</w:t>
      </w:r>
      <w:r w:rsidRPr="001F52A8">
        <w:t xml:space="preserve"> nothing of the </w:t>
      </w:r>
      <w:r w:rsidR="00444688">
        <w:t xml:space="preserve">possible </w:t>
      </w:r>
      <w:r w:rsidRPr="001F52A8">
        <w:t>etymological meaning of th</w:t>
      </w:r>
      <w:r w:rsidR="00724594">
        <w:t>is</w:t>
      </w:r>
      <w:r w:rsidRPr="001F52A8">
        <w:t xml:space="preserve"> name any more than </w:t>
      </w:r>
      <w:r w:rsidR="00444688">
        <w:t>it</w:t>
      </w:r>
      <w:r w:rsidRPr="001F52A8">
        <w:t xml:space="preserve"> do</w:t>
      </w:r>
      <w:r w:rsidR="00444688">
        <w:t>es</w:t>
      </w:r>
      <w:r w:rsidRPr="001F52A8">
        <w:t xml:space="preserve"> of the names Eli, Elqanah, Hannah, or Peninnah (Samuel’s own name will be a different matter). </w:t>
      </w:r>
      <w:r w:rsidR="00C86691">
        <w:t>L</w:t>
      </w:r>
      <w:r w:rsidRPr="001F52A8">
        <w:t>ike most names its significance lies in what it refers to. Yahweh is “simply” the name of the God of Israel. Eli blesses Hanna</w:t>
      </w:r>
      <w:r w:rsidR="00AD1E43">
        <w:t>h</w:t>
      </w:r>
      <w:r w:rsidRPr="001F52A8">
        <w:t xml:space="preserve"> in the name of “the God of Israel” (1:17) and subsequently a prophet-type figure speaks in the name of “Yahweh, the God of Israel” (3:30; cf. 10:18; 14:41; 20:12; 23:10, 11; 25:32, 34; 2 Sam 12:7). The title “God of Israel” recurs on the lips of the Philistines (5:7 – 6:5) and on David’s lips (2 Sam </w:t>
      </w:r>
      <w:r w:rsidR="00426043">
        <w:t xml:space="preserve">7:27; </w:t>
      </w:r>
      <w:r w:rsidRPr="001F52A8">
        <w:t>23:3)</w:t>
      </w:r>
      <w:r w:rsidR="00426043">
        <w:t>.</w:t>
      </w:r>
    </w:p>
    <w:p w14:paraId="68C60D35" w14:textId="060FF724" w:rsidR="00F44349" w:rsidRPr="001F52A8" w:rsidRDefault="00C30ACC" w:rsidP="00F44349">
      <w:r>
        <w:t xml:space="preserve">Near </w:t>
      </w:r>
      <w:r w:rsidR="0022500A">
        <w:t xml:space="preserve">the beginning of </w:t>
      </w:r>
      <w:r w:rsidR="00165D38">
        <w:t>Samuel</w:t>
      </w:r>
      <w:r w:rsidR="0022500A">
        <w:t xml:space="preserve"> </w:t>
      </w:r>
      <w:r w:rsidR="00DD4037">
        <w:t>(2:</w:t>
      </w:r>
      <w:r w:rsidR="00E41152">
        <w:t xml:space="preserve">1-10) </w:t>
      </w:r>
      <w:r w:rsidR="0022500A">
        <w:t xml:space="preserve">there comes a </w:t>
      </w:r>
      <w:r w:rsidR="00F44349" w:rsidRPr="001F52A8">
        <w:t xml:space="preserve">song of praise </w:t>
      </w:r>
      <w:r w:rsidR="0022500A">
        <w:t xml:space="preserve">that </w:t>
      </w:r>
      <w:r w:rsidR="00E41152">
        <w:t xml:space="preserve">makes key theological affirmations concerning who </w:t>
      </w:r>
      <w:r w:rsidR="00AD1E43">
        <w:t xml:space="preserve">this </w:t>
      </w:r>
      <w:r w:rsidR="00E41152">
        <w:t xml:space="preserve">Yahweh is. It </w:t>
      </w:r>
      <w:r w:rsidR="00F44349" w:rsidRPr="001F52A8">
        <w:t>glorifies Yahweh in three respects</w:t>
      </w:r>
      <w:r w:rsidR="00E41152">
        <w:t>:</w:t>
      </w:r>
      <w:r w:rsidR="00F44349" w:rsidRPr="001F52A8">
        <w:t xml:space="preserve"> </w:t>
      </w:r>
    </w:p>
    <w:p w14:paraId="10F59CAC" w14:textId="77777777" w:rsidR="00F44349" w:rsidRPr="001F52A8" w:rsidRDefault="00F44349" w:rsidP="00F44349"/>
    <w:p w14:paraId="398833F9" w14:textId="77777777" w:rsidR="00F44349" w:rsidRPr="001F52A8" w:rsidRDefault="00F44349" w:rsidP="00F44349">
      <w:r w:rsidRPr="001F52A8">
        <w:t>Yahweh is the all-powerful God</w:t>
      </w:r>
    </w:p>
    <w:p w14:paraId="393EA7DB" w14:textId="77777777" w:rsidR="00F44349" w:rsidRPr="001F52A8" w:rsidRDefault="00F44349" w:rsidP="00F44349">
      <w:r w:rsidRPr="001F52A8">
        <w:t>Yahweh turns things upside down</w:t>
      </w:r>
    </w:p>
    <w:p w14:paraId="33BA5294" w14:textId="77777777" w:rsidR="00F44349" w:rsidRPr="001F52A8" w:rsidRDefault="00F44349" w:rsidP="00F44349">
      <w:r w:rsidRPr="001F52A8">
        <w:lastRenderedPageBreak/>
        <w:t>Yahweh will give strength to his king.</w:t>
      </w:r>
      <w:r w:rsidRPr="001F52A8">
        <w:rPr>
          <w:rStyle w:val="FootnoteReference"/>
        </w:rPr>
        <w:footnoteReference w:id="15"/>
      </w:r>
    </w:p>
    <w:p w14:paraId="0DFEBF53" w14:textId="77777777" w:rsidR="00F44349" w:rsidRPr="001F52A8" w:rsidRDefault="00F44349" w:rsidP="00F44349"/>
    <w:p w14:paraId="3275E6DC" w14:textId="72767590" w:rsidR="00AF0A16" w:rsidRDefault="00AF0A16" w:rsidP="00AF0A16">
      <w:pPr>
        <w:ind w:firstLine="0"/>
      </w:pPr>
      <w:r>
        <w:t xml:space="preserve">It is Hannah, Samuel’s mother, who proclaims this song of praise </w:t>
      </w:r>
      <w:r w:rsidRPr="001F52A8">
        <w:t xml:space="preserve">as </w:t>
      </w:r>
      <w:r w:rsidR="00D20BF2">
        <w:t xml:space="preserve">Yahweh has </w:t>
      </w:r>
      <w:r w:rsidR="00AC6C13">
        <w:t>enabled</w:t>
      </w:r>
      <w:r w:rsidR="00D20BF2">
        <w:t xml:space="preserve"> her to </w:t>
      </w:r>
      <w:r w:rsidRPr="001F52A8">
        <w:t>move from barrenness to birth</w:t>
      </w:r>
      <w:r w:rsidR="00D20BF2">
        <w:t>; that move</w:t>
      </w:r>
      <w:r w:rsidRPr="001F52A8">
        <w:t xml:space="preserve"> is complemented by a movement from protest to praise.</w:t>
      </w:r>
      <w:r w:rsidRPr="001F52A8">
        <w:rPr>
          <w:rStyle w:val="FootnoteReference"/>
        </w:rPr>
        <w:footnoteReference w:id="16"/>
      </w:r>
      <w:r w:rsidR="008868D7">
        <w:t xml:space="preserve"> </w:t>
      </w:r>
      <w:r w:rsidR="002F3818">
        <w:t>T</w:t>
      </w:r>
      <w:r w:rsidR="008868D7">
        <w:t xml:space="preserve">he content of her praise does not relate to the particularities of her experience. By implication, that experience </w:t>
      </w:r>
      <w:r w:rsidR="00846B6A">
        <w:t xml:space="preserve">assists </w:t>
      </w:r>
      <w:r w:rsidR="008868D7">
        <w:t xml:space="preserve">her to articulate </w:t>
      </w:r>
      <w:r w:rsidR="009D4EB6">
        <w:t>broader truths abou</w:t>
      </w:r>
      <w:r w:rsidR="004E1187">
        <w:t xml:space="preserve">t </w:t>
      </w:r>
      <w:r w:rsidR="009D4EB6">
        <w:t>Yahweh.</w:t>
      </w:r>
    </w:p>
    <w:p w14:paraId="00FE988A" w14:textId="6FB188F7" w:rsidR="00F44349" w:rsidRPr="001F52A8" w:rsidRDefault="00F44349" w:rsidP="00F44349">
      <w:r w:rsidRPr="001F52A8">
        <w:t xml:space="preserve">First, Yahweh is the crag onto which his people can climb (2:2). It is in this way that Yahweh is unique as the holy one. </w:t>
      </w:r>
      <w:r w:rsidR="00744152">
        <w:t>Hannah’s</w:t>
      </w:r>
      <w:r w:rsidR="00744152" w:rsidRPr="001F52A8">
        <w:t xml:space="preserve"> description of Yahweh as holy </w:t>
      </w:r>
      <w:r w:rsidR="00744152">
        <w:t xml:space="preserve">is </w:t>
      </w:r>
      <w:r w:rsidRPr="001F52A8">
        <w:t xml:space="preserve">almost the first </w:t>
      </w:r>
      <w:r w:rsidR="00744152">
        <w:t xml:space="preserve">such </w:t>
      </w:r>
      <w:r w:rsidRPr="001F52A8">
        <w:t xml:space="preserve">description in the First Testament story (Josh 24:19 precedes it) and almost the only occasion when Samuel describes </w:t>
      </w:r>
      <w:r w:rsidR="008338E4">
        <w:t>Yahweh</w:t>
      </w:r>
      <w:r w:rsidRPr="001F52A8">
        <w:t xml:space="preserve"> as holy (1 Sam 6:20 is the other example). It does bear comparison with the description of Yahweh in Exodus 15 as majestic in holiness. Declaring that “there is no holy one like Yahweh” presupposes that there are lots of holy ones,</w:t>
      </w:r>
      <w:r w:rsidR="00C455E0">
        <w:t xml:space="preserve"> as t</w:t>
      </w:r>
      <w:r w:rsidRPr="001F52A8">
        <w:t xml:space="preserve">he First Testament </w:t>
      </w:r>
      <w:r w:rsidR="00E7265A">
        <w:t xml:space="preserve">doesn’t mind </w:t>
      </w:r>
      <w:r w:rsidR="003A364F">
        <w:t xml:space="preserve">presupposing that </w:t>
      </w:r>
      <w:r w:rsidR="00E7265A">
        <w:t xml:space="preserve">there </w:t>
      </w:r>
      <w:r w:rsidR="003A364F">
        <w:t>are</w:t>
      </w:r>
      <w:r w:rsidR="00E7265A">
        <w:t xml:space="preserve"> lots of </w:t>
      </w:r>
      <w:r w:rsidR="00E7265A" w:rsidRPr="001F52A8">
        <w:rPr>
          <w:i/>
          <w:iCs/>
        </w:rPr>
        <w:t>’</w:t>
      </w:r>
      <w:r w:rsidR="00E7265A" w:rsidRPr="001F52A8">
        <w:rPr>
          <w:rFonts w:cstheme="minorHAnsi"/>
          <w:i/>
          <w:iCs/>
        </w:rPr>
        <w:t>ĕlōhîm</w:t>
      </w:r>
      <w:r w:rsidR="003A364F">
        <w:rPr>
          <w:rFonts w:cstheme="minorHAnsi"/>
        </w:rPr>
        <w:t>, of gods</w:t>
      </w:r>
      <w:r w:rsidR="00F67B33">
        <w:t xml:space="preserve">. </w:t>
      </w:r>
      <w:r w:rsidR="00C04153">
        <w:t xml:space="preserve">The word </w:t>
      </w:r>
      <w:r w:rsidR="003A51E3" w:rsidRPr="001F52A8">
        <w:t>“</w:t>
      </w:r>
      <w:r w:rsidR="00C04153">
        <w:t>h</w:t>
      </w:r>
      <w:r w:rsidR="003A51E3" w:rsidRPr="001F52A8">
        <w:t xml:space="preserve">oly” </w:t>
      </w:r>
      <w:r w:rsidR="00C04153">
        <w:t>applies to</w:t>
      </w:r>
      <w:r w:rsidR="003A51E3" w:rsidRPr="001F52A8">
        <w:t xml:space="preserve"> </w:t>
      </w:r>
      <w:r w:rsidR="002A568C">
        <w:t xml:space="preserve">any </w:t>
      </w:r>
      <w:r w:rsidR="003A51E3" w:rsidRPr="001F52A8">
        <w:t xml:space="preserve">supernatural beings. It denotes the metaphysical distinction between them and human beings. </w:t>
      </w:r>
      <w:r w:rsidR="004F5D00" w:rsidRPr="001F52A8">
        <w:t>But there is variety among the holy beings</w:t>
      </w:r>
      <w:r w:rsidR="00D6718F">
        <w:t xml:space="preserve">, as there is among </w:t>
      </w:r>
      <w:r w:rsidR="009B56BE" w:rsidRPr="001F52A8">
        <w:rPr>
          <w:i/>
          <w:iCs/>
        </w:rPr>
        <w:t>’</w:t>
      </w:r>
      <w:r w:rsidR="009B56BE" w:rsidRPr="001F52A8">
        <w:rPr>
          <w:rFonts w:cstheme="minorHAnsi"/>
          <w:i/>
          <w:iCs/>
        </w:rPr>
        <w:t>ĕlōhîm</w:t>
      </w:r>
      <w:r w:rsidR="004F5D00" w:rsidRPr="001F52A8">
        <w:t>. Yahweh is supreme over other holy ones and is the source of their life</w:t>
      </w:r>
      <w:r w:rsidR="004F5D00">
        <w:t>. T</w:t>
      </w:r>
      <w:r w:rsidR="004F5D00" w:rsidRPr="001F52A8">
        <w:t xml:space="preserve">hey can die, he does not. </w:t>
      </w:r>
      <w:r w:rsidR="00E51031">
        <w:t>The First Testam</w:t>
      </w:r>
      <w:r w:rsidR="005A2A0B">
        <w:t>e</w:t>
      </w:r>
      <w:r w:rsidR="00E51031">
        <w:t>nt is</w:t>
      </w:r>
      <w:r w:rsidRPr="001F52A8">
        <w:t xml:space="preserve"> not </w:t>
      </w:r>
      <w:r w:rsidR="00FB6EFC">
        <w:t>concerned to</w:t>
      </w:r>
      <w:r w:rsidRPr="001F52A8">
        <w:t xml:space="preserve"> declar</w:t>
      </w:r>
      <w:r w:rsidR="00FB6EFC">
        <w:t>e</w:t>
      </w:r>
      <w:r w:rsidRPr="001F52A8">
        <w:t xml:space="preserve"> that </w:t>
      </w:r>
      <w:r w:rsidR="003A364F">
        <w:t>Yahweh</w:t>
      </w:r>
      <w:r w:rsidRPr="001F52A8">
        <w:t xml:space="preserve"> is the only being who can properly be described as </w:t>
      </w:r>
      <w:r w:rsidRPr="001F52A8">
        <w:rPr>
          <w:i/>
          <w:iCs/>
        </w:rPr>
        <w:t>’</w:t>
      </w:r>
      <w:r w:rsidRPr="001F52A8">
        <w:rPr>
          <w:rFonts w:cstheme="minorHAnsi"/>
          <w:i/>
          <w:iCs/>
        </w:rPr>
        <w:t>ĕlōhîm</w:t>
      </w:r>
      <w:r w:rsidRPr="001F52A8">
        <w:rPr>
          <w:rFonts w:cstheme="minorHAnsi"/>
        </w:rPr>
        <w:t xml:space="preserve"> – it</w:t>
      </w:r>
      <w:r w:rsidR="000F1F67">
        <w:rPr>
          <w:rFonts w:cstheme="minorHAnsi"/>
        </w:rPr>
        <w:t>’</w:t>
      </w:r>
      <w:r w:rsidRPr="001F52A8">
        <w:rPr>
          <w:rFonts w:cstheme="minorHAnsi"/>
        </w:rPr>
        <w:t>s not very interested in monotheism. It</w:t>
      </w:r>
      <w:r w:rsidR="000F1F67">
        <w:rPr>
          <w:rFonts w:cstheme="minorHAnsi"/>
        </w:rPr>
        <w:t>’</w:t>
      </w:r>
      <w:r w:rsidRPr="001F52A8">
        <w:rPr>
          <w:rFonts w:cstheme="minorHAnsi"/>
        </w:rPr>
        <w:t xml:space="preserve">s interested in declaring that </w:t>
      </w:r>
      <w:r w:rsidR="00316D03">
        <w:rPr>
          <w:rFonts w:cstheme="minorHAnsi"/>
        </w:rPr>
        <w:t>Yahweh</w:t>
      </w:r>
      <w:r w:rsidRPr="001F52A8">
        <w:rPr>
          <w:rFonts w:cstheme="minorHAnsi"/>
        </w:rPr>
        <w:t xml:space="preserve"> is more powerful than all other </w:t>
      </w:r>
      <w:r w:rsidRPr="001F52A8">
        <w:rPr>
          <w:i/>
          <w:iCs/>
        </w:rPr>
        <w:t>’</w:t>
      </w:r>
      <w:r w:rsidRPr="001F52A8">
        <w:rPr>
          <w:rFonts w:cstheme="minorHAnsi"/>
          <w:i/>
          <w:iCs/>
        </w:rPr>
        <w:t>ĕlōhîm</w:t>
      </w:r>
      <w:r w:rsidR="00316D03">
        <w:rPr>
          <w:rFonts w:cstheme="minorHAnsi"/>
        </w:rPr>
        <w:t>, than all other holy ones</w:t>
      </w:r>
      <w:r w:rsidRPr="001F52A8">
        <w:rPr>
          <w:rFonts w:cstheme="minorHAnsi"/>
        </w:rPr>
        <w:t xml:space="preserve">. If Hebrew could distinguish orthographically between God and a god, then this ability would help </w:t>
      </w:r>
      <w:r w:rsidR="00E041EB">
        <w:rPr>
          <w:rFonts w:cstheme="minorHAnsi"/>
        </w:rPr>
        <w:t xml:space="preserve">it </w:t>
      </w:r>
      <w:r w:rsidRPr="001F52A8">
        <w:rPr>
          <w:rFonts w:cstheme="minorHAnsi"/>
        </w:rPr>
        <w:t xml:space="preserve">to make the point. </w:t>
      </w:r>
      <w:r w:rsidR="00E041EB">
        <w:t xml:space="preserve">Its declaration is that </w:t>
      </w:r>
      <w:r w:rsidR="00C455E0" w:rsidRPr="001F52A8">
        <w:t>Yahweh is uniquely formidable as his people’s protector</w:t>
      </w:r>
      <w:r w:rsidR="00E041EB">
        <w:t>.</w:t>
      </w:r>
      <w:r w:rsidR="00C455E0" w:rsidRPr="001F52A8">
        <w:t xml:space="preserve"> </w:t>
      </w:r>
      <w:r w:rsidR="00DE5EF1">
        <w:t>T</w:t>
      </w:r>
      <w:r w:rsidRPr="001F52A8">
        <w:t>herefore people should not pretend to an impressiveness that they lack. Their self-deception and willfulness will be exposed. Yahweh is the God who must be acknowledged and who cannot be put right (2:3).</w:t>
      </w:r>
      <w:r w:rsidR="00B531C4">
        <w:t xml:space="preserve"> </w:t>
      </w:r>
      <w:r w:rsidR="00B531C4" w:rsidRPr="001F52A8">
        <w:t>“</w:t>
      </w:r>
      <w:r w:rsidR="00B531C4" w:rsidRPr="001F52A8">
        <w:rPr>
          <w:rFonts w:eastAsia="Times New Roman" w:cstheme="minorHAnsi"/>
          <w:color w:val="222222"/>
        </w:rPr>
        <w:t>The song of Hannah emerges as a study in power.</w:t>
      </w:r>
      <w:r w:rsidR="00B531C4" w:rsidRPr="001F52A8">
        <w:t>”</w:t>
      </w:r>
      <w:r w:rsidR="00B531C4" w:rsidRPr="001F52A8">
        <w:rPr>
          <w:rStyle w:val="FootnoteReference"/>
        </w:rPr>
        <w:footnoteReference w:id="17"/>
      </w:r>
    </w:p>
    <w:p w14:paraId="526134A6" w14:textId="00AEAF73" w:rsidR="0076547A" w:rsidRDefault="00F44349" w:rsidP="0076547A">
      <w:r w:rsidRPr="001F52A8">
        <w:t xml:space="preserve">Second, Yahweh is therefore capable of turning things upside down and bringing about a reversal whereby people who looked strong collapse and feeble people become mysteriously strong, the well-endowed </w:t>
      </w:r>
      <w:r w:rsidR="00423415">
        <w:t xml:space="preserve">must </w:t>
      </w:r>
      <w:r w:rsidRPr="001F52A8">
        <w:t>seek jobs and the hungry have plenty, the childless are fertile and the fertile are bereaved, the alive die and the dying recover, the haves and have-nots and the insignificant and powerful change places (2:4-8a).</w:t>
      </w:r>
      <w:r w:rsidRPr="001F52A8">
        <w:rPr>
          <w:rStyle w:val="FootnoteReference"/>
        </w:rPr>
        <w:footnoteReference w:id="18"/>
      </w:r>
      <w:r w:rsidRPr="001F52A8">
        <w:t xml:space="preserve"> </w:t>
      </w:r>
      <w:r w:rsidR="003E17CE">
        <w:t>In some ways Hannah’s psalm</w:t>
      </w:r>
      <w:r w:rsidR="003E17CE" w:rsidRPr="001F52A8">
        <w:t xml:space="preserve"> anticipate</w:t>
      </w:r>
      <w:r w:rsidR="003E17CE">
        <w:t>s</w:t>
      </w:r>
      <w:r w:rsidR="003E17CE" w:rsidRPr="001F52A8">
        <w:t xml:space="preserve"> motifs within </w:t>
      </w:r>
      <w:r w:rsidR="003E17CE">
        <w:t>Samuel: Yahweh will deliver, he will prove to be a crag on which someone may find safety, he will silence the arrogant, he will break the bows of the mighty</w:t>
      </w:r>
      <w:r w:rsidR="003E17CE" w:rsidRPr="001F52A8">
        <w:t xml:space="preserve">. </w:t>
      </w:r>
      <w:r w:rsidR="009B77A3">
        <w:t>In other ways her affirmation</w:t>
      </w:r>
      <w:r w:rsidR="00674EF5">
        <w:t xml:space="preserve"> does not </w:t>
      </w:r>
      <w:r w:rsidR="00EC2C8E">
        <w:rPr>
          <w:rFonts w:cstheme="minorHAnsi"/>
        </w:rPr>
        <w:t>descri</w:t>
      </w:r>
      <w:r w:rsidR="00674EF5">
        <w:rPr>
          <w:rFonts w:cstheme="minorHAnsi"/>
        </w:rPr>
        <w:t>be</w:t>
      </w:r>
      <w:r w:rsidR="005947E7">
        <w:rPr>
          <w:rFonts w:cstheme="minorHAnsi"/>
        </w:rPr>
        <w:t xml:space="preserve"> </w:t>
      </w:r>
      <w:r w:rsidR="00DC65A6" w:rsidRPr="001F52A8">
        <w:rPr>
          <w:rFonts w:cstheme="minorHAnsi"/>
        </w:rPr>
        <w:t xml:space="preserve">the </w:t>
      </w:r>
      <w:r w:rsidR="00AE0E48">
        <w:rPr>
          <w:rFonts w:cstheme="minorHAnsi"/>
        </w:rPr>
        <w:t>activity</w:t>
      </w:r>
      <w:r w:rsidR="00DC65A6" w:rsidRPr="001F52A8">
        <w:rPr>
          <w:rFonts w:cstheme="minorHAnsi"/>
        </w:rPr>
        <w:t xml:space="preserve"> Yahweh </w:t>
      </w:r>
      <w:r w:rsidR="00D77A51">
        <w:rPr>
          <w:rFonts w:cstheme="minorHAnsi"/>
        </w:rPr>
        <w:t xml:space="preserve">undertakes </w:t>
      </w:r>
      <w:r w:rsidR="0004716A">
        <w:rPr>
          <w:rFonts w:cstheme="minorHAnsi"/>
        </w:rPr>
        <w:t>with</w:t>
      </w:r>
      <w:r w:rsidR="00DC65A6" w:rsidRPr="001F52A8">
        <w:rPr>
          <w:rFonts w:cstheme="minorHAnsi"/>
        </w:rPr>
        <w:t xml:space="preserve">in Samuel, and people would need to think about </w:t>
      </w:r>
      <w:r w:rsidR="00EA13B7">
        <w:rPr>
          <w:rFonts w:cstheme="minorHAnsi"/>
        </w:rPr>
        <w:t xml:space="preserve">it (for instance) </w:t>
      </w:r>
      <w:r w:rsidR="00DC65A6" w:rsidRPr="001F52A8">
        <w:rPr>
          <w:rFonts w:cstheme="minorHAnsi"/>
        </w:rPr>
        <w:t>after 587</w:t>
      </w:r>
      <w:r w:rsidR="00EA13B7">
        <w:rPr>
          <w:rFonts w:cstheme="minorHAnsi"/>
        </w:rPr>
        <w:t>.</w:t>
      </w:r>
      <w:r w:rsidR="00DC65A6" w:rsidRPr="001F52A8">
        <w:rPr>
          <w:rStyle w:val="FootnoteReference"/>
          <w:rFonts w:cstheme="minorHAnsi"/>
        </w:rPr>
        <w:footnoteReference w:id="19"/>
      </w:r>
      <w:r w:rsidR="0004716A">
        <w:rPr>
          <w:rFonts w:cstheme="minorHAnsi"/>
        </w:rPr>
        <w:t xml:space="preserve"> </w:t>
      </w:r>
      <w:r w:rsidR="002D511A">
        <w:t>The affirmation</w:t>
      </w:r>
      <w:r w:rsidR="0076547A" w:rsidRPr="001F52A8">
        <w:t xml:space="preserve"> also relates backwards to the deprivations and afflictions described in Judges</w:t>
      </w:r>
      <w:r w:rsidR="00E51EB6">
        <w:t>.</w:t>
      </w:r>
      <w:r w:rsidR="0076547A" w:rsidRPr="001F52A8">
        <w:rPr>
          <w:rStyle w:val="FootnoteReference"/>
        </w:rPr>
        <w:footnoteReference w:id="20"/>
      </w:r>
    </w:p>
    <w:p w14:paraId="4B4590AB" w14:textId="54C7E862" w:rsidR="00F44349" w:rsidRPr="001F52A8" w:rsidRDefault="00F44349" w:rsidP="000E3DD0">
      <w:pPr>
        <w:rPr>
          <w:rFonts w:cstheme="minorHAnsi"/>
        </w:rPr>
      </w:pPr>
      <w:r w:rsidRPr="001F52A8">
        <w:t xml:space="preserve">Hannah returns more </w:t>
      </w:r>
      <w:r w:rsidR="0027048F">
        <w:t>plainly</w:t>
      </w:r>
      <w:r w:rsidR="0027048F" w:rsidRPr="001F52A8">
        <w:t xml:space="preserve"> </w:t>
      </w:r>
      <w:r w:rsidRPr="001F52A8">
        <w:t xml:space="preserve">to power the other side of her study of reversal, making explicit that it is Yahweh’s possession of power that makes possible the imposition </w:t>
      </w:r>
      <w:r w:rsidR="00142F89">
        <w:t>of</w:t>
      </w:r>
      <w:r w:rsidRPr="001F52A8">
        <w:t xml:space="preserve"> reversal. Yahweh has this </w:t>
      </w:r>
      <w:r w:rsidRPr="001F52A8">
        <w:lastRenderedPageBreak/>
        <w:t>capacity because he is the one who established the world with stability (2:8b). Whereas the first two themes in the song concern the strong and the weak</w:t>
      </w:r>
      <w:r w:rsidR="001B4D75">
        <w:t xml:space="preserve"> and </w:t>
      </w:r>
      <w:r w:rsidRPr="001F52A8">
        <w:t>then the haves and the have nots, with little implicit religious or ethical slant, this part of the song adds that dimension. Yahweh protects people who are committed to him</w:t>
      </w:r>
      <w:r w:rsidR="00123E79">
        <w:t>, whereas</w:t>
      </w:r>
      <w:r w:rsidRPr="001F52A8">
        <w:t xml:space="preserve"> the faithless go silent into the darkness of death (v. 9a). It is the people who assert themselves against Yahweh that he shatters (2:9b-10a</w:t>
      </w:r>
      <w:r w:rsidRPr="001F52A8">
        <w:rPr>
          <w:rFonts w:cstheme="minorHAnsi"/>
        </w:rPr>
        <w:t>α</w:t>
      </w:r>
      <w:r w:rsidRPr="001F52A8">
        <w:t>). He makes decisions about the entire world (2:10a</w:t>
      </w:r>
      <w:r w:rsidRPr="001F52A8">
        <w:rPr>
          <w:rFonts w:cstheme="minorHAnsi"/>
        </w:rPr>
        <w:t>βγ). In the opening cola of her song, Hannah opened her mouth wide, in the final strophe God himself does.</w:t>
      </w:r>
      <w:r w:rsidRPr="001F52A8">
        <w:rPr>
          <w:rStyle w:val="FootnoteReference"/>
          <w:rFonts w:cstheme="minorHAnsi"/>
        </w:rPr>
        <w:footnoteReference w:id="21"/>
      </w:r>
    </w:p>
    <w:p w14:paraId="29800B48" w14:textId="33533724" w:rsidR="0076547A" w:rsidRDefault="00F44349" w:rsidP="00F44349">
      <w:pPr>
        <w:rPr>
          <w:rFonts w:cstheme="minorHAnsi"/>
        </w:rPr>
      </w:pPr>
      <w:r w:rsidRPr="001F52A8">
        <w:t xml:space="preserve">Hannah’s song </w:t>
      </w:r>
      <w:r w:rsidR="00BD7AEC">
        <w:t>resembles</w:t>
      </w:r>
      <w:r w:rsidRPr="001F52A8">
        <w:t xml:space="preserve"> a psalm, and it would fit in the Psalter</w:t>
      </w:r>
      <w:r w:rsidR="001F5EB5">
        <w:t>, which</w:t>
      </w:r>
      <w:r w:rsidRPr="001F52A8">
        <w:t xml:space="preserve"> helps to clarify its meaning and significance. It </w:t>
      </w:r>
      <w:r w:rsidR="001F5EB5">
        <w:t>implies that</w:t>
      </w:r>
      <w:r w:rsidRPr="001F52A8">
        <w:t xml:space="preserve"> what Yahweh has done for her </w:t>
      </w:r>
      <w:r w:rsidR="001F5EB5">
        <w:t>i</w:t>
      </w:r>
      <w:r w:rsidRPr="001F52A8">
        <w:t xml:space="preserve">s an expression of Yahweh’s activity on the widest canvas, like many songs of praise in the Psalms (e.g., Ps 113). Yahweh’s blessing of her leads her into an act of praise that acclaims the entire breadth of </w:t>
      </w:r>
      <w:r w:rsidR="00211BA3">
        <w:t>Yahweh’s</w:t>
      </w:r>
      <w:r w:rsidRPr="001F52A8">
        <w:t xml:space="preserve"> activity. A psalm of protest will sometimes end with such an act of praise</w:t>
      </w:r>
      <w:r w:rsidR="00327B3C">
        <w:t>, and</w:t>
      </w:r>
      <w:r w:rsidRPr="001F52A8">
        <w:t xml:space="preserve"> so may a thanksgiving psalm (e.g., Ps 22; 30). When Yahweh deliver</w:t>
      </w:r>
      <w:r w:rsidR="0013165E">
        <w:t>s</w:t>
      </w:r>
      <w:r w:rsidRPr="001F52A8">
        <w:t xml:space="preserve"> an individual or a community, it </w:t>
      </w:r>
      <w:r w:rsidR="00210C14">
        <w:t>issue</w:t>
      </w:r>
      <w:r w:rsidR="0013165E">
        <w:t>s</w:t>
      </w:r>
      <w:r w:rsidR="00210C14">
        <w:t xml:space="preserve"> in</w:t>
      </w:r>
      <w:r w:rsidRPr="001F52A8">
        <w:t xml:space="preserve"> praise in general terms</w:t>
      </w:r>
      <w:r w:rsidR="00210C14">
        <w:t>,</w:t>
      </w:r>
      <w:r w:rsidRPr="001F52A8">
        <w:t xml:space="preserve"> because Yahweh’s act gives expression to who he </w:t>
      </w:r>
      <w:r w:rsidR="00093F4E">
        <w:t xml:space="preserve">always </w:t>
      </w:r>
      <w:r w:rsidRPr="001F52A8">
        <w:t xml:space="preserve">is. </w:t>
      </w:r>
      <w:r w:rsidRPr="001F52A8">
        <w:rPr>
          <w:rFonts w:eastAsia="Times New Roman" w:cstheme="minorHAnsi"/>
          <w:color w:val="222222"/>
        </w:rPr>
        <w:t xml:space="preserve">While </w:t>
      </w:r>
      <w:r w:rsidR="00EB633C">
        <w:rPr>
          <w:rFonts w:eastAsia="Times New Roman" w:cstheme="minorHAnsi"/>
          <w:color w:val="222222"/>
        </w:rPr>
        <w:t>one can</w:t>
      </w:r>
      <w:r w:rsidRPr="001F52A8">
        <w:rPr>
          <w:rFonts w:eastAsia="Times New Roman" w:cstheme="minorHAnsi"/>
          <w:color w:val="222222"/>
        </w:rPr>
        <w:t xml:space="preserve"> make links with </w:t>
      </w:r>
      <w:r w:rsidR="00EB633C">
        <w:rPr>
          <w:rFonts w:eastAsia="Times New Roman" w:cstheme="minorHAnsi"/>
          <w:color w:val="222222"/>
        </w:rPr>
        <w:t>Hannah’s</w:t>
      </w:r>
      <w:r w:rsidRPr="001F52A8">
        <w:rPr>
          <w:rFonts w:eastAsia="Times New Roman" w:cstheme="minorHAnsi"/>
          <w:color w:val="222222"/>
        </w:rPr>
        <w:t xml:space="preserve"> story </w:t>
      </w:r>
      <w:r w:rsidR="00EB633C">
        <w:rPr>
          <w:rFonts w:eastAsia="Times New Roman" w:cstheme="minorHAnsi"/>
          <w:color w:val="222222"/>
        </w:rPr>
        <w:t>by</w:t>
      </w:r>
      <w:r w:rsidRPr="001F52A8">
        <w:rPr>
          <w:rFonts w:eastAsia="Times New Roman" w:cstheme="minorHAnsi"/>
          <w:color w:val="222222"/>
        </w:rPr>
        <w:t xml:space="preserve"> see</w:t>
      </w:r>
      <w:r w:rsidR="00EB633C">
        <w:rPr>
          <w:rFonts w:eastAsia="Times New Roman" w:cstheme="minorHAnsi"/>
          <w:color w:val="222222"/>
        </w:rPr>
        <w:t>ing</w:t>
      </w:r>
      <w:r w:rsidRPr="001F52A8">
        <w:rPr>
          <w:rFonts w:eastAsia="Times New Roman" w:cstheme="minorHAnsi"/>
          <w:color w:val="222222"/>
        </w:rPr>
        <w:t xml:space="preserve"> Peninnah behind the reference to enemies and see</w:t>
      </w:r>
      <w:r w:rsidR="00EB633C">
        <w:rPr>
          <w:rFonts w:eastAsia="Times New Roman" w:cstheme="minorHAnsi"/>
          <w:color w:val="222222"/>
        </w:rPr>
        <w:t>ing</w:t>
      </w:r>
      <w:r w:rsidRPr="001F52A8">
        <w:rPr>
          <w:rFonts w:eastAsia="Times New Roman" w:cstheme="minorHAnsi"/>
          <w:color w:val="222222"/>
        </w:rPr>
        <w:t xml:space="preserve"> Hannah as the mother of seven, the points of connection are </w:t>
      </w:r>
      <w:r w:rsidRPr="001F52A8">
        <w:rPr>
          <w:rFonts w:cstheme="minorHAnsi"/>
        </w:rPr>
        <w:t xml:space="preserve">weak. </w:t>
      </w:r>
      <w:r w:rsidRPr="001F52A8">
        <w:rPr>
          <w:rFonts w:eastAsia="Times New Roman" w:cstheme="minorHAnsi"/>
          <w:color w:val="222222"/>
        </w:rPr>
        <w:t>“She sings not just as the mother of Samuel but as a mother of Israel.”</w:t>
      </w:r>
      <w:r w:rsidRPr="001F52A8">
        <w:rPr>
          <w:rStyle w:val="FootnoteReference"/>
          <w:rFonts w:eastAsia="Times New Roman" w:cstheme="minorHAnsi"/>
          <w:color w:val="222222"/>
        </w:rPr>
        <w:footnoteReference w:id="22"/>
      </w:r>
      <w:r w:rsidRPr="001F52A8">
        <w:rPr>
          <w:rFonts w:eastAsia="Times New Roman" w:cstheme="minorHAnsi"/>
          <w:color w:val="222222"/>
        </w:rPr>
        <w:t xml:space="preserve"> </w:t>
      </w:r>
      <w:r w:rsidRPr="001F52A8">
        <w:rPr>
          <w:rFonts w:cstheme="minorHAnsi"/>
        </w:rPr>
        <w:t xml:space="preserve">The pattern suggested by the Psalms is that one protests to Yahweh, gives thanks for Yahweh’s answer, and praises Yahweh for who he is and for his characteristic acts which have been </w:t>
      </w:r>
      <w:r w:rsidR="00AC104D">
        <w:rPr>
          <w:rFonts w:cstheme="minorHAnsi"/>
        </w:rPr>
        <w:t xml:space="preserve">(partially) </w:t>
      </w:r>
      <w:r w:rsidRPr="001F52A8">
        <w:rPr>
          <w:rFonts w:cstheme="minorHAnsi"/>
        </w:rPr>
        <w:t>embodied in his response to the protest</w:t>
      </w:r>
      <w:r w:rsidR="00A8124D">
        <w:rPr>
          <w:rFonts w:cstheme="minorHAnsi"/>
        </w:rPr>
        <w:t>. H</w:t>
      </w:r>
      <w:r w:rsidRPr="001F52A8">
        <w:rPr>
          <w:rFonts w:cstheme="minorHAnsi"/>
        </w:rPr>
        <w:t>ere Hannah jumps straight to the last.</w:t>
      </w:r>
      <w:r w:rsidRPr="001F52A8">
        <w:rPr>
          <w:rStyle w:val="FootnoteReference"/>
          <w:rFonts w:cstheme="minorHAnsi"/>
        </w:rPr>
        <w:footnoteReference w:id="23"/>
      </w:r>
      <w:r w:rsidRPr="001F52A8">
        <w:rPr>
          <w:rFonts w:cstheme="minorHAnsi"/>
        </w:rPr>
        <w:t xml:space="preserve"> </w:t>
      </w:r>
    </w:p>
    <w:p w14:paraId="297D71B4" w14:textId="3E373A50" w:rsidR="00114B96" w:rsidRPr="001F52A8" w:rsidRDefault="00B75818" w:rsidP="00114B96">
      <w:pPr>
        <w:rPr>
          <w:rFonts w:cstheme="minorHAnsi"/>
        </w:rPr>
      </w:pPr>
      <w:r>
        <w:t>The third way in which the song glorifies Yahweh also</w:t>
      </w:r>
      <w:r w:rsidR="00F44349" w:rsidRPr="001F52A8">
        <w:t xml:space="preserve"> parallels some psalms, in particular Psalm 18 which reappears at the other end of Samuel as 2 Samuel 22. </w:t>
      </w:r>
      <w:r w:rsidR="00114B96" w:rsidRPr="001F52A8">
        <w:t>Hannah</w:t>
      </w:r>
      <w:r w:rsidR="00114B96">
        <w:t xml:space="preserve"> prays “in a prophetic spirit” (Tg)</w:t>
      </w:r>
      <w:r w:rsidR="00114B96" w:rsidRPr="001F52A8">
        <w:rPr>
          <w:rFonts w:cstheme="minorHAnsi"/>
        </w:rPr>
        <w:t>, like Zechariah (Luke 1:67).</w:t>
      </w:r>
      <w:r w:rsidR="00114B96" w:rsidRPr="001F52A8">
        <w:rPr>
          <w:rStyle w:val="FootnoteReference"/>
          <w:rFonts w:cstheme="minorHAnsi"/>
        </w:rPr>
        <w:footnoteReference w:id="24"/>
      </w:r>
      <w:r w:rsidR="00114B96" w:rsidRPr="001F52A8">
        <w:rPr>
          <w:rFonts w:cstheme="minorHAnsi"/>
        </w:rPr>
        <w:t xml:space="preserve"> </w:t>
      </w:r>
      <w:r w:rsidR="00655609">
        <w:rPr>
          <w:rFonts w:cstheme="minorHAnsi"/>
        </w:rPr>
        <w:t xml:space="preserve">Her song </w:t>
      </w:r>
      <w:r w:rsidR="004E3581">
        <w:rPr>
          <w:rFonts w:cstheme="minorHAnsi"/>
        </w:rPr>
        <w:t>speaks about the king for whom her story</w:t>
      </w:r>
      <w:r w:rsidR="00114B96" w:rsidRPr="001F52A8">
        <w:rPr>
          <w:rFonts w:cstheme="minorHAnsi"/>
        </w:rPr>
        <w:t xml:space="preserve"> </w:t>
      </w:r>
      <w:r w:rsidR="004E3581">
        <w:rPr>
          <w:rFonts w:cstheme="minorHAnsi"/>
        </w:rPr>
        <w:t>prepares the way</w:t>
      </w:r>
      <w:r w:rsidR="00114B96" w:rsidRPr="001F52A8">
        <w:rPr>
          <w:rFonts w:cstheme="minorHAnsi"/>
        </w:rPr>
        <w:t xml:space="preserve">: </w:t>
      </w:r>
    </w:p>
    <w:p w14:paraId="4C7FC9FA" w14:textId="77777777" w:rsidR="00114B96" w:rsidRPr="001F52A8" w:rsidRDefault="00114B96" w:rsidP="00114B96">
      <w:pPr>
        <w:rPr>
          <w:rFonts w:cstheme="minorHAnsi"/>
        </w:rPr>
      </w:pPr>
    </w:p>
    <w:p w14:paraId="5D744F84" w14:textId="77777777" w:rsidR="00114B96" w:rsidRPr="001F52A8" w:rsidRDefault="00114B96" w:rsidP="00114B96">
      <w:pPr>
        <w:ind w:left="720" w:firstLine="0"/>
        <w:rPr>
          <w:rFonts w:ascii="Calibri" w:eastAsia="Times New Roman" w:hAnsi="Calibri" w:cs="Times New Roman"/>
          <w:szCs w:val="18"/>
          <w:lang w:bidi="he-IL"/>
        </w:rPr>
      </w:pPr>
      <w:r w:rsidRPr="001F52A8">
        <w:rPr>
          <w:rFonts w:ascii="Calibri" w:eastAsia="Times New Roman" w:hAnsi="Calibri" w:cs="Times New Roman"/>
          <w:szCs w:val="18"/>
          <w:lang w:bidi="he-IL"/>
        </w:rPr>
        <w:t xml:space="preserve">He gives vigor to his king, </w:t>
      </w:r>
    </w:p>
    <w:p w14:paraId="521B50AC" w14:textId="77777777" w:rsidR="00114B96" w:rsidRPr="001F52A8" w:rsidRDefault="00114B96" w:rsidP="00114B96">
      <w:pPr>
        <w:ind w:left="720"/>
        <w:rPr>
          <w:rFonts w:ascii="Calibri" w:eastAsia="Times New Roman" w:hAnsi="Calibri" w:cs="Times New Roman"/>
          <w:szCs w:val="18"/>
          <w:lang w:bidi="he-IL"/>
        </w:rPr>
      </w:pPr>
      <w:r w:rsidRPr="001F52A8">
        <w:rPr>
          <w:rFonts w:ascii="Calibri" w:eastAsia="Times New Roman" w:hAnsi="Calibri" w:cs="Times New Roman"/>
          <w:szCs w:val="18"/>
          <w:lang w:bidi="he-IL"/>
        </w:rPr>
        <w:t>lifts up the horn of his anointed one. (2:10)</w:t>
      </w:r>
    </w:p>
    <w:p w14:paraId="7CF2A887" w14:textId="77777777" w:rsidR="00114B96" w:rsidRPr="001F52A8" w:rsidRDefault="00114B96" w:rsidP="00114B96">
      <w:pPr>
        <w:ind w:firstLine="0"/>
        <w:rPr>
          <w:rFonts w:ascii="Calibri" w:eastAsia="Times New Roman" w:hAnsi="Calibri" w:cs="Times New Roman"/>
          <w:szCs w:val="18"/>
          <w:lang w:bidi="he-IL"/>
        </w:rPr>
      </w:pPr>
    </w:p>
    <w:p w14:paraId="04383F47" w14:textId="40CC35F4" w:rsidR="00114B96" w:rsidRPr="001F52A8" w:rsidRDefault="00114B96" w:rsidP="00114B96">
      <w:pPr>
        <w:ind w:firstLine="0"/>
      </w:pPr>
      <w:r w:rsidRPr="001F52A8">
        <w:t xml:space="preserve">When animals such as bulls fight, their horn is their key expression of strength. Breaking a horn signifies defeat; </w:t>
      </w:r>
      <w:r w:rsidR="00974150">
        <w:t>elevat</w:t>
      </w:r>
      <w:r w:rsidRPr="001F52A8">
        <w:t xml:space="preserve">ing one’s horn signifies victory. Yahweh ensures that his anointed does hold his horn high. The close of the song </w:t>
      </w:r>
      <w:r w:rsidR="00974150">
        <w:t xml:space="preserve">also </w:t>
      </w:r>
      <w:r w:rsidRPr="001F52A8">
        <w:t xml:space="preserve">clarifies the </w:t>
      </w:r>
      <w:r w:rsidR="00974150">
        <w:t>significance</w:t>
      </w:r>
      <w:r w:rsidRPr="001F52A8">
        <w:t xml:space="preserve"> of </w:t>
      </w:r>
      <w:r>
        <w:t>its</w:t>
      </w:r>
      <w:r w:rsidRPr="001F52A8">
        <w:t xml:space="preserve"> beginning:</w:t>
      </w:r>
    </w:p>
    <w:p w14:paraId="7CE0408F" w14:textId="77777777" w:rsidR="00114B96" w:rsidRPr="001F52A8" w:rsidRDefault="00114B96" w:rsidP="00114B96">
      <w:pPr>
        <w:ind w:firstLine="0"/>
      </w:pPr>
    </w:p>
    <w:p w14:paraId="4219AFE0" w14:textId="77777777" w:rsidR="00114B96" w:rsidRPr="001F52A8" w:rsidRDefault="00114B96" w:rsidP="00114B96">
      <w:pPr>
        <w:ind w:left="720" w:firstLine="0"/>
        <w:rPr>
          <w:rFonts w:ascii="Calibri" w:eastAsia="Times New Roman" w:hAnsi="Calibri" w:cs="Times New Roman"/>
          <w:szCs w:val="18"/>
          <w:lang w:bidi="he-IL"/>
        </w:rPr>
      </w:pPr>
      <w:r w:rsidRPr="001F52A8">
        <w:rPr>
          <w:rFonts w:ascii="Calibri" w:eastAsia="Times New Roman" w:hAnsi="Calibri" w:cs="Times New Roman"/>
          <w:szCs w:val="18"/>
          <w:lang w:bidi="he-IL"/>
        </w:rPr>
        <w:t xml:space="preserve">My heart has exulted in Yahweh, </w:t>
      </w:r>
    </w:p>
    <w:p w14:paraId="6E7CFD03" w14:textId="77777777" w:rsidR="00114B96" w:rsidRPr="001F52A8" w:rsidRDefault="00114B96" w:rsidP="00114B96">
      <w:pPr>
        <w:ind w:left="720"/>
        <w:rPr>
          <w:rFonts w:ascii="Calibri" w:eastAsia="Times New Roman" w:hAnsi="Calibri" w:cs="Times New Roman"/>
          <w:szCs w:val="18"/>
          <w:lang w:bidi="he-IL"/>
        </w:rPr>
      </w:pPr>
      <w:r w:rsidRPr="001F52A8">
        <w:rPr>
          <w:rFonts w:ascii="Calibri" w:eastAsia="Times New Roman" w:hAnsi="Calibri" w:cs="Times New Roman"/>
          <w:szCs w:val="18"/>
          <w:lang w:bidi="he-IL"/>
        </w:rPr>
        <w:t>my horn has lifted high through Yahweh.</w:t>
      </w:r>
    </w:p>
    <w:p w14:paraId="4C0357B9" w14:textId="77777777" w:rsidR="00114B96" w:rsidRPr="001F52A8" w:rsidRDefault="00114B96" w:rsidP="00114B96">
      <w:pPr>
        <w:ind w:left="720" w:firstLine="0"/>
        <w:rPr>
          <w:rFonts w:ascii="Calibri" w:eastAsia="Times New Roman" w:hAnsi="Calibri" w:cs="Times New Roman"/>
          <w:szCs w:val="18"/>
          <w:lang w:bidi="he-IL"/>
        </w:rPr>
      </w:pPr>
      <w:r w:rsidRPr="001F52A8">
        <w:rPr>
          <w:rFonts w:ascii="Calibri" w:eastAsia="Times New Roman" w:hAnsi="Calibri" w:cs="Times New Roman"/>
          <w:szCs w:val="18"/>
          <w:lang w:bidi="he-IL"/>
        </w:rPr>
        <w:t xml:space="preserve">My mouth has opened wide at my enemies, </w:t>
      </w:r>
    </w:p>
    <w:p w14:paraId="374922F5" w14:textId="77777777" w:rsidR="00114B96" w:rsidRPr="001F52A8" w:rsidRDefault="00114B96" w:rsidP="00114B96">
      <w:pPr>
        <w:ind w:left="720"/>
        <w:rPr>
          <w:rFonts w:ascii="Calibri" w:eastAsia="Times New Roman" w:hAnsi="Calibri" w:cs="Times New Roman"/>
          <w:szCs w:val="18"/>
          <w:lang w:bidi="he-IL"/>
        </w:rPr>
      </w:pPr>
      <w:r w:rsidRPr="001F52A8">
        <w:rPr>
          <w:rFonts w:ascii="Calibri" w:eastAsia="Times New Roman" w:hAnsi="Calibri" w:cs="Times New Roman"/>
          <w:szCs w:val="18"/>
          <w:lang w:bidi="he-IL"/>
        </w:rPr>
        <w:t>because I have rejoiced in your deliverance. (2:1)</w:t>
      </w:r>
    </w:p>
    <w:p w14:paraId="0BCEE72D" w14:textId="77777777" w:rsidR="00114B96" w:rsidRPr="001F52A8" w:rsidRDefault="00114B96" w:rsidP="00114B96">
      <w:pPr>
        <w:rPr>
          <w:rFonts w:cstheme="minorHAnsi"/>
        </w:rPr>
      </w:pPr>
    </w:p>
    <w:p w14:paraId="15D893F8" w14:textId="0897DBD8" w:rsidR="00F44349" w:rsidRPr="001F52A8" w:rsidRDefault="00114B96" w:rsidP="00955C11">
      <w:pPr>
        <w:ind w:firstLine="0"/>
      </w:pPr>
      <w:r w:rsidRPr="001F52A8">
        <w:t>While Hannah speaks</w:t>
      </w:r>
      <w:r w:rsidR="00BB3E14">
        <w:t xml:space="preserve"> here</w:t>
      </w:r>
      <w:r w:rsidRPr="001F52A8">
        <w:t>, she does not speak for herself. The voice is “the triumphant voice of the Lord’s Anointed.”</w:t>
      </w:r>
      <w:r w:rsidRPr="001F52A8">
        <w:rPr>
          <w:rStyle w:val="FootnoteReference"/>
        </w:rPr>
        <w:footnoteReference w:id="25"/>
      </w:r>
      <w:r w:rsidRPr="001F52A8">
        <w:t xml:space="preserve"> The language </w:t>
      </w:r>
      <w:r w:rsidR="00A15FD6">
        <w:t xml:space="preserve">of </w:t>
      </w:r>
      <w:r w:rsidRPr="001F52A8">
        <w:t xml:space="preserve">enemies, deliverance, horn, rock, strength, Sheol, exalting, silence, and thunder resounds </w:t>
      </w:r>
      <w:r w:rsidR="00A15FD6">
        <w:t xml:space="preserve">again </w:t>
      </w:r>
      <w:r w:rsidRPr="001F52A8">
        <w:t xml:space="preserve">on </w:t>
      </w:r>
      <w:r w:rsidR="00A15FD6">
        <w:t>David’s</w:t>
      </w:r>
      <w:r w:rsidRPr="001F52A8">
        <w:t xml:space="preserve"> lips at the other end of Samuel, in 2 Samuel 22. </w:t>
      </w:r>
      <w:r w:rsidRPr="001F52A8">
        <w:rPr>
          <w:rFonts w:cstheme="minorHAnsi"/>
        </w:rPr>
        <w:t xml:space="preserve">The close of the psalm </w:t>
      </w:r>
      <w:r w:rsidR="00EA504B">
        <w:rPr>
          <w:rFonts w:cstheme="minorHAnsi"/>
        </w:rPr>
        <w:t xml:space="preserve">thus </w:t>
      </w:r>
      <w:r w:rsidRPr="001F52A8">
        <w:rPr>
          <w:rFonts w:cstheme="minorHAnsi"/>
        </w:rPr>
        <w:t xml:space="preserve">answers the question </w:t>
      </w:r>
      <w:r>
        <w:rPr>
          <w:rFonts w:cstheme="minorHAnsi"/>
        </w:rPr>
        <w:t xml:space="preserve">“Who speaks?” </w:t>
      </w:r>
      <w:r w:rsidRPr="001F52A8">
        <w:rPr>
          <w:rFonts w:cstheme="minorHAnsi"/>
        </w:rPr>
        <w:t>raised by the beginning.</w:t>
      </w:r>
      <w:r w:rsidRPr="001F52A8">
        <w:t xml:space="preserve"> </w:t>
      </w:r>
      <w:r w:rsidR="00FA4155">
        <w:t>That psalm</w:t>
      </w:r>
      <w:r w:rsidR="00F44349" w:rsidRPr="001F52A8">
        <w:t xml:space="preserve"> begins with the king speaking (“Yahweh is my crag”)</w:t>
      </w:r>
      <w:r w:rsidR="00704420">
        <w:t>,</w:t>
      </w:r>
      <w:r w:rsidR="00F44349" w:rsidRPr="001F52A8">
        <w:t xml:space="preserve"> but </w:t>
      </w:r>
      <w:r w:rsidR="00EA504B">
        <w:t xml:space="preserve">it </w:t>
      </w:r>
      <w:r w:rsidR="003B3F52">
        <w:t xml:space="preserve">also </w:t>
      </w:r>
      <w:r w:rsidR="00F44349" w:rsidRPr="001F52A8">
        <w:t>speak</w:t>
      </w:r>
      <w:r w:rsidR="003B3F52">
        <w:t>s</w:t>
      </w:r>
      <w:r w:rsidR="00F44349" w:rsidRPr="001F52A8">
        <w:t xml:space="preserve"> about the king (“a tower of deliverance to his king and one who acts in commitment to his anointed, to David and to his offspring for all time”). Psalms 61 and 63 are other examples of movement between speaking as the king and for the king. There, a psalmist wrote the psalm that way for the king; and here a psalmist makes Hannah the mouthpiece </w:t>
      </w:r>
      <w:r w:rsidR="009909E3">
        <w:t>f</w:t>
      </w:r>
      <w:r w:rsidR="00F44349" w:rsidRPr="001F52A8">
        <w:t xml:space="preserve">or such an act of praise. She speaks as if she were the king at the beginning and speaks of the king at the end. </w:t>
      </w:r>
      <w:r w:rsidR="005175D6">
        <w:t>I</w:t>
      </w:r>
      <w:r w:rsidR="0058440A">
        <w:t xml:space="preserve">n her psalm </w:t>
      </w:r>
      <w:r w:rsidR="00F44349" w:rsidRPr="001F52A8">
        <w:t>Hannah “pleaded” (</w:t>
      </w:r>
      <w:r w:rsidR="0058440A">
        <w:t>2</w:t>
      </w:r>
      <w:r w:rsidR="00F44349" w:rsidRPr="001F52A8">
        <w:t>:1), and a midrash neatly has Hannah praying for Peninnah.</w:t>
      </w:r>
      <w:r w:rsidR="00F44349" w:rsidRPr="001F52A8">
        <w:rPr>
          <w:rStyle w:val="FootnoteReference"/>
        </w:rPr>
        <w:footnoteReference w:id="26"/>
      </w:r>
      <w:r w:rsidR="00F44349" w:rsidRPr="001F52A8">
        <w:t xml:space="preserve"> </w:t>
      </w:r>
      <w:r w:rsidR="007E1DA7">
        <w:t>A</w:t>
      </w:r>
      <w:r w:rsidR="00F44349" w:rsidRPr="001F52A8">
        <w:t>ctually the whole psalm is spoken for the (second) king whom her son will anoint. He is the one who looks open-mouthed at his defeated enemies and rejoices in Yahweh’s deliverance.</w:t>
      </w:r>
    </w:p>
    <w:p w14:paraId="30B151E8" w14:textId="6949F79D" w:rsidR="00F44349" w:rsidRDefault="005F610A" w:rsidP="00F44349">
      <w:r>
        <w:t>Admittedly</w:t>
      </w:r>
      <w:r w:rsidR="006F22E5">
        <w:t xml:space="preserve"> it</w:t>
      </w:r>
      <w:r w:rsidR="002278B7">
        <w:t>’s</w:t>
      </w:r>
      <w:r>
        <w:t xml:space="preserve"> not </w:t>
      </w:r>
      <w:r w:rsidR="00F44349" w:rsidRPr="001F52A8">
        <w:t xml:space="preserve">clear that </w:t>
      </w:r>
      <w:r w:rsidR="00B12CB3">
        <w:t xml:space="preserve">Saul or David </w:t>
      </w:r>
      <w:r w:rsidR="00F44349" w:rsidRPr="001F52A8">
        <w:t>facilitate the reversal</w:t>
      </w:r>
      <w:r w:rsidR="006F22E5">
        <w:t>s</w:t>
      </w:r>
      <w:r w:rsidR="00F44349" w:rsidRPr="001F52A8">
        <w:t xml:space="preserve"> </w:t>
      </w:r>
      <w:r w:rsidR="002A6E7D">
        <w:t>she</w:t>
      </w:r>
      <w:r w:rsidR="00F44349" w:rsidRPr="001F52A8">
        <w:t xml:space="preserve"> describe</w:t>
      </w:r>
      <w:r w:rsidR="006F22E5">
        <w:t>s</w:t>
      </w:r>
      <w:r w:rsidR="00F44349" w:rsidRPr="001F52A8">
        <w:t xml:space="preserve">. </w:t>
      </w:r>
      <w:r w:rsidR="00FC751E">
        <w:t>W</w:t>
      </w:r>
      <w:r w:rsidR="00F44349" w:rsidRPr="001F52A8">
        <w:t xml:space="preserve">hile </w:t>
      </w:r>
      <w:r w:rsidR="00D00F5A">
        <w:t>Hannah</w:t>
      </w:r>
      <w:r w:rsidR="00F44349" w:rsidRPr="001F52A8">
        <w:t xml:space="preserve"> </w:t>
      </w:r>
      <w:r w:rsidR="00B12CB3">
        <w:t>belongs</w:t>
      </w:r>
      <w:r w:rsidR="00F44349" w:rsidRPr="001F52A8">
        <w:t xml:space="preserve"> </w:t>
      </w:r>
      <w:r w:rsidR="002278B7">
        <w:t xml:space="preserve">in </w:t>
      </w:r>
      <w:r w:rsidR="00F44349" w:rsidRPr="001F52A8">
        <w:t xml:space="preserve">a sequence of feisty women such as Rebekah and Deborah in the First </w:t>
      </w:r>
      <w:r w:rsidR="00D00F5A">
        <w:t>Testament,</w:t>
      </w:r>
      <w:r w:rsidR="00686CB6">
        <w:t xml:space="preserve"> </w:t>
      </w:r>
      <w:r w:rsidR="00D00F5A">
        <w:t>i</w:t>
      </w:r>
      <w:r w:rsidR="00F44349" w:rsidRPr="001F52A8">
        <w:t xml:space="preserve">t’s not clear that </w:t>
      </w:r>
      <w:r w:rsidR="00F93007">
        <w:t>kings</w:t>
      </w:r>
      <w:r w:rsidR="00F44349" w:rsidRPr="001F52A8">
        <w:t xml:space="preserve"> </w:t>
      </w:r>
      <w:r w:rsidR="00FC751E">
        <w:t xml:space="preserve">generally </w:t>
      </w:r>
      <w:r w:rsidR="00F44349" w:rsidRPr="001F52A8">
        <w:t xml:space="preserve">facilitate </w:t>
      </w:r>
      <w:r w:rsidR="00F77090">
        <w:t xml:space="preserve">the </w:t>
      </w:r>
      <w:r w:rsidR="00F44349" w:rsidRPr="001F52A8">
        <w:t>self-fulfillment</w:t>
      </w:r>
      <w:r w:rsidR="00F77090">
        <w:t xml:space="preserve"> of the women associated with them</w:t>
      </w:r>
      <w:r w:rsidR="00F44349" w:rsidRPr="001F52A8">
        <w:t>.</w:t>
      </w:r>
      <w:r w:rsidR="000F0847">
        <w:t xml:space="preserve"> </w:t>
      </w:r>
      <w:r w:rsidR="00196AE3">
        <w:t xml:space="preserve">The stories of women </w:t>
      </w:r>
      <w:r w:rsidR="00731D9C">
        <w:t xml:space="preserve">function to expose the </w:t>
      </w:r>
      <w:r w:rsidR="007952B1">
        <w:t>ab</w:t>
      </w:r>
      <w:r w:rsidR="00731D9C">
        <w:t xml:space="preserve">use of power </w:t>
      </w:r>
      <w:r w:rsidR="00CE28D0">
        <w:t>in th</w:t>
      </w:r>
      <w:r w:rsidR="007952B1">
        <w:t>e David story</w:t>
      </w:r>
      <w:r w:rsidR="00F77090">
        <w:t>.</w:t>
      </w:r>
      <w:r w:rsidR="00CE28D0">
        <w:rPr>
          <w:rStyle w:val="FootnoteReference"/>
        </w:rPr>
        <w:footnoteReference w:id="27"/>
      </w:r>
      <w:r w:rsidR="00FC6F7A">
        <w:t xml:space="preserve"> </w:t>
      </w:r>
      <w:r w:rsidR="00F77090">
        <w:t>So</w:t>
      </w:r>
      <w:r w:rsidR="00A12A68">
        <w:t xml:space="preserve"> do</w:t>
      </w:r>
      <w:r w:rsidR="00FC6F7A">
        <w:t xml:space="preserve"> of the stories of men</w:t>
      </w:r>
      <w:r w:rsidR="00A12A68">
        <w:t>.</w:t>
      </w:r>
    </w:p>
    <w:p w14:paraId="468D4EAB" w14:textId="22A570A1" w:rsidR="003A6D7C" w:rsidRPr="001F52A8" w:rsidRDefault="004D62C5" w:rsidP="000B0A0F">
      <w:pPr>
        <w:pStyle w:val="Heading2"/>
      </w:pPr>
      <w:r w:rsidRPr="001F52A8">
        <w:t>The G</w:t>
      </w:r>
      <w:r w:rsidR="003C61F5" w:rsidRPr="001F52A8">
        <w:t xml:space="preserve">od of </w:t>
      </w:r>
      <w:r w:rsidR="004B6884" w:rsidRPr="001F52A8">
        <w:t>Shiloh</w:t>
      </w:r>
    </w:p>
    <w:p w14:paraId="6E4C6C8E" w14:textId="63E860D6" w:rsidR="00237115" w:rsidRPr="001F52A8" w:rsidRDefault="00EF6CC6" w:rsidP="00237115">
      <w:r>
        <w:t xml:space="preserve">In due course then, </w:t>
      </w:r>
      <w:r w:rsidR="00237115" w:rsidRPr="001F52A8">
        <w:t xml:space="preserve">Samuel </w:t>
      </w:r>
      <w:r>
        <w:t xml:space="preserve">will </w:t>
      </w:r>
      <w:r w:rsidR="00B64049">
        <w:t>tell of</w:t>
      </w:r>
      <w:r w:rsidR="00237115" w:rsidRPr="001F52A8">
        <w:t xml:space="preserve"> Yahweh’s involvement in th</w:t>
      </w:r>
      <w:r w:rsidR="00875959">
        <w:t>e</w:t>
      </w:r>
      <w:r w:rsidR="00875959" w:rsidRPr="001F52A8">
        <w:t xml:space="preserve"> beginnings of Israel’s monarchy</w:t>
      </w:r>
      <w:r w:rsidR="00237115" w:rsidRPr="001F52A8">
        <w:t xml:space="preserve">. </w:t>
      </w:r>
      <w:r w:rsidR="00B64049">
        <w:t>O</w:t>
      </w:r>
      <w:r w:rsidR="00237115" w:rsidRPr="001F52A8">
        <w:t>ne might say that theologically Yahweh’s action is the framework round the entire story and is theologically prior to the human action. One might further assume that a divine plan is finding fulfillment in this story. But neither of these convictions form</w:t>
      </w:r>
      <w:r w:rsidR="002D45B2">
        <w:t>s</w:t>
      </w:r>
      <w:r w:rsidR="00237115" w:rsidRPr="001F52A8">
        <w:t xml:space="preserve"> the book’s starting point. </w:t>
      </w:r>
      <w:r w:rsidR="00915209">
        <w:t xml:space="preserve">Further, </w:t>
      </w:r>
      <w:r w:rsidR="007C7297">
        <w:t>the narrative</w:t>
      </w:r>
      <w:r w:rsidR="00237115" w:rsidRPr="001F52A8">
        <w:t xml:space="preserve"> </w:t>
      </w:r>
      <w:r w:rsidR="00F9451E">
        <w:t>may</w:t>
      </w:r>
      <w:r w:rsidR="007C7297">
        <w:t xml:space="preserve"> presuppose</w:t>
      </w:r>
      <w:r w:rsidR="00237115" w:rsidRPr="001F52A8">
        <w:t xml:space="preserve"> a divine sovereignty </w:t>
      </w:r>
      <w:r w:rsidR="00D33BAB">
        <w:t>such as</w:t>
      </w:r>
      <w:r w:rsidR="00237115" w:rsidRPr="001F52A8">
        <w:t xml:space="preserve"> ensures that human actions do not get out of hand and that in the end Yahweh’s overall aim is kept on track. But it </w:t>
      </w:r>
      <w:r w:rsidR="000C7A2B">
        <w:t>describes</w:t>
      </w:r>
      <w:r w:rsidR="00237115" w:rsidRPr="001F52A8">
        <w:t xml:space="preserve"> human initiatives to which Yahweh responds as well as divine initiatives to which human beings respond. It would be a </w:t>
      </w:r>
      <w:r w:rsidR="007904C4">
        <w:t xml:space="preserve">converse </w:t>
      </w:r>
      <w:r w:rsidR="00237115" w:rsidRPr="001F52A8">
        <w:t xml:space="preserve">oversimplification to say that Samuel </w:t>
      </w:r>
      <w:r w:rsidR="007A51FD">
        <w:t xml:space="preserve">adopts </w:t>
      </w:r>
      <w:r w:rsidR="00237115" w:rsidRPr="001F52A8">
        <w:t>Qohelet</w:t>
      </w:r>
      <w:r w:rsidR="007A51FD">
        <w:t>’</w:t>
      </w:r>
      <w:r w:rsidR="00237115" w:rsidRPr="001F52A8">
        <w:t xml:space="preserve">s “under the sun” perspective, portraying things only as they can be seen with ordinary eyes, </w:t>
      </w:r>
      <w:r w:rsidR="00B00B5C">
        <w:t>implying</w:t>
      </w:r>
      <w:r w:rsidR="00237115" w:rsidRPr="001F52A8">
        <w:t xml:space="preserve"> no claim to supernatural illumination. Samuel </w:t>
      </w:r>
      <w:r w:rsidR="008517F8">
        <w:t>wil</w:t>
      </w:r>
      <w:r w:rsidR="00047FF2">
        <w:t>l</w:t>
      </w:r>
      <w:r w:rsidR="00237115" w:rsidRPr="001F52A8">
        <w:t xml:space="preserve"> tell its </w:t>
      </w:r>
      <w:r w:rsidR="00CF1E76">
        <w:t>auditor</w:t>
      </w:r>
      <w:r w:rsidR="00237115" w:rsidRPr="001F52A8">
        <w:t>s things about Yahweh’s specific intentions, actions, and reactions (</w:t>
      </w:r>
      <w:r w:rsidR="00047FF2">
        <w:t xml:space="preserve">e.g., </w:t>
      </w:r>
      <w:r w:rsidR="00237115" w:rsidRPr="001F52A8">
        <w:t>1:5, 6, 19; 2:21, 25; 3:4, 6, 8, 10, 11, 19, 21</w:t>
      </w:r>
      <w:r w:rsidR="00047FF2">
        <w:t>)</w:t>
      </w:r>
      <w:r w:rsidR="00816713">
        <w:t>, though</w:t>
      </w:r>
      <w:r w:rsidR="00237115" w:rsidRPr="001F52A8">
        <w:t xml:space="preserve"> on other occasions it </w:t>
      </w:r>
      <w:r w:rsidR="00816713">
        <w:t xml:space="preserve">will </w:t>
      </w:r>
      <w:r w:rsidR="00237115" w:rsidRPr="001F52A8">
        <w:t>simply relate things that happened and make no comment.</w:t>
      </w:r>
    </w:p>
    <w:p w14:paraId="1DF33FB5" w14:textId="1E3801E2" w:rsidR="00AF4925" w:rsidRPr="001F52A8" w:rsidRDefault="00A02A45" w:rsidP="00D4014F">
      <w:pPr>
        <w:rPr>
          <w:rFonts w:cstheme="minorHAnsi"/>
        </w:rPr>
      </w:pPr>
      <w:r>
        <w:t>So t</w:t>
      </w:r>
      <w:r w:rsidR="00237115" w:rsidRPr="001F52A8">
        <w:t xml:space="preserve">he story opens with a human initiative. Elqanah takes his family to Shiloh for an annual festival; it would be a response </w:t>
      </w:r>
      <w:r w:rsidR="005B2CF2">
        <w:t xml:space="preserve">to a divine initiative </w:t>
      </w:r>
      <w:r w:rsidR="00237115" w:rsidRPr="001F52A8">
        <w:t xml:space="preserve">in the sense that the Torah has expectations of such celebrations. It is the same annual occasion at Shiloh to which the </w:t>
      </w:r>
      <w:r w:rsidR="003435DE">
        <w:t xml:space="preserve">close of </w:t>
      </w:r>
      <w:r w:rsidR="00237115" w:rsidRPr="001F52A8">
        <w:t xml:space="preserve">Judges refers. </w:t>
      </w:r>
      <w:r w:rsidR="00972F59">
        <w:t>Israel’s</w:t>
      </w:r>
      <w:r w:rsidR="00BB3D83" w:rsidRPr="001F52A8">
        <w:t xml:space="preserve"> ancestors were frequently on the move</w:t>
      </w:r>
      <w:r w:rsidR="000F366D">
        <w:t xml:space="preserve">, </w:t>
      </w:r>
      <w:r w:rsidR="00133F55">
        <w:t xml:space="preserve">and </w:t>
      </w:r>
      <w:r w:rsidR="00EF36B0">
        <w:t>God</w:t>
      </w:r>
      <w:r w:rsidR="008E3D17" w:rsidRPr="001F52A8">
        <w:t xml:space="preserve"> </w:t>
      </w:r>
      <w:r w:rsidR="00EF36B0">
        <w:t>w</w:t>
      </w:r>
      <w:r w:rsidR="00FC1241" w:rsidRPr="001F52A8">
        <w:t xml:space="preserve">ould </w:t>
      </w:r>
      <w:r w:rsidR="00536BEB" w:rsidRPr="001F52A8">
        <w:t xml:space="preserve">meet with them </w:t>
      </w:r>
      <w:r w:rsidR="00A8273E" w:rsidRPr="001F52A8">
        <w:t>on their travels</w:t>
      </w:r>
      <w:r w:rsidR="00A8273E">
        <w:t>,</w:t>
      </w:r>
      <w:r w:rsidR="00A8273E" w:rsidRPr="001F52A8">
        <w:t xml:space="preserve"> </w:t>
      </w:r>
      <w:r w:rsidR="00536BEB" w:rsidRPr="001F52A8">
        <w:t xml:space="preserve">wherever </w:t>
      </w:r>
      <w:r w:rsidR="00EC580D" w:rsidRPr="001F52A8">
        <w:t>they were</w:t>
      </w:r>
      <w:r w:rsidR="00445DF3" w:rsidRPr="001F52A8">
        <w:t xml:space="preserve">. </w:t>
      </w:r>
      <w:r w:rsidR="0033286A" w:rsidRPr="001F52A8">
        <w:t xml:space="preserve">Now Israel is a settled people, Yahweh is settled with them, and he has a house </w:t>
      </w:r>
      <w:r w:rsidR="00F55687" w:rsidRPr="001F52A8">
        <w:t>(1:7</w:t>
      </w:r>
      <w:r w:rsidR="0091077A" w:rsidRPr="001F52A8">
        <w:t>) – maybe more than one</w:t>
      </w:r>
      <w:r w:rsidR="00CA1264" w:rsidRPr="001F52A8">
        <w:t>, though the covenant chest</w:t>
      </w:r>
      <w:r w:rsidR="00184473">
        <w:t>’s presence</w:t>
      </w:r>
      <w:r w:rsidR="00CA1264" w:rsidRPr="001F52A8">
        <w:t xml:space="preserve"> </w:t>
      </w:r>
      <w:r w:rsidR="00D0502A">
        <w:t xml:space="preserve">(4:3) </w:t>
      </w:r>
      <w:r w:rsidR="00CA1264" w:rsidRPr="001F52A8">
        <w:t xml:space="preserve">would make </w:t>
      </w:r>
      <w:r w:rsidR="00564D0F" w:rsidRPr="001F52A8">
        <w:t>the one at Shiloh</w:t>
      </w:r>
      <w:r w:rsidR="00CA1264" w:rsidRPr="001F52A8">
        <w:t xml:space="preserve"> especially </w:t>
      </w:r>
      <w:r w:rsidR="00CA1264" w:rsidRPr="001F52A8">
        <w:lastRenderedPageBreak/>
        <w:t>important</w:t>
      </w:r>
      <w:r w:rsidR="00CB4748">
        <w:t>. But</w:t>
      </w:r>
      <w:r w:rsidR="00CB4748" w:rsidRPr="001F52A8">
        <w:t xml:space="preserve"> families liv</w:t>
      </w:r>
      <w:r w:rsidR="00920E60">
        <w:t>ing</w:t>
      </w:r>
      <w:r w:rsidR="00CB4748" w:rsidRPr="001F52A8">
        <w:t xml:space="preserve"> further away would go to other sanctuaries</w:t>
      </w:r>
      <w:r w:rsidR="00632A4C" w:rsidRPr="001F52A8">
        <w:t xml:space="preserve"> and </w:t>
      </w:r>
      <w:r w:rsidR="00CB4748">
        <w:t>Sh</w:t>
      </w:r>
      <w:r w:rsidR="004820EB">
        <w:t>iloh</w:t>
      </w:r>
      <w:r w:rsidR="00632A4C" w:rsidRPr="001F52A8">
        <w:t xml:space="preserve"> may not have been the</w:t>
      </w:r>
      <w:r w:rsidR="00D4014F" w:rsidRPr="001F52A8">
        <w:t xml:space="preserve"> </w:t>
      </w:r>
      <w:r w:rsidR="00632A4C" w:rsidRPr="001F52A8">
        <w:t>nearest s</w:t>
      </w:r>
      <w:r w:rsidR="00787018">
        <w:t>anctuary</w:t>
      </w:r>
      <w:r w:rsidR="00632A4C" w:rsidRPr="001F52A8">
        <w:t xml:space="preserve"> to </w:t>
      </w:r>
      <w:r w:rsidR="004820EB">
        <w:t>Elqanah’s family’s</w:t>
      </w:r>
      <w:r w:rsidR="00D4014F" w:rsidRPr="001F52A8">
        <w:t xml:space="preserve"> home</w:t>
      </w:r>
      <w:r w:rsidR="00564D0F" w:rsidRPr="001F52A8">
        <w:t xml:space="preserve">. </w:t>
      </w:r>
    </w:p>
    <w:p w14:paraId="4CD4BF7D" w14:textId="022402DA" w:rsidR="004868EC" w:rsidRPr="001F52A8" w:rsidRDefault="00077FD6" w:rsidP="004529F8">
      <w:r>
        <w:t>Actually</w:t>
      </w:r>
      <w:r w:rsidR="00B52660" w:rsidRPr="001F52A8">
        <w:t xml:space="preserve">, </w:t>
      </w:r>
      <w:r w:rsidR="00FA6A23" w:rsidRPr="001F52A8">
        <w:t>it’s a palace (</w:t>
      </w:r>
      <w:r w:rsidR="007758E8">
        <w:rPr>
          <w:i/>
          <w:iCs/>
        </w:rPr>
        <w:t>h</w:t>
      </w:r>
      <w:r w:rsidR="007758E8">
        <w:rPr>
          <w:rFonts w:cstheme="minorHAnsi"/>
          <w:i/>
          <w:iCs/>
        </w:rPr>
        <w:t>êkā</w:t>
      </w:r>
      <w:r w:rsidR="007758E8">
        <w:rPr>
          <w:i/>
          <w:iCs/>
        </w:rPr>
        <w:t>l</w:t>
      </w:r>
      <w:r w:rsidR="00A17B87">
        <w:t>,</w:t>
      </w:r>
      <w:r w:rsidR="007758E8">
        <w:t xml:space="preserve"> </w:t>
      </w:r>
      <w:r w:rsidR="00FA6A23" w:rsidRPr="001F52A8">
        <w:t>1:9</w:t>
      </w:r>
      <w:r w:rsidR="002E5FE4" w:rsidRPr="001F52A8">
        <w:t>; cf. Jer 7:4</w:t>
      </w:r>
      <w:r w:rsidR="00FA6A23" w:rsidRPr="001F52A8">
        <w:t xml:space="preserve">). </w:t>
      </w:r>
      <w:r w:rsidR="008C3014">
        <w:t>English translations have</w:t>
      </w:r>
      <w:r w:rsidR="004F2123" w:rsidRPr="001F52A8">
        <w:t xml:space="preserve"> “temple,” but </w:t>
      </w:r>
      <w:r w:rsidR="00FA6A23" w:rsidRPr="001F52A8">
        <w:t>Hebrew has no word for “temp</w:t>
      </w:r>
      <w:r w:rsidR="004F2123" w:rsidRPr="001F52A8">
        <w:t xml:space="preserve">le” in the sense of </w:t>
      </w:r>
      <w:r w:rsidR="00515CD7" w:rsidRPr="001F52A8">
        <w:t xml:space="preserve">a sacred place, and </w:t>
      </w:r>
      <w:r w:rsidR="007758E8">
        <w:t xml:space="preserve">Samuel </w:t>
      </w:r>
      <w:r w:rsidR="00A17B87">
        <w:t xml:space="preserve">uses </w:t>
      </w:r>
      <w:r w:rsidR="007031F5" w:rsidRPr="001F52A8">
        <w:t xml:space="preserve">the </w:t>
      </w:r>
      <w:r w:rsidR="002704F3">
        <w:t>term for</w:t>
      </w:r>
      <w:r w:rsidR="007031F5" w:rsidRPr="001F52A8">
        <w:t xml:space="preserve"> a king’s dwelling, which fits </w:t>
      </w:r>
      <w:r w:rsidR="00D974B3">
        <w:t>Yahweh’s being</w:t>
      </w:r>
      <w:r w:rsidR="007031F5" w:rsidRPr="001F52A8">
        <w:t xml:space="preserve"> the divine king. </w:t>
      </w:r>
      <w:r w:rsidR="002704F3">
        <w:t>It</w:t>
      </w:r>
      <w:r w:rsidR="00292890" w:rsidRPr="001F52A8">
        <w:t xml:space="preserve"> need not imply a</w:t>
      </w:r>
      <w:r w:rsidR="00A51956">
        <w:t xml:space="preserve"> palatial</w:t>
      </w:r>
      <w:r w:rsidR="00292890" w:rsidRPr="001F52A8">
        <w:t xml:space="preserve"> structure, or indeed a structure at all</w:t>
      </w:r>
      <w:r w:rsidR="00530660">
        <w:t xml:space="preserve"> (</w:t>
      </w:r>
      <w:r w:rsidR="00C76773">
        <w:t>the reference to a doorpost might be an</w:t>
      </w:r>
      <w:r w:rsidR="00530660">
        <w:t xml:space="preserve"> </w:t>
      </w:r>
      <w:r w:rsidR="00C76773">
        <w:t>anachro</w:t>
      </w:r>
      <w:r w:rsidR="00530660">
        <w:t>nis</w:t>
      </w:r>
      <w:r w:rsidR="00C76773">
        <w:t>m</w:t>
      </w:r>
      <w:r w:rsidR="00530660">
        <w:t>)</w:t>
      </w:r>
      <w:r w:rsidR="00340C67">
        <w:t xml:space="preserve">. </w:t>
      </w:r>
      <w:r w:rsidR="00B82AAD">
        <w:t>It’</w:t>
      </w:r>
      <w:r w:rsidR="00BD6A3A" w:rsidRPr="001F52A8">
        <w:t>s still a tent</w:t>
      </w:r>
      <w:r w:rsidR="00C64A20" w:rsidRPr="001F52A8">
        <w:t xml:space="preserve"> </w:t>
      </w:r>
      <w:r w:rsidR="008B58B3">
        <w:t>sanctuary</w:t>
      </w:r>
      <w:r w:rsidR="00BD6A3A" w:rsidRPr="001F52A8">
        <w:t xml:space="preserve"> (2:22)</w:t>
      </w:r>
      <w:r w:rsidR="00BB3AC0" w:rsidRPr="001F52A8">
        <w:t xml:space="preserve">, as </w:t>
      </w:r>
      <w:r w:rsidR="00406528" w:rsidRPr="001F52A8">
        <w:t xml:space="preserve">David’s plan to build a “proper” dwelling for Yahweh </w:t>
      </w:r>
      <w:r w:rsidR="00036591">
        <w:t xml:space="preserve">implies </w:t>
      </w:r>
      <w:r w:rsidR="004F49C3" w:rsidRPr="001F52A8">
        <w:t>(2 Sam 7</w:t>
      </w:r>
      <w:r w:rsidR="00AC7672" w:rsidRPr="001F52A8">
        <w:t>:</w:t>
      </w:r>
      <w:r w:rsidR="00BE2401">
        <w:t>1-</w:t>
      </w:r>
      <w:r w:rsidR="00AC7672" w:rsidRPr="001F52A8">
        <w:t>6</w:t>
      </w:r>
      <w:r w:rsidR="004F49C3" w:rsidRPr="001F52A8">
        <w:t>)</w:t>
      </w:r>
      <w:r w:rsidR="00BB3AC0" w:rsidRPr="001F52A8">
        <w:t xml:space="preserve">. </w:t>
      </w:r>
      <w:r w:rsidR="00861740">
        <w:rPr>
          <w:rFonts w:cstheme="minorHAnsi"/>
        </w:rPr>
        <w:t>As</w:t>
      </w:r>
      <w:r w:rsidR="00C947AB" w:rsidRPr="001F52A8">
        <w:rPr>
          <w:rFonts w:cstheme="minorHAnsi"/>
        </w:rPr>
        <w:t xml:space="preserve"> a tent sanctuary </w:t>
      </w:r>
      <w:r w:rsidR="00861740">
        <w:rPr>
          <w:rFonts w:cstheme="minorHAnsi"/>
        </w:rPr>
        <w:t>i</w:t>
      </w:r>
      <w:r w:rsidR="00C947AB" w:rsidRPr="001F52A8">
        <w:rPr>
          <w:rFonts w:cstheme="minorHAnsi"/>
        </w:rPr>
        <w:t xml:space="preserve">t can still be moved around (in Josh 8 it is at Shechem and in Judg 20:26-28 at Bethel). </w:t>
      </w:r>
      <w:r w:rsidR="00DD2D3A" w:rsidRPr="001F52A8">
        <w:t>T</w:t>
      </w:r>
      <w:r w:rsidR="00815F45" w:rsidRPr="001F52A8">
        <w:t>he point is that</w:t>
      </w:r>
      <w:r w:rsidR="00E3710C">
        <w:t xml:space="preserve"> </w:t>
      </w:r>
      <w:r w:rsidR="00564D0F" w:rsidRPr="001F52A8">
        <w:t xml:space="preserve">Yahweh lives </w:t>
      </w:r>
      <w:r w:rsidR="00E3710C">
        <w:t>t</w:t>
      </w:r>
      <w:r w:rsidR="00564D0F" w:rsidRPr="001F52A8">
        <w:t xml:space="preserve">here, and </w:t>
      </w:r>
      <w:r w:rsidR="00241D48">
        <w:t>some</w:t>
      </w:r>
      <w:r w:rsidR="001A4412" w:rsidRPr="001F52A8">
        <w:t>one can go and see him</w:t>
      </w:r>
      <w:r w:rsidR="00E3710C">
        <w:t xml:space="preserve"> there</w:t>
      </w:r>
      <w:r w:rsidR="00DD2D3A" w:rsidRPr="001F52A8">
        <w:t xml:space="preserve">, as they can go and see the human king (e.g., 1 Kgs </w:t>
      </w:r>
      <w:r w:rsidR="002C1B10" w:rsidRPr="001F52A8">
        <w:t>3:16)</w:t>
      </w:r>
      <w:r w:rsidR="001A4412" w:rsidRPr="001F52A8">
        <w:t xml:space="preserve">. </w:t>
      </w:r>
      <w:r w:rsidR="00C12049" w:rsidRPr="001F52A8">
        <w:t>It is a portal</w:t>
      </w:r>
      <w:r w:rsidR="00E163D2">
        <w:t>,</w:t>
      </w:r>
      <w:r w:rsidR="00C12049" w:rsidRPr="001F52A8">
        <w:t xml:space="preserve"> to Yahweh’s heavenly palace (2 Sam 22:7)</w:t>
      </w:r>
      <w:r w:rsidR="00DE2755" w:rsidRPr="001F52A8">
        <w:t xml:space="preserve">. </w:t>
      </w:r>
      <w:r w:rsidR="004868EC" w:rsidRPr="001F52A8">
        <w:t>In principle t</w:t>
      </w:r>
      <w:r w:rsidR="001A4412" w:rsidRPr="001F52A8">
        <w:t>here are no restrictions on access</w:t>
      </w:r>
      <w:r w:rsidR="004868EC" w:rsidRPr="001F52A8">
        <w:t xml:space="preserve">, though Eli’s </w:t>
      </w:r>
      <w:r w:rsidR="005A0A7A" w:rsidRPr="001F52A8">
        <w:t xml:space="preserve">position </w:t>
      </w:r>
      <w:r w:rsidR="004D5C9A" w:rsidRPr="001F52A8">
        <w:t xml:space="preserve">and action </w:t>
      </w:r>
      <w:r w:rsidR="00E2485B">
        <w:t>outside</w:t>
      </w:r>
      <w:r w:rsidR="005A0A7A" w:rsidRPr="001F52A8">
        <w:t xml:space="preserve"> the </w:t>
      </w:r>
      <w:r w:rsidR="004D5C9A" w:rsidRPr="001F52A8">
        <w:t xml:space="preserve">actual </w:t>
      </w:r>
      <w:r w:rsidR="005A0A7A" w:rsidRPr="001F52A8">
        <w:t xml:space="preserve">holy place </w:t>
      </w:r>
      <w:r w:rsidR="00DD1283" w:rsidRPr="001F52A8">
        <w:t xml:space="preserve">hints that its staff </w:t>
      </w:r>
      <w:r w:rsidR="00200126" w:rsidRPr="001F52A8">
        <w:t xml:space="preserve">would have some responsibility </w:t>
      </w:r>
      <w:r w:rsidR="004D5C9A" w:rsidRPr="001F52A8">
        <w:t xml:space="preserve">for </w:t>
      </w:r>
      <w:r w:rsidR="0008497D">
        <w:t>ensuring</w:t>
      </w:r>
      <w:r w:rsidR="004D5C9A" w:rsidRPr="001F52A8">
        <w:t xml:space="preserve"> that </w:t>
      </w:r>
      <w:r w:rsidR="00681656" w:rsidRPr="001F52A8">
        <w:t>no one improper defiled it.</w:t>
      </w:r>
    </w:p>
    <w:p w14:paraId="2A5E374D" w14:textId="3D15FE42" w:rsidR="00BC6695" w:rsidRDefault="007D5EC9" w:rsidP="00070F22">
      <w:r w:rsidRPr="001F52A8">
        <w:t>At the</w:t>
      </w:r>
      <w:r w:rsidR="0008497D">
        <w:t xml:space="preserve"> </w:t>
      </w:r>
      <w:r w:rsidRPr="001F52A8">
        <w:t xml:space="preserve">beginning of </w:t>
      </w:r>
      <w:r w:rsidR="00502AF5" w:rsidRPr="001F52A8">
        <w:t>Samuel</w:t>
      </w:r>
      <w:r w:rsidRPr="001F52A8">
        <w:t xml:space="preserve"> </w:t>
      </w:r>
      <w:r w:rsidR="004D1054" w:rsidRPr="001F52A8">
        <w:t>the name</w:t>
      </w:r>
      <w:r w:rsidRPr="001F52A8">
        <w:t xml:space="preserve"> </w:t>
      </w:r>
      <w:r w:rsidR="00335F80">
        <w:t xml:space="preserve">of the God whom the family </w:t>
      </w:r>
      <w:r w:rsidR="00E41922">
        <w:t>g</w:t>
      </w:r>
      <w:r w:rsidR="00335F80">
        <w:t xml:space="preserve">o to worship </w:t>
      </w:r>
      <w:r w:rsidR="00E41922">
        <w:t xml:space="preserve">at Shiloh </w:t>
      </w:r>
      <w:r w:rsidRPr="001F52A8">
        <w:t>is nuanced as</w:t>
      </w:r>
      <w:r w:rsidR="00161077" w:rsidRPr="001F52A8">
        <w:t xml:space="preserve"> </w:t>
      </w:r>
      <w:r w:rsidR="00AE2E78">
        <w:t>Yahweh Armies or Yahweh of Armies (</w:t>
      </w:r>
      <w:r w:rsidR="00076E0D" w:rsidRPr="001F52A8">
        <w:rPr>
          <w:i/>
          <w:iCs/>
        </w:rPr>
        <w:t xml:space="preserve">yhwh </w:t>
      </w:r>
      <w:r w:rsidR="00076E0D" w:rsidRPr="001F52A8">
        <w:rPr>
          <w:rFonts w:cstheme="minorHAnsi"/>
          <w:i/>
          <w:iCs/>
        </w:rPr>
        <w:t>ṣə</w:t>
      </w:r>
      <w:r w:rsidR="00F32D17" w:rsidRPr="001F52A8">
        <w:rPr>
          <w:rFonts w:cstheme="minorHAnsi"/>
          <w:i/>
          <w:iCs/>
        </w:rPr>
        <w:t>b</w:t>
      </w:r>
      <w:r w:rsidR="00076E0D" w:rsidRPr="001F52A8">
        <w:rPr>
          <w:rFonts w:cstheme="minorHAnsi"/>
          <w:i/>
          <w:iCs/>
        </w:rPr>
        <w:t>āô</w:t>
      </w:r>
      <w:r w:rsidR="00F32D17" w:rsidRPr="001F52A8">
        <w:rPr>
          <w:i/>
          <w:iCs/>
        </w:rPr>
        <w:t>t</w:t>
      </w:r>
      <w:r w:rsidR="00AE2E78">
        <w:t>;</w:t>
      </w:r>
      <w:r w:rsidR="00AE2E78">
        <w:rPr>
          <w:i/>
          <w:iCs/>
        </w:rPr>
        <w:t xml:space="preserve"> </w:t>
      </w:r>
      <w:r w:rsidR="003C32BC">
        <w:t xml:space="preserve">1 Sam </w:t>
      </w:r>
      <w:r w:rsidR="008564AE" w:rsidRPr="001F52A8">
        <w:t>1:3)</w:t>
      </w:r>
      <w:r w:rsidR="0077241C">
        <w:t>.</w:t>
      </w:r>
      <w:r w:rsidR="00542D38" w:rsidRPr="001F52A8">
        <w:t xml:space="preserve"> </w:t>
      </w:r>
      <w:r w:rsidR="008564AE" w:rsidRPr="001F52A8">
        <w:t>Hannah uses this title in addressing God (1:11)</w:t>
      </w:r>
      <w:r w:rsidR="0077241C">
        <w:t xml:space="preserve"> and it recurs later (</w:t>
      </w:r>
      <w:r w:rsidR="0077241C" w:rsidRPr="001F52A8">
        <w:t>4:4; 15:2; 17:45; 2 Sam 5:10; 6:2, 18; 7:8, 26, 27)</w:t>
      </w:r>
      <w:r w:rsidR="00077BF0" w:rsidRPr="001F52A8">
        <w:t>; it</w:t>
      </w:r>
      <w:r w:rsidR="000B0BD6">
        <w:t xml:space="preserve"> is</w:t>
      </w:r>
      <w:r w:rsidR="00077BF0" w:rsidRPr="001F52A8">
        <w:t xml:space="preserve"> prominen</w:t>
      </w:r>
      <w:r w:rsidR="000B0BD6">
        <w:t>t</w:t>
      </w:r>
      <w:r w:rsidR="00077BF0" w:rsidRPr="001F52A8">
        <w:t xml:space="preserve"> in Isaiah, Jeremiah, Haggai, Zechariah, and Malachi. </w:t>
      </w:r>
      <w:r w:rsidR="00070F22">
        <w:t>In this title, t</w:t>
      </w:r>
      <w:r w:rsidR="0007492D" w:rsidRPr="001F52A8">
        <w:t xml:space="preserve">he name Yahweh is followed by the ordinary Hebrew word for armies. </w:t>
      </w:r>
      <w:r w:rsidR="0050697B" w:rsidRPr="001F52A8">
        <w:t>NRS</w:t>
      </w:r>
      <w:r w:rsidR="004B6CB5" w:rsidRPr="001F52A8">
        <w:t xml:space="preserve">V </w:t>
      </w:r>
      <w:r w:rsidR="008C3014">
        <w:t xml:space="preserve">and NJPS </w:t>
      </w:r>
      <w:r w:rsidR="004B6CB5" w:rsidRPr="001F52A8">
        <w:t>ha</w:t>
      </w:r>
      <w:r w:rsidR="008C3014">
        <w:t>ve</w:t>
      </w:r>
      <w:r w:rsidR="004B6CB5" w:rsidRPr="001F52A8">
        <w:t xml:space="preserve"> “LORD of </w:t>
      </w:r>
      <w:r w:rsidR="00140D04" w:rsidRPr="001F52A8">
        <w:t>hosts</w:t>
      </w:r>
      <w:r w:rsidR="00B32801">
        <w:t>,” f</w:t>
      </w:r>
      <w:r w:rsidR="00957720" w:rsidRPr="001F52A8">
        <w:t>ollow</w:t>
      </w:r>
      <w:r w:rsidR="00B32801">
        <w:t>ing</w:t>
      </w:r>
      <w:r w:rsidR="00957720" w:rsidRPr="001F52A8">
        <w:t xml:space="preserve"> </w:t>
      </w:r>
      <w:r w:rsidR="000B13FC" w:rsidRPr="001F52A8">
        <w:t>t</w:t>
      </w:r>
      <w:r w:rsidR="006F7B73" w:rsidRPr="001F52A8">
        <w:t xml:space="preserve">he Vulgate </w:t>
      </w:r>
      <w:r w:rsidR="000B13FC" w:rsidRPr="001F52A8">
        <w:t>in taking</w:t>
      </w:r>
      <w:r w:rsidR="006F7B73" w:rsidRPr="001F52A8">
        <w:t xml:space="preserve"> </w:t>
      </w:r>
      <w:r w:rsidR="006433BB" w:rsidRPr="001F52A8">
        <w:t xml:space="preserve">the </w:t>
      </w:r>
      <w:r w:rsidR="000B13FC" w:rsidRPr="001F52A8">
        <w:t>title</w:t>
      </w:r>
      <w:r w:rsidR="006F7B73" w:rsidRPr="001F52A8">
        <w:t xml:space="preserve"> as a construct (genitive) expression</w:t>
      </w:r>
      <w:r w:rsidR="00D847D7" w:rsidRPr="001F52A8">
        <w:t xml:space="preserve"> which would mean</w:t>
      </w:r>
      <w:r w:rsidR="006433BB" w:rsidRPr="001F52A8">
        <w:t xml:space="preserve"> </w:t>
      </w:r>
      <w:r w:rsidR="00D26983" w:rsidRPr="001F52A8">
        <w:t xml:space="preserve">more literally </w:t>
      </w:r>
      <w:r w:rsidR="006433BB" w:rsidRPr="001F52A8">
        <w:t>“Yahweh of Armies</w:t>
      </w:r>
      <w:r w:rsidR="00875EBC">
        <w:t>.</w:t>
      </w:r>
      <w:r w:rsidR="00D847D7" w:rsidRPr="001F52A8">
        <w:t xml:space="preserve">” </w:t>
      </w:r>
      <w:r w:rsidR="00875EBC">
        <w:t>T</w:t>
      </w:r>
      <w:r w:rsidR="006F7B73" w:rsidRPr="001F52A8">
        <w:t xml:space="preserve">he Septuagint </w:t>
      </w:r>
      <w:r w:rsidR="00AC1C55" w:rsidRPr="001F52A8">
        <w:t xml:space="preserve">takes it the same way </w:t>
      </w:r>
      <w:r w:rsidR="006F7B73" w:rsidRPr="001F52A8">
        <w:t>in 2 Sam 6:2, 18</w:t>
      </w:r>
      <w:r w:rsidR="00822F87" w:rsidRPr="001F52A8">
        <w:t xml:space="preserve">. </w:t>
      </w:r>
      <w:r w:rsidR="00D26983" w:rsidRPr="001F52A8">
        <w:t>Bu</w:t>
      </w:r>
      <w:r w:rsidR="009F31EB" w:rsidRPr="001F52A8">
        <w:t>t</w:t>
      </w:r>
      <w:r w:rsidR="00D26983" w:rsidRPr="001F52A8">
        <w:t xml:space="preserve"> </w:t>
      </w:r>
      <w:r w:rsidR="00875EBC">
        <w:t>a</w:t>
      </w:r>
      <w:r w:rsidR="00D26983" w:rsidRPr="001F52A8">
        <w:t xml:space="preserve"> </w:t>
      </w:r>
      <w:r w:rsidR="009F31EB" w:rsidRPr="001F52A8">
        <w:t>rendering</w:t>
      </w:r>
      <w:r w:rsidR="00830BC9" w:rsidRPr="001F52A8">
        <w:t xml:space="preserve"> </w:t>
      </w:r>
      <w:r w:rsidR="00875EBC">
        <w:t xml:space="preserve">such as </w:t>
      </w:r>
      <w:r w:rsidR="00830BC9" w:rsidRPr="001F52A8">
        <w:t xml:space="preserve">“Lord of </w:t>
      </w:r>
      <w:r w:rsidR="004C328D" w:rsidRPr="001F52A8">
        <w:t>armies</w:t>
      </w:r>
      <w:r w:rsidR="009F31EB" w:rsidRPr="001F52A8">
        <w:t>”</w:t>
      </w:r>
      <w:r w:rsidR="00A876CC" w:rsidRPr="001F52A8">
        <w:t xml:space="preserve"> </w:t>
      </w:r>
      <w:r w:rsidR="009F31EB" w:rsidRPr="001F52A8">
        <w:t xml:space="preserve">masks </w:t>
      </w:r>
      <w:r w:rsidR="00A876CC" w:rsidRPr="001F52A8">
        <w:t xml:space="preserve">the </w:t>
      </w:r>
      <w:r w:rsidR="00DF2F54" w:rsidRPr="001F52A8">
        <w:t>oddness of the Hebrew expressio</w:t>
      </w:r>
      <w:r w:rsidR="00AC3151" w:rsidRPr="001F52A8">
        <w:t>n.</w:t>
      </w:r>
      <w:r w:rsidR="00DF2F54" w:rsidRPr="001F52A8">
        <w:t xml:space="preserve"> </w:t>
      </w:r>
      <w:r w:rsidR="004149E4">
        <w:t>“Lord” replaces the name Yahweh, and p</w:t>
      </w:r>
      <w:r w:rsidR="006F7B73" w:rsidRPr="001F52A8">
        <w:t>roper nouns such as Yahweh cannot generally be used thus in construct expressions</w:t>
      </w:r>
      <w:r w:rsidR="002D0FF4" w:rsidRPr="001F52A8">
        <w:t xml:space="preserve">. </w:t>
      </w:r>
      <w:r w:rsidR="00966AC1" w:rsidRPr="001F52A8">
        <w:t>“Yahweh Armies</w:t>
      </w:r>
      <w:r w:rsidR="00CB3A1A" w:rsidRPr="001F52A8">
        <w:t>”</w:t>
      </w:r>
      <w:r w:rsidR="00686B2C" w:rsidRPr="001F52A8">
        <w:t xml:space="preserve"> </w:t>
      </w:r>
      <w:r w:rsidR="005B5DAB" w:rsidRPr="001F52A8">
        <w:t>would</w:t>
      </w:r>
      <w:r w:rsidR="005B4AE8" w:rsidRPr="001F52A8">
        <w:t xml:space="preserve"> therefore </w:t>
      </w:r>
      <w:r w:rsidR="00F706EE">
        <w:t xml:space="preserve">be </w:t>
      </w:r>
      <w:r w:rsidR="005B4AE8" w:rsidRPr="001F52A8">
        <w:t>a</w:t>
      </w:r>
      <w:r w:rsidR="00E377D6" w:rsidRPr="001F52A8">
        <w:t xml:space="preserve"> more </w:t>
      </w:r>
      <w:r w:rsidR="001E0518" w:rsidRPr="001F52A8">
        <w:t>plausible</w:t>
      </w:r>
      <w:r w:rsidR="005B4AE8" w:rsidRPr="001F52A8">
        <w:t xml:space="preserve"> understanding</w:t>
      </w:r>
      <w:r w:rsidR="00C06E44" w:rsidRPr="001F52A8">
        <w:t xml:space="preserve"> of the phrase</w:t>
      </w:r>
      <w:r w:rsidR="00966AC1" w:rsidRPr="001F52A8">
        <w:t>.</w:t>
      </w:r>
      <w:r w:rsidR="00914A80" w:rsidRPr="001F52A8">
        <w:t xml:space="preserve"> </w:t>
      </w:r>
      <w:r w:rsidR="003905AC" w:rsidRPr="001F52A8">
        <w:t>NIV</w:t>
      </w:r>
      <w:r w:rsidR="00607E62">
        <w:t>’</w:t>
      </w:r>
      <w:r w:rsidR="003905AC" w:rsidRPr="001F52A8">
        <w:t>s “LORD Almighty</w:t>
      </w:r>
      <w:r w:rsidR="003905AC">
        <w:t>”</w:t>
      </w:r>
      <w:r w:rsidR="003905AC" w:rsidRPr="001F52A8">
        <w:t xml:space="preserve"> </w:t>
      </w:r>
      <w:r w:rsidR="00E21017" w:rsidRPr="001F52A8">
        <w:t>follow</w:t>
      </w:r>
      <w:r w:rsidR="00607E62">
        <w:t>s</w:t>
      </w:r>
      <w:r w:rsidR="003905AC">
        <w:t xml:space="preserve"> </w:t>
      </w:r>
      <w:r w:rsidR="00E21017" w:rsidRPr="001F52A8">
        <w:t xml:space="preserve">the </w:t>
      </w:r>
      <w:r w:rsidR="002947C3" w:rsidRPr="001F52A8">
        <w:t>Septuagint</w:t>
      </w:r>
      <w:r w:rsidR="002947C3">
        <w:t xml:space="preserve">’s </w:t>
      </w:r>
      <w:r w:rsidR="00E21017" w:rsidRPr="001F52A8">
        <w:t xml:space="preserve">translation </w:t>
      </w:r>
      <w:r w:rsidR="00DD4BDF">
        <w:t xml:space="preserve">in </w:t>
      </w:r>
      <w:r w:rsidR="006546BF" w:rsidRPr="001F52A8">
        <w:t>2 Sam</w:t>
      </w:r>
      <w:r w:rsidR="00DD4BDF">
        <w:t xml:space="preserve"> </w:t>
      </w:r>
      <w:r w:rsidR="00E21017" w:rsidRPr="001F52A8">
        <w:t>5:10; 7:8, 26, 27</w:t>
      </w:r>
      <w:r w:rsidR="007620C9" w:rsidRPr="001F52A8">
        <w:t xml:space="preserve">, </w:t>
      </w:r>
      <w:r w:rsidR="00B767A6" w:rsidRPr="001F52A8">
        <w:t>tak</w:t>
      </w:r>
      <w:r w:rsidR="00607E62">
        <w:t>ing</w:t>
      </w:r>
      <w:r w:rsidR="00B767A6" w:rsidRPr="001F52A8">
        <w:t xml:space="preserve"> the noun as an abstract plural</w:t>
      </w:r>
      <w:r w:rsidR="00C565E7" w:rsidRPr="001F52A8">
        <w:t>.</w:t>
      </w:r>
      <w:r w:rsidR="00B767A6" w:rsidRPr="001F52A8">
        <w:t xml:space="preserve"> </w:t>
      </w:r>
      <w:r w:rsidR="00401BED" w:rsidRPr="001F52A8">
        <w:t xml:space="preserve">Elsewhere </w:t>
      </w:r>
      <w:r w:rsidR="009A2574" w:rsidRPr="001F52A8">
        <w:t>In 1 Samuel</w:t>
      </w:r>
      <w:r w:rsidR="00401BED" w:rsidRPr="001F52A8">
        <w:t>,</w:t>
      </w:r>
      <w:r w:rsidR="009A2574" w:rsidRPr="001F52A8">
        <w:t xml:space="preserve"> t</w:t>
      </w:r>
      <w:r w:rsidR="00B84C0D" w:rsidRPr="001F52A8">
        <w:t xml:space="preserve">he Septuagint </w:t>
      </w:r>
      <w:r w:rsidR="00401BED" w:rsidRPr="001F52A8">
        <w:t xml:space="preserve">throws up its hands and simply </w:t>
      </w:r>
      <w:r w:rsidR="00B84C0D" w:rsidRPr="001F52A8">
        <w:t>transl</w:t>
      </w:r>
      <w:r w:rsidR="00EE2BD1" w:rsidRPr="001F52A8">
        <w:t>iterates the word for “</w:t>
      </w:r>
      <w:r w:rsidR="000A16A8" w:rsidRPr="001F52A8">
        <w:t>A</w:t>
      </w:r>
      <w:r w:rsidR="00EE2BD1" w:rsidRPr="001F52A8">
        <w:t xml:space="preserve">rmies” </w:t>
      </w:r>
      <w:r w:rsidR="00F82834" w:rsidRPr="001F52A8">
        <w:t>as Saba</w:t>
      </w:r>
      <w:r w:rsidR="00F82834" w:rsidRPr="001F52A8">
        <w:rPr>
          <w:rFonts w:cstheme="minorHAnsi"/>
        </w:rPr>
        <w:t>ō</w:t>
      </w:r>
      <w:r w:rsidR="00F82834" w:rsidRPr="001F52A8">
        <w:t>th</w:t>
      </w:r>
      <w:r w:rsidR="006907C4" w:rsidRPr="001F52A8">
        <w:t>.</w:t>
      </w:r>
      <w:r w:rsidR="00966AC1" w:rsidRPr="001F52A8">
        <w:t xml:space="preserve"> </w:t>
      </w:r>
    </w:p>
    <w:p w14:paraId="47F59DF0" w14:textId="5BC2826A" w:rsidR="009C30DF" w:rsidRPr="001F52A8" w:rsidRDefault="003209D2" w:rsidP="00875504">
      <w:r>
        <w:t>T</w:t>
      </w:r>
      <w:r w:rsidR="00966AC1" w:rsidRPr="001F52A8">
        <w:t xml:space="preserve">he title </w:t>
      </w:r>
      <w:r w:rsidR="00CF56B2" w:rsidRPr="001F52A8">
        <w:t xml:space="preserve">does </w:t>
      </w:r>
      <w:r w:rsidR="00D6418D">
        <w:t>imply</w:t>
      </w:r>
      <w:r w:rsidR="00D337F5" w:rsidRPr="001F52A8">
        <w:t xml:space="preserve"> that</w:t>
      </w:r>
      <w:r w:rsidR="00966AC1" w:rsidRPr="001F52A8">
        <w:t xml:space="preserve"> Yahweh </w:t>
      </w:r>
      <w:r w:rsidR="00706F88" w:rsidRPr="001F52A8">
        <w:t>i</w:t>
      </w:r>
      <w:r w:rsidR="00966AC1" w:rsidRPr="001F52A8">
        <w:t>s one who controls all combative power in the heavens and</w:t>
      </w:r>
      <w:r w:rsidR="00195AAB" w:rsidRPr="001F52A8">
        <w:t>/or</w:t>
      </w:r>
      <w:r w:rsidR="00966AC1" w:rsidRPr="001F52A8">
        <w:t xml:space="preserve"> on the eart</w:t>
      </w:r>
      <w:r w:rsidR="007F54A6" w:rsidRPr="001F52A8">
        <w:t>h</w:t>
      </w:r>
      <w:r w:rsidR="008B4862" w:rsidRPr="001F52A8">
        <w:t>; h</w:t>
      </w:r>
      <w:r w:rsidR="0018570B" w:rsidRPr="001F52A8">
        <w:t xml:space="preserve">e is indeed a king. </w:t>
      </w:r>
      <w:r w:rsidR="007F54A6" w:rsidRPr="001F52A8">
        <w:t>He has the power to attack</w:t>
      </w:r>
      <w:r w:rsidR="00A8450A">
        <w:t xml:space="preserve"> anyone</w:t>
      </w:r>
      <w:r w:rsidR="007F54A6" w:rsidRPr="001F52A8">
        <w:t xml:space="preserve"> or defend </w:t>
      </w:r>
      <w:r w:rsidR="00A31C7D" w:rsidRPr="001F52A8">
        <w:t>his people.</w:t>
      </w:r>
      <w:r w:rsidR="007F54A6" w:rsidRPr="001F52A8">
        <w:t xml:space="preserve"> </w:t>
      </w:r>
      <w:r w:rsidR="00941418">
        <w:t xml:space="preserve">The </w:t>
      </w:r>
      <w:r w:rsidR="00247AB8">
        <w:t xml:space="preserve">use of the </w:t>
      </w:r>
      <w:r w:rsidR="00941418">
        <w:t xml:space="preserve">title </w:t>
      </w:r>
      <w:r w:rsidR="00060CEB">
        <w:t xml:space="preserve">suggests </w:t>
      </w:r>
      <w:r w:rsidR="00966AC1" w:rsidRPr="001F52A8">
        <w:t xml:space="preserve">the theology associated with </w:t>
      </w:r>
      <w:r w:rsidR="00247AB8">
        <w:t>hi</w:t>
      </w:r>
      <w:r w:rsidR="00966AC1" w:rsidRPr="001F52A8">
        <w:t>s presence at Shiloh</w:t>
      </w:r>
      <w:r w:rsidR="00060CEB">
        <w:t xml:space="preserve">. He </w:t>
      </w:r>
      <w:r w:rsidR="006E171E">
        <w:t>sits</w:t>
      </w:r>
      <w:r w:rsidR="00C44079" w:rsidRPr="001F52A8">
        <w:t xml:space="preserve"> </w:t>
      </w:r>
      <w:r w:rsidR="00471998" w:rsidRPr="001F52A8">
        <w:t xml:space="preserve">(by implication, enthroned) </w:t>
      </w:r>
      <w:r w:rsidR="00966AC1" w:rsidRPr="001F52A8">
        <w:t>over the covenant chest (4:3</w:t>
      </w:r>
      <w:r w:rsidR="00DB7B03" w:rsidRPr="001F52A8">
        <w:t>-</w:t>
      </w:r>
      <w:r w:rsidR="00966AC1" w:rsidRPr="001F52A8">
        <w:t>4)</w:t>
      </w:r>
      <w:r w:rsidR="002C4D33" w:rsidRPr="001F52A8">
        <w:t xml:space="preserve">, which is more </w:t>
      </w:r>
      <w:r w:rsidR="00F607F6" w:rsidRPr="001F52A8">
        <w:t>l</w:t>
      </w:r>
      <w:r w:rsidR="002C4D33" w:rsidRPr="001F52A8">
        <w:t>ik</w:t>
      </w:r>
      <w:r w:rsidR="00F607F6" w:rsidRPr="001F52A8">
        <w:t>e</w:t>
      </w:r>
      <w:r w:rsidR="002C4D33" w:rsidRPr="001F52A8">
        <w:t>ly his footstool than his thr</w:t>
      </w:r>
      <w:r w:rsidR="00F607F6" w:rsidRPr="001F52A8">
        <w:t>o</w:t>
      </w:r>
      <w:r w:rsidR="002C4D33" w:rsidRPr="001F52A8">
        <w:t>ne</w:t>
      </w:r>
      <w:r w:rsidR="00966AC1" w:rsidRPr="001F52A8">
        <w:t>.</w:t>
      </w:r>
      <w:r w:rsidR="000A32B5" w:rsidRPr="001F52A8">
        <w:t xml:space="preserve"> </w:t>
      </w:r>
      <w:r w:rsidR="00A94D46">
        <w:t>T</w:t>
      </w:r>
      <w:r w:rsidR="008B7E3A" w:rsidRPr="001F52A8">
        <w:t xml:space="preserve">he </w:t>
      </w:r>
      <w:r w:rsidR="007A7CA2">
        <w:t>title</w:t>
      </w:r>
      <w:r w:rsidR="008B7E3A" w:rsidRPr="001F52A8">
        <w:t xml:space="preserve"> has not appeared earlier in the </w:t>
      </w:r>
      <w:r w:rsidR="005B2D7E">
        <w:t xml:space="preserve">First Testament </w:t>
      </w:r>
      <w:r w:rsidR="008B7E3A" w:rsidRPr="001F52A8">
        <w:t>narrative</w:t>
      </w:r>
      <w:r w:rsidR="005B2D7E">
        <w:t>,</w:t>
      </w:r>
      <w:r w:rsidR="008B7E3A" w:rsidRPr="001F52A8">
        <w:t xml:space="preserve"> </w:t>
      </w:r>
      <w:r w:rsidR="00A94D46">
        <w:t xml:space="preserve">which suggests that </w:t>
      </w:r>
      <w:r w:rsidR="008B7E3A" w:rsidRPr="001F52A8">
        <w:t xml:space="preserve">its </w:t>
      </w:r>
      <w:r w:rsidR="000D27CA">
        <w:t xml:space="preserve">distinctive </w:t>
      </w:r>
      <w:r w:rsidR="008B7E3A" w:rsidRPr="001F52A8">
        <w:t>background lies in Shiloh</w:t>
      </w:r>
      <w:r w:rsidR="0017792E">
        <w:t xml:space="preserve">. </w:t>
      </w:r>
      <w:r w:rsidR="004D15AC">
        <w:t>Shiloh</w:t>
      </w:r>
      <w:r w:rsidR="0017792E">
        <w:t xml:space="preserve"> </w:t>
      </w:r>
      <w:r w:rsidR="004D15AC">
        <w:t>had</w:t>
      </w:r>
      <w:r w:rsidR="008B7E3A" w:rsidRPr="001F52A8">
        <w:t xml:space="preserve"> a s</w:t>
      </w:r>
      <w:r w:rsidR="00787018">
        <w:t>anctuary</w:t>
      </w:r>
      <w:r w:rsidR="008B7E3A" w:rsidRPr="001F52A8">
        <w:t xml:space="preserve"> before the Israelites arrived</w:t>
      </w:r>
      <w:r w:rsidR="00CD3262">
        <w:t>, and the title will</w:t>
      </w:r>
      <w:r w:rsidR="00CA2BB7">
        <w:t xml:space="preserve"> reflect</w:t>
      </w:r>
      <w:r w:rsidR="00183C01" w:rsidRPr="001F52A8">
        <w:t xml:space="preserve"> the</w:t>
      </w:r>
      <w:r w:rsidR="00334E10">
        <w:t xml:space="preserve"> theology of the</w:t>
      </w:r>
      <w:r w:rsidR="00183C01" w:rsidRPr="001F52A8">
        <w:t xml:space="preserve"> </w:t>
      </w:r>
      <w:r w:rsidR="003137E6" w:rsidRPr="001F52A8">
        <w:t xml:space="preserve">people </w:t>
      </w:r>
      <w:r w:rsidR="00334E10">
        <w:t>who already</w:t>
      </w:r>
      <w:r w:rsidR="00AD03DF" w:rsidRPr="001F52A8">
        <w:t xml:space="preserve"> worshipped there</w:t>
      </w:r>
      <w:r w:rsidR="00C044F7" w:rsidRPr="001F52A8">
        <w:t xml:space="preserve">. </w:t>
      </w:r>
      <w:r w:rsidR="00A41B12" w:rsidRPr="001F52A8">
        <w:t>The Israelites’ adoption of this designation compare</w:t>
      </w:r>
      <w:r w:rsidR="00687AF4" w:rsidRPr="001F52A8">
        <w:t>s</w:t>
      </w:r>
      <w:r w:rsidR="00A41B12" w:rsidRPr="001F52A8">
        <w:t xml:space="preserve"> with the</w:t>
      </w:r>
      <w:r w:rsidR="00FF489C" w:rsidRPr="001F52A8">
        <w:t>ir</w:t>
      </w:r>
      <w:r w:rsidR="00A41B12" w:rsidRPr="001F52A8">
        <w:t xml:space="preserve"> adoption of </w:t>
      </w:r>
      <w:r w:rsidR="00FF489C" w:rsidRPr="001F52A8">
        <w:t>‘Elyon</w:t>
      </w:r>
      <w:r w:rsidR="00CF6BD1">
        <w:t>, “</w:t>
      </w:r>
      <w:r w:rsidR="000E482D">
        <w:t>One</w:t>
      </w:r>
      <w:r w:rsidR="00CF6BD1">
        <w:t xml:space="preserve"> On High,” who</w:t>
      </w:r>
      <w:r w:rsidR="007C272C">
        <w:t>m Melchizedek</w:t>
      </w:r>
      <w:r w:rsidR="00CF6BD1">
        <w:t xml:space="preserve"> worshipped </w:t>
      </w:r>
      <w:r w:rsidR="00F32D3F">
        <w:t>(Gen 14:18)</w:t>
      </w:r>
      <w:r w:rsidR="00B07456" w:rsidRPr="001F52A8">
        <w:t xml:space="preserve">. </w:t>
      </w:r>
      <w:r w:rsidR="007F2F61">
        <w:t>The title’s</w:t>
      </w:r>
      <w:r w:rsidR="00A93839" w:rsidRPr="001F52A8">
        <w:t xml:space="preserve"> thrust</w:t>
      </w:r>
      <w:r w:rsidR="00F12052" w:rsidRPr="001F52A8">
        <w:t xml:space="preserve"> </w:t>
      </w:r>
      <w:r w:rsidR="00C672B2">
        <w:t>presuppose</w:t>
      </w:r>
      <w:r w:rsidR="004A5857" w:rsidRPr="001F52A8">
        <w:t>s th</w:t>
      </w:r>
      <w:r w:rsidR="00C672B2">
        <w:t>at</w:t>
      </w:r>
      <w:r w:rsidR="00A93839" w:rsidRPr="001F52A8">
        <w:t xml:space="preserve"> “it is Yahweh who is the </w:t>
      </w:r>
      <w:r w:rsidR="005F61AD" w:rsidRPr="001F52A8">
        <w:t xml:space="preserve">(real) </w:t>
      </w:r>
      <w:r w:rsidR="001347AB" w:rsidRPr="001F52A8">
        <w:t>Almighty/</w:t>
      </w:r>
      <w:r w:rsidR="005F61AD" w:rsidRPr="001F52A8">
        <w:t>Lord of Armies</w:t>
      </w:r>
      <w:r w:rsidR="007409E6" w:rsidRPr="001F52A8">
        <w:t xml:space="preserve">,” </w:t>
      </w:r>
      <w:r w:rsidR="00044567" w:rsidRPr="001F52A8">
        <w:t xml:space="preserve">as </w:t>
      </w:r>
      <w:r w:rsidR="00097D4B" w:rsidRPr="001F52A8">
        <w:t>the</w:t>
      </w:r>
      <w:r w:rsidR="00044567" w:rsidRPr="001F52A8">
        <w:t xml:space="preserve"> combined title </w:t>
      </w:r>
      <w:r w:rsidR="007C6A75" w:rsidRPr="001F52A8">
        <w:rPr>
          <w:i/>
          <w:iCs/>
        </w:rPr>
        <w:t>y</w:t>
      </w:r>
      <w:r w:rsidR="00097D4B" w:rsidRPr="001F52A8">
        <w:rPr>
          <w:i/>
          <w:iCs/>
        </w:rPr>
        <w:t>hwh</w:t>
      </w:r>
      <w:r w:rsidR="00097D4B" w:rsidRPr="001F52A8">
        <w:t xml:space="preserve"> </w:t>
      </w:r>
      <w:r w:rsidR="00341618" w:rsidRPr="001F52A8">
        <w:rPr>
          <w:i/>
          <w:iCs/>
        </w:rPr>
        <w:t>‘el</w:t>
      </w:r>
      <w:r w:rsidR="007C6A75" w:rsidRPr="001F52A8">
        <w:rPr>
          <w:i/>
          <w:iCs/>
        </w:rPr>
        <w:t>y</w:t>
      </w:r>
      <w:r w:rsidR="007C6A75" w:rsidRPr="001F52A8">
        <w:rPr>
          <w:rFonts w:cstheme="minorHAnsi"/>
          <w:i/>
          <w:iCs/>
        </w:rPr>
        <w:t>ô</w:t>
      </w:r>
      <w:r w:rsidR="007C6A75" w:rsidRPr="001F52A8">
        <w:rPr>
          <w:i/>
          <w:iCs/>
        </w:rPr>
        <w:t xml:space="preserve">n </w:t>
      </w:r>
      <w:r w:rsidR="007C6A75" w:rsidRPr="001F52A8">
        <w:t xml:space="preserve">(e.g., Ps 47:2 [3]) </w:t>
      </w:r>
      <w:r w:rsidR="00044567" w:rsidRPr="001F52A8">
        <w:t>assert</w:t>
      </w:r>
      <w:r w:rsidR="00F12052" w:rsidRPr="001F52A8">
        <w:t>s</w:t>
      </w:r>
      <w:r w:rsidR="00044567" w:rsidRPr="001F52A8">
        <w:t xml:space="preserve"> that “Yahweh is the </w:t>
      </w:r>
      <w:r w:rsidR="008820B1">
        <w:t>(</w:t>
      </w:r>
      <w:r w:rsidR="00044567" w:rsidRPr="001F52A8">
        <w:t>real</w:t>
      </w:r>
      <w:r w:rsidR="008820B1">
        <w:t>)</w:t>
      </w:r>
      <w:r w:rsidR="00044567" w:rsidRPr="001F52A8">
        <w:t xml:space="preserve"> One On High.”</w:t>
      </w:r>
      <w:r w:rsidR="004873CF" w:rsidRPr="001F52A8">
        <w:t xml:space="preserve"> </w:t>
      </w:r>
      <w:r w:rsidR="00E12F17" w:rsidRPr="001F52A8">
        <w:t>T</w:t>
      </w:r>
      <w:r w:rsidR="00232C11" w:rsidRPr="001F52A8">
        <w:t xml:space="preserve">he </w:t>
      </w:r>
      <w:r w:rsidR="008820B1">
        <w:t>designation</w:t>
      </w:r>
      <w:r w:rsidR="00232C11" w:rsidRPr="001F52A8">
        <w:t xml:space="preserve"> </w:t>
      </w:r>
      <w:r w:rsidR="00E12F17" w:rsidRPr="001F52A8">
        <w:t xml:space="preserve">also </w:t>
      </w:r>
      <w:r w:rsidR="00232C11" w:rsidRPr="001F52A8">
        <w:t xml:space="preserve">compares with </w:t>
      </w:r>
      <w:r w:rsidR="001420E0" w:rsidRPr="001F52A8">
        <w:t xml:space="preserve">the </w:t>
      </w:r>
      <w:r w:rsidR="00A85DD4">
        <w:t>designation</w:t>
      </w:r>
      <w:r w:rsidR="001420E0" w:rsidRPr="001F52A8">
        <w:t xml:space="preserve"> </w:t>
      </w:r>
      <w:r w:rsidR="00257AFF" w:rsidRPr="001F52A8">
        <w:rPr>
          <w:rFonts w:cstheme="minorHAnsi"/>
          <w:i/>
          <w:iCs/>
        </w:rPr>
        <w:t>š</w:t>
      </w:r>
      <w:r w:rsidR="005611A7" w:rsidRPr="001F52A8">
        <w:rPr>
          <w:rFonts w:cstheme="minorHAnsi"/>
          <w:i/>
          <w:iCs/>
        </w:rPr>
        <w:t>adday</w:t>
      </w:r>
      <w:r w:rsidR="00A85DD4">
        <w:t>, which</w:t>
      </w:r>
      <w:r w:rsidR="008B1277" w:rsidRPr="001F52A8">
        <w:t xml:space="preserve"> also makes the Septuagint throw up its hands</w:t>
      </w:r>
      <w:r w:rsidR="00DF0BE3" w:rsidRPr="001F52A8">
        <w:t xml:space="preserve"> and</w:t>
      </w:r>
      <w:r w:rsidR="00D438D2" w:rsidRPr="001F52A8">
        <w:t xml:space="preserve"> not translate it</w:t>
      </w:r>
      <w:r w:rsidR="00A85DD4">
        <w:t xml:space="preserve"> in Genesis</w:t>
      </w:r>
      <w:r w:rsidR="006B03DD">
        <w:t>. But</w:t>
      </w:r>
      <w:r w:rsidR="00D438D2" w:rsidRPr="001F52A8">
        <w:t xml:space="preserve"> elsewhere it </w:t>
      </w:r>
      <w:r w:rsidR="00DC6539" w:rsidRPr="001F52A8">
        <w:t xml:space="preserve">often </w:t>
      </w:r>
      <w:r w:rsidR="002A4DB6" w:rsidRPr="001F52A8">
        <w:t xml:space="preserve">has </w:t>
      </w:r>
      <w:r w:rsidR="00DC6539" w:rsidRPr="001F52A8">
        <w:t>“</w:t>
      </w:r>
      <w:r w:rsidR="002A4DB6" w:rsidRPr="001F52A8">
        <w:t>Almight</w:t>
      </w:r>
      <w:r w:rsidR="00A010A0" w:rsidRPr="001F52A8">
        <w:t>y</w:t>
      </w:r>
      <w:r w:rsidR="002A4DB6" w:rsidRPr="001F52A8">
        <w:t>,</w:t>
      </w:r>
      <w:r w:rsidR="00DC6539" w:rsidRPr="001F52A8">
        <w:t>”</w:t>
      </w:r>
      <w:r w:rsidR="002A4DB6" w:rsidRPr="001F52A8">
        <w:t xml:space="preserve"> the word it </w:t>
      </w:r>
      <w:r w:rsidR="006B03DD">
        <w:t xml:space="preserve">also </w:t>
      </w:r>
      <w:r w:rsidR="00D438D2" w:rsidRPr="001F52A8">
        <w:t>uses</w:t>
      </w:r>
      <w:r w:rsidR="002A4DB6" w:rsidRPr="001F52A8">
        <w:t xml:space="preserve"> for </w:t>
      </w:r>
      <w:r w:rsidR="00A010A0" w:rsidRPr="001F52A8">
        <w:rPr>
          <w:rFonts w:cstheme="minorHAnsi"/>
          <w:i/>
          <w:iCs/>
        </w:rPr>
        <w:t>ṣəbāô</w:t>
      </w:r>
      <w:r w:rsidR="00A010A0" w:rsidRPr="001F52A8">
        <w:rPr>
          <w:i/>
          <w:iCs/>
        </w:rPr>
        <w:t>t</w:t>
      </w:r>
      <w:r w:rsidR="00A010A0" w:rsidRPr="001F52A8">
        <w:t>.</w:t>
      </w:r>
      <w:r w:rsidR="00680D66" w:rsidRPr="001F52A8">
        <w:t xml:space="preserve"> The</w:t>
      </w:r>
      <w:r w:rsidR="00357A68">
        <w:t xml:space="preserve"> First Testament</w:t>
      </w:r>
      <w:r w:rsidR="00680D66" w:rsidRPr="001F52A8">
        <w:t xml:space="preserve"> use of </w:t>
      </w:r>
      <w:r w:rsidR="00D86C39" w:rsidRPr="001F52A8">
        <w:rPr>
          <w:rFonts w:cstheme="minorHAnsi"/>
          <w:i/>
          <w:iCs/>
        </w:rPr>
        <w:t>šadday</w:t>
      </w:r>
      <w:r w:rsidR="000A4943" w:rsidRPr="001F52A8">
        <w:t xml:space="preserve"> (almost exclusively in Genesis and Job)</w:t>
      </w:r>
      <w:r w:rsidR="00A010A0" w:rsidRPr="001F52A8">
        <w:t xml:space="preserve"> </w:t>
      </w:r>
      <w:r w:rsidR="00DF0BE3" w:rsidRPr="001F52A8">
        <w:t xml:space="preserve">implies </w:t>
      </w:r>
      <w:r w:rsidR="006B7B13" w:rsidRPr="001F52A8">
        <w:t>that it</w:t>
      </w:r>
      <w:r w:rsidR="009C4BE7">
        <w:t>, too,</w:t>
      </w:r>
      <w:r w:rsidR="006B7B13" w:rsidRPr="001F52A8">
        <w:t xml:space="preserve"> </w:t>
      </w:r>
      <w:r w:rsidR="009D0A0B">
        <w:t>i</w:t>
      </w:r>
      <w:r w:rsidR="006B7B13" w:rsidRPr="001F52A8">
        <w:t xml:space="preserve">s not an originally Israelite </w:t>
      </w:r>
      <w:r w:rsidR="009D0A0B">
        <w:t>designation</w:t>
      </w:r>
      <w:r w:rsidR="000F4103" w:rsidRPr="001F52A8">
        <w:t xml:space="preserve"> and </w:t>
      </w:r>
      <w:r w:rsidR="00796B7D" w:rsidRPr="001F52A8">
        <w:t xml:space="preserve">that it is simply a name </w:t>
      </w:r>
      <w:r w:rsidR="00430E01" w:rsidRPr="001F52A8">
        <w:t xml:space="preserve">of whose meaning Israelites </w:t>
      </w:r>
      <w:r w:rsidR="00587C71">
        <w:t>might</w:t>
      </w:r>
      <w:r w:rsidR="00430E01" w:rsidRPr="001F52A8">
        <w:t xml:space="preserve"> not </w:t>
      </w:r>
      <w:r w:rsidR="00E3119F" w:rsidRPr="001F52A8">
        <w:t>b</w:t>
      </w:r>
      <w:r w:rsidR="00430E01" w:rsidRPr="001F52A8">
        <w:t xml:space="preserve">e conscious. </w:t>
      </w:r>
      <w:r w:rsidR="001109E8">
        <w:t>C</w:t>
      </w:r>
      <w:r w:rsidR="00E3119F" w:rsidRPr="001F52A8">
        <w:t>uriously and s</w:t>
      </w:r>
      <w:r w:rsidR="004A1A87">
        <w:t>triking</w:t>
      </w:r>
      <w:r w:rsidR="00E3119F" w:rsidRPr="001F52A8">
        <w:t xml:space="preserve">ly, </w:t>
      </w:r>
      <w:r w:rsidR="00FE2046">
        <w:t xml:space="preserve">both </w:t>
      </w:r>
      <w:r w:rsidR="00E3119F" w:rsidRPr="001F52A8">
        <w:t xml:space="preserve">these two </w:t>
      </w:r>
      <w:r w:rsidR="004A1A87">
        <w:t>designations</w:t>
      </w:r>
      <w:r w:rsidR="00D20CD9" w:rsidRPr="001F52A8">
        <w:t xml:space="preserve"> can </w:t>
      </w:r>
      <w:r w:rsidR="006C43C9">
        <w:t xml:space="preserve">also </w:t>
      </w:r>
      <w:r w:rsidR="00D20CD9" w:rsidRPr="001F52A8">
        <w:t xml:space="preserve">suggest the personal commitment of </w:t>
      </w:r>
      <w:r w:rsidR="006C43C9">
        <w:t xml:space="preserve">the powerful </w:t>
      </w:r>
      <w:r w:rsidR="00D20CD9" w:rsidRPr="001F52A8">
        <w:t>God to his people and to the individual</w:t>
      </w:r>
      <w:r w:rsidR="00AA002C">
        <w:t>. T</w:t>
      </w:r>
      <w:r w:rsidR="004400B7" w:rsidRPr="001F52A8">
        <w:t xml:space="preserve">he Septuagint’s translation of </w:t>
      </w:r>
      <w:r w:rsidR="00A24432" w:rsidRPr="001F52A8">
        <w:rPr>
          <w:i/>
          <w:iCs/>
        </w:rPr>
        <w:t>’</w:t>
      </w:r>
      <w:r w:rsidR="00A24432" w:rsidRPr="001F52A8">
        <w:rPr>
          <w:rFonts w:cstheme="minorHAnsi"/>
          <w:i/>
          <w:iCs/>
        </w:rPr>
        <w:t>ēl šadday</w:t>
      </w:r>
      <w:r w:rsidR="00A24432" w:rsidRPr="001F52A8">
        <w:rPr>
          <w:rFonts w:cstheme="minorHAnsi"/>
        </w:rPr>
        <w:t xml:space="preserve"> as </w:t>
      </w:r>
      <w:r w:rsidR="00AA002C">
        <w:rPr>
          <w:rFonts w:cstheme="minorHAnsi"/>
        </w:rPr>
        <w:t>“</w:t>
      </w:r>
      <w:r w:rsidR="00A508A6" w:rsidRPr="001F52A8">
        <w:rPr>
          <w:rFonts w:cstheme="minorHAnsi"/>
        </w:rPr>
        <w:t>your/my God</w:t>
      </w:r>
      <w:r w:rsidR="00AA002C">
        <w:rPr>
          <w:rFonts w:cstheme="minorHAnsi"/>
        </w:rPr>
        <w:t>”</w:t>
      </w:r>
      <w:r w:rsidR="00035CF3" w:rsidRPr="001F52A8">
        <w:rPr>
          <w:rFonts w:cstheme="minorHAnsi"/>
        </w:rPr>
        <w:t xml:space="preserve"> points in that direction</w:t>
      </w:r>
      <w:r w:rsidR="003B2A53">
        <w:rPr>
          <w:rFonts w:cstheme="minorHAnsi"/>
        </w:rPr>
        <w:t>; so</w:t>
      </w:r>
      <w:r w:rsidR="00BC09D8">
        <w:rPr>
          <w:rFonts w:cstheme="minorHAnsi"/>
        </w:rPr>
        <w:t xml:space="preserve"> does</w:t>
      </w:r>
      <w:r w:rsidR="00093485" w:rsidRPr="001F52A8">
        <w:rPr>
          <w:rFonts w:cstheme="minorHAnsi"/>
        </w:rPr>
        <w:t xml:space="preserve"> Hannah’s appeal to </w:t>
      </w:r>
      <w:r w:rsidR="0069139C" w:rsidRPr="001F52A8">
        <w:rPr>
          <w:i/>
          <w:iCs/>
        </w:rPr>
        <w:t xml:space="preserve">yhwh </w:t>
      </w:r>
      <w:r w:rsidR="0069139C" w:rsidRPr="001F52A8">
        <w:rPr>
          <w:rFonts w:cstheme="minorHAnsi"/>
          <w:i/>
          <w:iCs/>
        </w:rPr>
        <w:t>ṣəbāô</w:t>
      </w:r>
      <w:r w:rsidR="0069139C" w:rsidRPr="001F52A8">
        <w:rPr>
          <w:i/>
          <w:iCs/>
        </w:rPr>
        <w:t>t</w:t>
      </w:r>
      <w:r w:rsidR="003B2A53">
        <w:t>, which</w:t>
      </w:r>
      <w:r w:rsidR="00875504" w:rsidRPr="001F52A8">
        <w:t xml:space="preserve"> compares with the expression</w:t>
      </w:r>
      <w:r w:rsidR="003E22A6">
        <w:t>’</w:t>
      </w:r>
      <w:r w:rsidR="00875504" w:rsidRPr="001F52A8">
        <w:t xml:space="preserve">s recurrence in </w:t>
      </w:r>
      <w:r w:rsidR="00FD2067" w:rsidRPr="001F52A8">
        <w:t>Psalms 80 and 84</w:t>
      </w:r>
      <w:r w:rsidR="00875504" w:rsidRPr="001F52A8">
        <w:t xml:space="preserve">. Yahweh Armies is the real God, the powerful God, and the </w:t>
      </w:r>
      <w:r w:rsidR="003F2125" w:rsidRPr="001F52A8">
        <w:t xml:space="preserve">God </w:t>
      </w:r>
      <w:r w:rsidR="00FB6A6B">
        <w:t xml:space="preserve">on </w:t>
      </w:r>
      <w:r w:rsidR="003F2125" w:rsidRPr="001F52A8">
        <w:t>whom his people can therefore rely.</w:t>
      </w:r>
    </w:p>
    <w:p w14:paraId="18861629" w14:textId="54B87284" w:rsidR="00E63B95" w:rsidRPr="00E63B95" w:rsidRDefault="00CF0810" w:rsidP="00E63B95">
      <w:r w:rsidRPr="001F52A8">
        <w:lastRenderedPageBreak/>
        <w:t>In a</w:t>
      </w:r>
      <w:r w:rsidR="003160E7" w:rsidRPr="001F52A8">
        <w:t xml:space="preserve"> paradoxical way, those facts about Yahweh emerge in the references to his </w:t>
      </w:r>
      <w:r w:rsidR="002C4149" w:rsidRPr="001F52A8">
        <w:t>relationship to Hannah in her inability to have children.</w:t>
      </w:r>
      <w:r w:rsidR="00A16835" w:rsidRPr="001F52A8">
        <w:t xml:space="preserve"> </w:t>
      </w:r>
      <w:r w:rsidR="00877C43">
        <w:t>Samuel</w:t>
      </w:r>
      <w:r w:rsidR="0012076F" w:rsidRPr="001F52A8">
        <w:t xml:space="preserve"> repeats that</w:t>
      </w:r>
      <w:r w:rsidR="00A16835" w:rsidRPr="001F52A8">
        <w:t xml:space="preserve"> “Yahweh had closed her womb” (1:5, 6</w:t>
      </w:r>
      <w:r w:rsidR="00796986" w:rsidRPr="001F52A8">
        <w:t>).</w:t>
      </w:r>
      <w:r w:rsidR="00565C95" w:rsidRPr="001F52A8">
        <w:t xml:space="preserve"> </w:t>
      </w:r>
      <w:r w:rsidR="00047F88" w:rsidRPr="001F52A8">
        <w:t>I</w:t>
      </w:r>
      <w:r w:rsidR="00565C95" w:rsidRPr="001F52A8">
        <w:t>t</w:t>
      </w:r>
      <w:r w:rsidR="00047F88" w:rsidRPr="001F52A8">
        <w:t xml:space="preserve"> is but the first in a series of statements about Yahw</w:t>
      </w:r>
      <w:r w:rsidR="00565C95" w:rsidRPr="001F52A8">
        <w:t>eh doing tough things in this book</w:t>
      </w:r>
      <w:r w:rsidR="00477D23" w:rsidRPr="001F52A8">
        <w:t>.</w:t>
      </w:r>
      <w:r w:rsidR="00477D23" w:rsidRPr="001F52A8">
        <w:rPr>
          <w:rStyle w:val="FootnoteReference"/>
        </w:rPr>
        <w:footnoteReference w:id="28"/>
      </w:r>
      <w:r w:rsidR="00C90289" w:rsidRPr="001F52A8">
        <w:t xml:space="preserve"> </w:t>
      </w:r>
      <w:r w:rsidR="002E4AF8">
        <w:t>T</w:t>
      </w:r>
      <w:r w:rsidR="00E63B95" w:rsidRPr="001F52A8">
        <w:rPr>
          <w:rFonts w:ascii="Calibri" w:hAnsi="Calibri" w:cs="Calibri"/>
        </w:rPr>
        <w:t xml:space="preserve">here </w:t>
      </w:r>
      <w:r w:rsidR="00E63B95">
        <w:rPr>
          <w:rFonts w:ascii="Calibri" w:hAnsi="Calibri" w:cs="Calibri"/>
        </w:rPr>
        <w:t xml:space="preserve">will </w:t>
      </w:r>
      <w:r w:rsidR="002E4AF8">
        <w:rPr>
          <w:rFonts w:ascii="Calibri" w:hAnsi="Calibri" w:cs="Calibri"/>
        </w:rPr>
        <w:t xml:space="preserve">soon </w:t>
      </w:r>
      <w:r w:rsidR="00E63B95">
        <w:rPr>
          <w:rFonts w:ascii="Calibri" w:hAnsi="Calibri" w:cs="Calibri"/>
        </w:rPr>
        <w:t>be</w:t>
      </w:r>
      <w:r w:rsidR="00E63B95" w:rsidRPr="001F52A8">
        <w:rPr>
          <w:rFonts w:ascii="Calibri" w:hAnsi="Calibri" w:cs="Calibri"/>
        </w:rPr>
        <w:t xml:space="preserve"> a frightening </w:t>
      </w:r>
      <w:r w:rsidR="00F20CA3">
        <w:rPr>
          <w:rFonts w:ascii="Calibri" w:hAnsi="Calibri" w:cs="Calibri"/>
        </w:rPr>
        <w:t>comment on</w:t>
      </w:r>
      <w:r w:rsidR="00E63B95" w:rsidRPr="001F52A8">
        <w:rPr>
          <w:rFonts w:ascii="Calibri" w:hAnsi="Calibri" w:cs="Calibri"/>
        </w:rPr>
        <w:t xml:space="preserve"> Eli’s exchange with his sons</w:t>
      </w:r>
      <w:r w:rsidR="00B943BE">
        <w:rPr>
          <w:rFonts w:ascii="Calibri" w:hAnsi="Calibri" w:cs="Calibri"/>
        </w:rPr>
        <w:t>, who</w:t>
      </w:r>
      <w:r w:rsidR="00E63B95" w:rsidRPr="001F52A8">
        <w:rPr>
          <w:rFonts w:ascii="Calibri" w:hAnsi="Calibri" w:cs="Calibri"/>
        </w:rPr>
        <w:t xml:space="preserve"> </w:t>
      </w:r>
      <w:r w:rsidR="00B943BE">
        <w:rPr>
          <w:rFonts w:ascii="Calibri" w:hAnsi="Calibri" w:cs="Calibri"/>
        </w:rPr>
        <w:t>“</w:t>
      </w:r>
      <w:r w:rsidR="00E63B95" w:rsidRPr="001F52A8">
        <w:rPr>
          <w:rFonts w:ascii="Calibri" w:hAnsi="Calibri" w:cs="Calibri"/>
        </w:rPr>
        <w:t xml:space="preserve">did not listen to their father’s voice because Yahweh wanted to put them to </w:t>
      </w:r>
      <w:r w:rsidR="00E63B95" w:rsidRPr="001F52A8">
        <w:rPr>
          <w:rFonts w:cstheme="minorHAnsi"/>
        </w:rPr>
        <w:t>death</w:t>
      </w:r>
      <w:r w:rsidR="00F20CA3">
        <w:rPr>
          <w:rFonts w:cstheme="minorHAnsi"/>
        </w:rPr>
        <w:t>”</w:t>
      </w:r>
      <w:r w:rsidR="00E63B95" w:rsidRPr="001F52A8">
        <w:rPr>
          <w:rFonts w:cstheme="minorHAnsi"/>
        </w:rPr>
        <w:t xml:space="preserve"> (2:25)</w:t>
      </w:r>
      <w:r w:rsidR="00B943BE">
        <w:rPr>
          <w:rFonts w:cstheme="minorHAnsi"/>
        </w:rPr>
        <w:t>. It is “</w:t>
      </w:r>
      <w:r w:rsidR="00E63B95" w:rsidRPr="001F52A8">
        <w:rPr>
          <w:rFonts w:cstheme="minorHAnsi"/>
        </w:rPr>
        <w:t>the first hint in Samuel of the theme of divine dangerousness” (cf. 6:19-20; 2 Sam 6:6)</w:t>
      </w:r>
      <w:r w:rsidR="00830497">
        <w:rPr>
          <w:rFonts w:cstheme="minorHAnsi"/>
        </w:rPr>
        <w:t>,</w:t>
      </w:r>
      <w:r w:rsidR="00E63B95" w:rsidRPr="001F52A8">
        <w:rPr>
          <w:rStyle w:val="FootnoteReference"/>
          <w:rFonts w:cstheme="minorHAnsi"/>
        </w:rPr>
        <w:footnoteReference w:id="29"/>
      </w:r>
      <w:r w:rsidR="00E63B95" w:rsidRPr="001F52A8">
        <w:rPr>
          <w:rFonts w:cstheme="minorHAnsi"/>
        </w:rPr>
        <w:t xml:space="preserve"> </w:t>
      </w:r>
      <w:r w:rsidR="00830497">
        <w:rPr>
          <w:rFonts w:cstheme="minorHAnsi"/>
        </w:rPr>
        <w:t>though the</w:t>
      </w:r>
      <w:r w:rsidR="00E63B95" w:rsidRPr="001F52A8">
        <w:rPr>
          <w:rFonts w:cstheme="minorHAnsi"/>
        </w:rPr>
        <w:t xml:space="preserve"> declaration </w:t>
      </w:r>
      <w:r w:rsidR="00830497">
        <w:rPr>
          <w:rFonts w:cstheme="minorHAnsi"/>
        </w:rPr>
        <w:t>hardly</w:t>
      </w:r>
      <w:r w:rsidR="00E63B95" w:rsidRPr="001F52A8">
        <w:rPr>
          <w:rFonts w:cstheme="minorHAnsi"/>
        </w:rPr>
        <w:t xml:space="preserve"> mean</w:t>
      </w:r>
      <w:r w:rsidR="003C0C13">
        <w:rPr>
          <w:rFonts w:cstheme="minorHAnsi"/>
        </w:rPr>
        <w:t>s</w:t>
      </w:r>
      <w:r w:rsidR="00E63B95" w:rsidRPr="001F52A8">
        <w:rPr>
          <w:rFonts w:cstheme="minorHAnsi"/>
        </w:rPr>
        <w:t xml:space="preserve"> they can’t turn</w:t>
      </w:r>
      <w:r w:rsidR="00B27DEB">
        <w:rPr>
          <w:rFonts w:cstheme="minorHAnsi"/>
        </w:rPr>
        <w:t xml:space="preserve">, as is </w:t>
      </w:r>
      <w:r w:rsidR="003C0C13">
        <w:rPr>
          <w:rFonts w:cstheme="minorHAnsi"/>
        </w:rPr>
        <w:t>suggest</w:t>
      </w:r>
      <w:r w:rsidR="00B27DEB">
        <w:rPr>
          <w:rFonts w:cstheme="minorHAnsi"/>
        </w:rPr>
        <w:t xml:space="preserve">ed by </w:t>
      </w:r>
      <w:r w:rsidR="003C0C13">
        <w:rPr>
          <w:rFonts w:cstheme="minorHAnsi"/>
        </w:rPr>
        <w:t>his not yet actually putting</w:t>
      </w:r>
      <w:r w:rsidR="00B27DEB">
        <w:rPr>
          <w:rFonts w:cstheme="minorHAnsi"/>
        </w:rPr>
        <w:t xml:space="preserve"> them to death</w:t>
      </w:r>
      <w:r w:rsidR="00E63B95" w:rsidRPr="001F52A8">
        <w:rPr>
          <w:rFonts w:cstheme="minorHAnsi"/>
        </w:rPr>
        <w:t>.</w:t>
      </w:r>
      <w:r w:rsidR="00B200B4">
        <w:rPr>
          <w:rFonts w:cstheme="minorHAnsi"/>
        </w:rPr>
        <w:t xml:space="preserve"> And </w:t>
      </w:r>
      <w:r w:rsidR="00D817A0">
        <w:rPr>
          <w:rFonts w:cstheme="minorHAnsi"/>
        </w:rPr>
        <w:t xml:space="preserve">in Hannah’s story, </w:t>
      </w:r>
      <w:r w:rsidR="00D817A0">
        <w:rPr>
          <w:rFonts w:ascii="Calibri" w:hAnsi="Calibri" w:cs="Calibri"/>
        </w:rPr>
        <w:t>Yahweh</w:t>
      </w:r>
      <w:r w:rsidR="00D817A0" w:rsidRPr="001F52A8">
        <w:rPr>
          <w:rFonts w:ascii="Calibri" w:hAnsi="Calibri" w:cs="Calibri"/>
        </w:rPr>
        <w:t xml:space="preserve"> is the </w:t>
      </w:r>
      <w:r w:rsidR="00CA3FBD">
        <w:rPr>
          <w:rFonts w:ascii="Calibri" w:hAnsi="Calibri" w:cs="Calibri"/>
        </w:rPr>
        <w:t xml:space="preserve">subsequently the </w:t>
      </w:r>
      <w:r w:rsidR="00D817A0" w:rsidRPr="001F52A8">
        <w:rPr>
          <w:rFonts w:ascii="Calibri" w:hAnsi="Calibri" w:cs="Calibri"/>
        </w:rPr>
        <w:t xml:space="preserve">subject of </w:t>
      </w:r>
      <w:r w:rsidR="00D817A0">
        <w:rPr>
          <w:rFonts w:ascii="Calibri" w:hAnsi="Calibri" w:cs="Calibri"/>
        </w:rPr>
        <w:t>two</w:t>
      </w:r>
      <w:r w:rsidR="00D817A0" w:rsidRPr="001F52A8">
        <w:rPr>
          <w:rFonts w:ascii="Calibri" w:hAnsi="Calibri" w:cs="Calibri"/>
        </w:rPr>
        <w:t xml:space="preserve"> </w:t>
      </w:r>
      <w:r w:rsidR="00CA3FBD">
        <w:rPr>
          <w:rFonts w:ascii="Calibri" w:hAnsi="Calibri" w:cs="Calibri"/>
        </w:rPr>
        <w:t xml:space="preserve">more promising </w:t>
      </w:r>
      <w:r w:rsidR="00D817A0" w:rsidRPr="001F52A8">
        <w:rPr>
          <w:rFonts w:ascii="Calibri" w:hAnsi="Calibri" w:cs="Calibri"/>
        </w:rPr>
        <w:t>verbs: he gives, he is mindful (1:17, 19).</w:t>
      </w:r>
    </w:p>
    <w:p w14:paraId="61D41976" w14:textId="01A3ED4E" w:rsidR="00A16835" w:rsidRDefault="00A16835" w:rsidP="00A16835">
      <w:r w:rsidRPr="001F52A8">
        <w:t>Difficulty over getting pregnant is a recurrent issue in the First Testament</w:t>
      </w:r>
      <w:r w:rsidR="00F71790">
        <w:t xml:space="preserve">, </w:t>
      </w:r>
      <w:r w:rsidR="00854B05" w:rsidRPr="001F52A8">
        <w:t xml:space="preserve">and sometimes Yahweh </w:t>
      </w:r>
      <w:r w:rsidR="00854B05">
        <w:t>causes it</w:t>
      </w:r>
      <w:r w:rsidR="00854B05" w:rsidRPr="001F52A8">
        <w:t xml:space="preserve"> (</w:t>
      </w:r>
      <w:r w:rsidR="00854B05">
        <w:t xml:space="preserve">e.g., </w:t>
      </w:r>
      <w:r w:rsidR="00854B05" w:rsidRPr="001F52A8">
        <w:t>Gen 16:2; 30:2)</w:t>
      </w:r>
      <w:r w:rsidR="00854B05">
        <w:t>,</w:t>
      </w:r>
      <w:r w:rsidR="00854B05" w:rsidRPr="001F52A8">
        <w:t xml:space="preserve"> but it’s never said to be a punishment for wrongdoing (Gen 20</w:t>
      </w:r>
      <w:r w:rsidR="00854B05">
        <w:t>:18</w:t>
      </w:r>
      <w:r w:rsidR="00854B05" w:rsidRPr="001F52A8">
        <w:t xml:space="preserve"> is a special case</w:t>
      </w:r>
      <w:r w:rsidR="00854B05">
        <w:t>)</w:t>
      </w:r>
      <w:r w:rsidR="00BB230B">
        <w:t xml:space="preserve">. </w:t>
      </w:r>
      <w:r w:rsidR="00140B69">
        <w:t>The First Testament</w:t>
      </w:r>
      <w:r w:rsidRPr="001F52A8">
        <w:t xml:space="preserve"> can refer to Yahweh opening the womb of </w:t>
      </w:r>
      <w:r w:rsidR="004079DC">
        <w:t>someone</w:t>
      </w:r>
      <w:r w:rsidRPr="001F52A8">
        <w:t xml:space="preserve"> who cannot conceive (e.g., Gen 29:31; 30:22)</w:t>
      </w:r>
      <w:r w:rsidR="00BB230B">
        <w:t xml:space="preserve"> </w:t>
      </w:r>
      <w:r w:rsidR="00BF6030">
        <w:t xml:space="preserve">and </w:t>
      </w:r>
      <w:r w:rsidRPr="001F52A8">
        <w:t>enabl</w:t>
      </w:r>
      <w:r w:rsidR="00BF6030">
        <w:t>ing</w:t>
      </w:r>
      <w:r w:rsidRPr="001F52A8">
        <w:t xml:space="preserve"> </w:t>
      </w:r>
      <w:r w:rsidR="004079DC">
        <w:t>someone</w:t>
      </w:r>
      <w:r w:rsidRPr="001F52A8">
        <w:t xml:space="preserve"> to get pregnant</w:t>
      </w:r>
      <w:r w:rsidR="009F505C">
        <w:t xml:space="preserve"> without that implication in the background (Ruth </w:t>
      </w:r>
      <w:r w:rsidR="00DC4B1D">
        <w:t>4:13)</w:t>
      </w:r>
      <w:r w:rsidRPr="001F52A8">
        <w:t xml:space="preserve">. Theologically, again, one might </w:t>
      </w:r>
      <w:r w:rsidR="00F25439">
        <w:t>say</w:t>
      </w:r>
      <w:r w:rsidRPr="001F52A8">
        <w:t xml:space="preserve"> that Yahweh is always the one who opens and closes wombs, but us</w:t>
      </w:r>
      <w:r w:rsidR="00F25439">
        <w:t>ing</w:t>
      </w:r>
      <w:r w:rsidRPr="001F52A8">
        <w:t xml:space="preserve"> this language on particular occasions signifies that </w:t>
      </w:r>
      <w:r w:rsidR="008C0DAC">
        <w:t>special</w:t>
      </w:r>
      <w:r w:rsidRPr="001F52A8">
        <w:t xml:space="preserve"> significance attaches to </w:t>
      </w:r>
      <w:r w:rsidR="00B32564">
        <w:t>a particular</w:t>
      </w:r>
      <w:r w:rsidRPr="001F52A8">
        <w:t xml:space="preserve"> woman’s infertility and pregnancy. </w:t>
      </w:r>
      <w:r w:rsidR="00A7412D">
        <w:t xml:space="preserve">While </w:t>
      </w:r>
      <w:r w:rsidRPr="001F52A8">
        <w:t>pregnancy may just concern one individual or family, record of it in the Scriptures likely relates to Yahweh’s broader purpose – as is the case with Hezekiah’s healing at the other end of Samuel-Kings (2 Kgs 20).</w:t>
      </w:r>
      <w:r w:rsidR="004E2A98">
        <w:t xml:space="preserve"> </w:t>
      </w:r>
      <w:r w:rsidR="004E2A98" w:rsidRPr="001F52A8">
        <w:t>We will discover that this note about Hannah relates to the link between her eventual pregnancy and the theme of kingship in Samuel, like the note about Ruth’s pregnancy.</w:t>
      </w:r>
    </w:p>
    <w:p w14:paraId="35C75960" w14:textId="33861F78" w:rsidR="003A6D7C" w:rsidRPr="001F52A8" w:rsidRDefault="003A6D7C" w:rsidP="000B0A0F">
      <w:pPr>
        <w:pStyle w:val="Heading2"/>
      </w:pPr>
      <w:r w:rsidRPr="001F52A8">
        <w:t>Family</w:t>
      </w:r>
    </w:p>
    <w:p w14:paraId="76DAAA9F" w14:textId="0A794FB0" w:rsidR="005027F2" w:rsidRPr="001F52A8" w:rsidRDefault="00EA1873" w:rsidP="0064103D">
      <w:pPr>
        <w:autoSpaceDE w:val="0"/>
        <w:autoSpaceDN w:val="0"/>
        <w:adjustRightInd w:val="0"/>
        <w:spacing w:line="240" w:lineRule="auto"/>
        <w:rPr>
          <w:rFonts w:ascii="Calibri" w:hAnsi="Calibri" w:cs="Calibri"/>
        </w:rPr>
      </w:pPr>
      <w:r w:rsidRPr="001F52A8">
        <w:rPr>
          <w:rFonts w:ascii="Calibri" w:hAnsi="Calibri" w:cs="Calibri"/>
        </w:rPr>
        <w:t xml:space="preserve">Samuel begins with a scene from </w:t>
      </w:r>
      <w:r w:rsidR="00A7637B" w:rsidRPr="001F52A8">
        <w:rPr>
          <w:rFonts w:ascii="Calibri" w:hAnsi="Calibri" w:cs="Calibri"/>
        </w:rPr>
        <w:t>family</w:t>
      </w:r>
      <w:r w:rsidR="009D5887">
        <w:rPr>
          <w:rFonts w:ascii="Calibri" w:hAnsi="Calibri" w:cs="Calibri"/>
        </w:rPr>
        <w:t xml:space="preserve"> life</w:t>
      </w:r>
      <w:r w:rsidR="00A7637B" w:rsidRPr="001F52A8">
        <w:rPr>
          <w:rFonts w:ascii="Calibri" w:hAnsi="Calibri" w:cs="Calibri"/>
        </w:rPr>
        <w:t xml:space="preserve">. </w:t>
      </w:r>
      <w:r w:rsidR="00897FDE" w:rsidRPr="001F52A8">
        <w:rPr>
          <w:rFonts w:ascii="Calibri" w:hAnsi="Calibri" w:cs="Calibri"/>
        </w:rPr>
        <w:t>“Samuel most resembles Genesis in its preoccupation with founding families and in its positioning of these representative households at the fulcrum of historical change.”</w:t>
      </w:r>
      <w:r w:rsidR="00897FDE" w:rsidRPr="001F52A8">
        <w:rPr>
          <w:rStyle w:val="FootnoteReference"/>
          <w:rFonts w:ascii="Calibri" w:hAnsi="Calibri" w:cs="Calibri"/>
        </w:rPr>
        <w:footnoteReference w:id="30"/>
      </w:r>
      <w:r w:rsidR="00897FDE" w:rsidRPr="001F52A8">
        <w:rPr>
          <w:rFonts w:ascii="Calibri" w:hAnsi="Calibri" w:cs="Calibri"/>
        </w:rPr>
        <w:t xml:space="preserve"> </w:t>
      </w:r>
      <w:r w:rsidR="00E33E38" w:rsidRPr="001F52A8">
        <w:rPr>
          <w:rFonts w:ascii="Calibri" w:hAnsi="Calibri" w:cs="Calibri"/>
        </w:rPr>
        <w:t>The scene illustrates the First Testament’s vision of family</w:t>
      </w:r>
      <w:r w:rsidR="00F41C42">
        <w:rPr>
          <w:rFonts w:ascii="Calibri" w:hAnsi="Calibri" w:cs="Calibri"/>
        </w:rPr>
        <w:t>,</w:t>
      </w:r>
      <w:r w:rsidR="004E0668" w:rsidRPr="001F52A8">
        <w:rPr>
          <w:rFonts w:ascii="Calibri" w:hAnsi="Calibri" w:cs="Calibri"/>
        </w:rPr>
        <w:t xml:space="preserve"> tempered by realism about how life is. Wh</w:t>
      </w:r>
      <w:r w:rsidR="00626A2F" w:rsidRPr="001F52A8">
        <w:rPr>
          <w:rFonts w:ascii="Calibri" w:hAnsi="Calibri" w:cs="Calibri"/>
        </w:rPr>
        <w:t>ereas one might have e</w:t>
      </w:r>
      <w:r w:rsidR="00E83743" w:rsidRPr="001F52A8">
        <w:rPr>
          <w:rFonts w:ascii="Calibri" w:hAnsi="Calibri" w:cs="Calibri"/>
        </w:rPr>
        <w:t>xpected “family” to imply three or four generations</w:t>
      </w:r>
      <w:r w:rsidR="00B15378" w:rsidRPr="001F52A8">
        <w:rPr>
          <w:rFonts w:ascii="Calibri" w:hAnsi="Calibri" w:cs="Calibri"/>
        </w:rPr>
        <w:t xml:space="preserve">, the story speaks only of two generations </w:t>
      </w:r>
      <w:r w:rsidR="009478A4" w:rsidRPr="001F52A8">
        <w:rPr>
          <w:rFonts w:ascii="Calibri" w:hAnsi="Calibri" w:cs="Calibri"/>
        </w:rPr>
        <w:t>and thus in effect of a nuclear family; we hear nothing of Elqanah’s siblings or parents beyond</w:t>
      </w:r>
      <w:r w:rsidR="00F31D31" w:rsidRPr="001F52A8">
        <w:rPr>
          <w:rFonts w:ascii="Calibri" w:hAnsi="Calibri" w:cs="Calibri"/>
        </w:rPr>
        <w:t xml:space="preserve"> the mention of his father in the list of his ancestors. </w:t>
      </w:r>
      <w:r w:rsidR="00CD132E" w:rsidRPr="001F52A8">
        <w:rPr>
          <w:rFonts w:ascii="Calibri" w:hAnsi="Calibri" w:cs="Calibri"/>
        </w:rPr>
        <w:t>T</w:t>
      </w:r>
      <w:r w:rsidR="00971B50" w:rsidRPr="001F52A8">
        <w:rPr>
          <w:rFonts w:ascii="Calibri" w:hAnsi="Calibri" w:cs="Calibri"/>
        </w:rPr>
        <w:t xml:space="preserve">he family is </w:t>
      </w:r>
      <w:r w:rsidR="00C76429" w:rsidRPr="001F52A8">
        <w:rPr>
          <w:rFonts w:ascii="Calibri" w:hAnsi="Calibri" w:cs="Calibri"/>
        </w:rPr>
        <w:t>evident</w:t>
      </w:r>
      <w:r w:rsidR="00971B50" w:rsidRPr="001F52A8">
        <w:rPr>
          <w:rFonts w:ascii="Calibri" w:hAnsi="Calibri" w:cs="Calibri"/>
        </w:rPr>
        <w:t>ly enjoying the blessing that the Torah promises</w:t>
      </w:r>
      <w:r w:rsidR="00FA348D" w:rsidRPr="001F52A8">
        <w:rPr>
          <w:rFonts w:ascii="Calibri" w:hAnsi="Calibri" w:cs="Calibri"/>
        </w:rPr>
        <w:t xml:space="preserve">: it has produce </w:t>
      </w:r>
      <w:r w:rsidR="003F7848" w:rsidRPr="001F52A8">
        <w:rPr>
          <w:rFonts w:ascii="Calibri" w:hAnsi="Calibri" w:cs="Calibri"/>
        </w:rPr>
        <w:t xml:space="preserve">to share and to offer to Yahweh, </w:t>
      </w:r>
      <w:r w:rsidR="00316E6C" w:rsidRPr="001F52A8">
        <w:rPr>
          <w:rFonts w:ascii="Calibri" w:hAnsi="Calibri" w:cs="Calibri"/>
        </w:rPr>
        <w:t xml:space="preserve">it can </w:t>
      </w:r>
      <w:r w:rsidR="0044181D" w:rsidRPr="001F52A8">
        <w:rPr>
          <w:rFonts w:ascii="Calibri" w:hAnsi="Calibri" w:cs="Calibri"/>
        </w:rPr>
        <w:t>“</w:t>
      </w:r>
      <w:r w:rsidR="00316E6C" w:rsidRPr="001F52A8">
        <w:rPr>
          <w:rFonts w:ascii="Calibri" w:hAnsi="Calibri" w:cs="Calibri"/>
        </w:rPr>
        <w:t xml:space="preserve">go </w:t>
      </w:r>
      <w:r w:rsidR="00D25C9E" w:rsidRPr="001F52A8">
        <w:rPr>
          <w:rFonts w:ascii="Calibri" w:hAnsi="Calibri" w:cs="Calibri"/>
        </w:rPr>
        <w:t>up</w:t>
      </w:r>
      <w:r w:rsidR="0044181D" w:rsidRPr="001F52A8">
        <w:rPr>
          <w:rFonts w:ascii="Calibri" w:hAnsi="Calibri" w:cs="Calibri"/>
        </w:rPr>
        <w:t>”</w:t>
      </w:r>
      <w:r w:rsidR="00D25C9E" w:rsidRPr="001F52A8">
        <w:rPr>
          <w:rFonts w:ascii="Calibri" w:hAnsi="Calibri" w:cs="Calibri"/>
        </w:rPr>
        <w:t xml:space="preserve"> to the sanctuary</w:t>
      </w:r>
      <w:r w:rsidR="0044181D" w:rsidRPr="001F52A8">
        <w:rPr>
          <w:rFonts w:ascii="Calibri" w:hAnsi="Calibri" w:cs="Calibri"/>
        </w:rPr>
        <w:t>, making pilgrimage</w:t>
      </w:r>
      <w:r w:rsidR="00D25C9E" w:rsidRPr="001F52A8">
        <w:rPr>
          <w:rFonts w:ascii="Calibri" w:hAnsi="Calibri" w:cs="Calibri"/>
        </w:rPr>
        <w:t xml:space="preserve"> for a festival each year (presumably Sukkot, the main harvest festival)</w:t>
      </w:r>
      <w:r w:rsidR="00F6357B" w:rsidRPr="001F52A8">
        <w:rPr>
          <w:rFonts w:ascii="Calibri" w:hAnsi="Calibri" w:cs="Calibri"/>
        </w:rPr>
        <w:t xml:space="preserve">. </w:t>
      </w:r>
      <w:r w:rsidR="00CB21CD" w:rsidRPr="001F52A8">
        <w:t>“</w:t>
      </w:r>
      <w:r w:rsidR="00CB21CD" w:rsidRPr="001F52A8">
        <w:rPr>
          <w:rFonts w:ascii="Calibri" w:hAnsi="Calibri" w:cs="Calibri"/>
        </w:rPr>
        <w:t>In a world in which God is the primary reality, worship is the</w:t>
      </w:r>
      <w:r w:rsidR="00CB21CD" w:rsidRPr="001F52A8">
        <w:t xml:space="preserve"> </w:t>
      </w:r>
      <w:r w:rsidR="00CB21CD" w:rsidRPr="001F52A8">
        <w:rPr>
          <w:rFonts w:ascii="Calibri" w:hAnsi="Calibri" w:cs="Calibri"/>
        </w:rPr>
        <w:t>primary activity.”</w:t>
      </w:r>
      <w:r w:rsidR="00CB21CD" w:rsidRPr="001F52A8">
        <w:rPr>
          <w:rStyle w:val="FootnoteReference"/>
          <w:rFonts w:ascii="Calibri" w:hAnsi="Calibri" w:cs="Calibri"/>
        </w:rPr>
        <w:footnoteReference w:id="31"/>
      </w:r>
      <w:r w:rsidR="005027F2" w:rsidRPr="001F52A8">
        <w:rPr>
          <w:rFonts w:ascii="Calibri" w:hAnsi="Calibri" w:cs="Calibri"/>
        </w:rPr>
        <w:t xml:space="preserve"> The story goes from infertility plus worship to birth plus worship (1:2</w:t>
      </w:r>
      <w:r w:rsidR="00DB7B03" w:rsidRPr="001F52A8">
        <w:rPr>
          <w:rFonts w:ascii="Calibri" w:hAnsi="Calibri" w:cs="Calibri"/>
        </w:rPr>
        <w:t>-</w:t>
      </w:r>
      <w:r w:rsidR="005027F2" w:rsidRPr="001F52A8">
        <w:rPr>
          <w:rFonts w:ascii="Calibri" w:hAnsi="Calibri" w:cs="Calibri"/>
        </w:rPr>
        <w:t>3, 27</w:t>
      </w:r>
      <w:r w:rsidR="00DB7B03" w:rsidRPr="001F52A8">
        <w:rPr>
          <w:rFonts w:ascii="Calibri" w:hAnsi="Calibri" w:cs="Calibri"/>
        </w:rPr>
        <w:t>-</w:t>
      </w:r>
      <w:r w:rsidR="005027F2" w:rsidRPr="001F52A8">
        <w:rPr>
          <w:rFonts w:ascii="Calibri" w:hAnsi="Calibri" w:cs="Calibri"/>
        </w:rPr>
        <w:t>28).</w:t>
      </w:r>
    </w:p>
    <w:p w14:paraId="2E454C19" w14:textId="6D131429" w:rsidR="00104361" w:rsidRPr="001F52A8" w:rsidRDefault="00C76429" w:rsidP="00104361">
      <w:r w:rsidRPr="001F52A8">
        <w:rPr>
          <w:rFonts w:ascii="Calibri" w:hAnsi="Calibri" w:cs="Calibri"/>
        </w:rPr>
        <w:t>The family</w:t>
      </w:r>
      <w:r w:rsidR="008C0DCB" w:rsidRPr="001F52A8">
        <w:rPr>
          <w:rFonts w:ascii="Calibri" w:hAnsi="Calibri" w:cs="Calibri"/>
        </w:rPr>
        <w:t xml:space="preserve"> bears </w:t>
      </w:r>
      <w:r w:rsidR="00A20256" w:rsidRPr="001F52A8">
        <w:rPr>
          <w:rFonts w:ascii="Calibri" w:hAnsi="Calibri" w:cs="Calibri"/>
        </w:rPr>
        <w:t>Elqanah</w:t>
      </w:r>
      <w:r w:rsidR="008C0DCB" w:rsidRPr="001F52A8">
        <w:rPr>
          <w:rFonts w:ascii="Calibri" w:hAnsi="Calibri" w:cs="Calibri"/>
        </w:rPr>
        <w:t>’s name</w:t>
      </w:r>
      <w:r w:rsidR="00D562DD" w:rsidRPr="001F52A8">
        <w:rPr>
          <w:rFonts w:ascii="Calibri" w:hAnsi="Calibri" w:cs="Calibri"/>
        </w:rPr>
        <w:t xml:space="preserve">, it is </w:t>
      </w:r>
      <w:r w:rsidR="00B14EFF">
        <w:rPr>
          <w:rFonts w:ascii="Calibri" w:hAnsi="Calibri" w:cs="Calibri"/>
        </w:rPr>
        <w:t>“</w:t>
      </w:r>
      <w:r w:rsidR="00D562DD" w:rsidRPr="001F52A8">
        <w:rPr>
          <w:rFonts w:ascii="Calibri" w:hAnsi="Calibri" w:cs="Calibri"/>
        </w:rPr>
        <w:t>he</w:t>
      </w:r>
      <w:r w:rsidR="00B14EFF">
        <w:rPr>
          <w:rFonts w:ascii="Calibri" w:hAnsi="Calibri" w:cs="Calibri"/>
        </w:rPr>
        <w:t>”</w:t>
      </w:r>
      <w:r w:rsidR="00D562DD" w:rsidRPr="001F52A8">
        <w:rPr>
          <w:rFonts w:ascii="Calibri" w:hAnsi="Calibri" w:cs="Calibri"/>
        </w:rPr>
        <w:t xml:space="preserve"> who goes up to the </w:t>
      </w:r>
      <w:r w:rsidR="00E1476E" w:rsidRPr="001F52A8">
        <w:rPr>
          <w:rFonts w:ascii="Calibri" w:hAnsi="Calibri" w:cs="Calibri"/>
        </w:rPr>
        <w:t>festival to worship and offer sacrifice,</w:t>
      </w:r>
      <w:r w:rsidR="008C0DCB" w:rsidRPr="001F52A8">
        <w:rPr>
          <w:rFonts w:ascii="Calibri" w:hAnsi="Calibri" w:cs="Calibri"/>
        </w:rPr>
        <w:t xml:space="preserve"> and </w:t>
      </w:r>
      <w:r w:rsidR="00672DFF" w:rsidRPr="001F52A8">
        <w:rPr>
          <w:rFonts w:ascii="Calibri" w:hAnsi="Calibri" w:cs="Calibri"/>
        </w:rPr>
        <w:t>presides at the family celebration</w:t>
      </w:r>
      <w:r w:rsidR="008F5A0F" w:rsidRPr="001F52A8">
        <w:rPr>
          <w:rFonts w:ascii="Calibri" w:hAnsi="Calibri" w:cs="Calibri"/>
        </w:rPr>
        <w:t xml:space="preserve">. </w:t>
      </w:r>
      <w:r w:rsidR="00A253C3">
        <w:rPr>
          <w:rFonts w:cstheme="minorHAnsi"/>
        </w:rPr>
        <w:t>But t</w:t>
      </w:r>
      <w:r w:rsidR="00A253C3" w:rsidRPr="001F52A8">
        <w:rPr>
          <w:rFonts w:cstheme="minorHAnsi"/>
        </w:rPr>
        <w:t>he family are full participants in the f</w:t>
      </w:r>
      <w:r w:rsidR="00375781">
        <w:rPr>
          <w:rFonts w:cstheme="minorHAnsi"/>
        </w:rPr>
        <w:t>estival</w:t>
      </w:r>
      <w:r w:rsidR="00A253C3" w:rsidRPr="001F52A8">
        <w:rPr>
          <w:rFonts w:cstheme="minorHAnsi"/>
        </w:rPr>
        <w:t xml:space="preserve">; it’s not just for the men. Peninnah’s daughters share in its as much as her sons (1:4), </w:t>
      </w:r>
      <w:r w:rsidR="00970EA7">
        <w:rPr>
          <w:rFonts w:cstheme="minorHAnsi"/>
        </w:rPr>
        <w:t>as</w:t>
      </w:r>
      <w:r w:rsidR="00A253C3" w:rsidRPr="001F52A8">
        <w:rPr>
          <w:rFonts w:cstheme="minorHAnsi"/>
        </w:rPr>
        <w:t xml:space="preserve"> Deuteronomy emphasi</w:t>
      </w:r>
      <w:r w:rsidR="00970EA7">
        <w:rPr>
          <w:rFonts w:cstheme="minorHAnsi"/>
        </w:rPr>
        <w:t>zes</w:t>
      </w:r>
      <w:r w:rsidR="00A253C3" w:rsidRPr="001F52A8">
        <w:rPr>
          <w:rFonts w:cstheme="minorHAnsi"/>
        </w:rPr>
        <w:t xml:space="preserve"> daughters</w:t>
      </w:r>
      <w:r w:rsidR="006E3963">
        <w:rPr>
          <w:rFonts w:cstheme="minorHAnsi"/>
        </w:rPr>
        <w:t>, wives, and mothers</w:t>
      </w:r>
      <w:r w:rsidR="00A253C3" w:rsidRPr="001F52A8">
        <w:rPr>
          <w:rFonts w:cstheme="minorHAnsi"/>
        </w:rPr>
        <w:t xml:space="preserve"> as well as sons, husbands, </w:t>
      </w:r>
      <w:r w:rsidR="006E3963">
        <w:rPr>
          <w:rFonts w:cstheme="minorHAnsi"/>
        </w:rPr>
        <w:t>and</w:t>
      </w:r>
      <w:r w:rsidR="00A253C3" w:rsidRPr="001F52A8">
        <w:rPr>
          <w:rFonts w:cstheme="minorHAnsi"/>
        </w:rPr>
        <w:t xml:space="preserve"> fathers. </w:t>
      </w:r>
      <w:r w:rsidR="00733597" w:rsidRPr="001F52A8">
        <w:rPr>
          <w:rFonts w:cstheme="minorHAnsi"/>
        </w:rPr>
        <w:t>T</w:t>
      </w:r>
      <w:r w:rsidR="004413D4">
        <w:rPr>
          <w:rFonts w:cstheme="minorHAnsi"/>
        </w:rPr>
        <w:t>h</w:t>
      </w:r>
      <w:r w:rsidR="00733597" w:rsidRPr="001F52A8">
        <w:rPr>
          <w:rFonts w:cstheme="minorHAnsi"/>
        </w:rPr>
        <w:t>e family</w:t>
      </w:r>
      <w:r w:rsidR="00B07E54" w:rsidRPr="001F52A8">
        <w:rPr>
          <w:rFonts w:ascii="Calibri" w:hAnsi="Calibri" w:cs="Calibri"/>
        </w:rPr>
        <w:t xml:space="preserve"> is</w:t>
      </w:r>
      <w:r w:rsidR="008C0DCB" w:rsidRPr="001F52A8">
        <w:rPr>
          <w:rFonts w:ascii="Calibri" w:hAnsi="Calibri" w:cs="Calibri"/>
        </w:rPr>
        <w:t xml:space="preserve"> </w:t>
      </w:r>
      <w:r w:rsidR="0063657C" w:rsidRPr="001F52A8">
        <w:rPr>
          <w:rFonts w:ascii="Calibri" w:hAnsi="Calibri" w:cs="Calibri"/>
        </w:rPr>
        <w:t xml:space="preserve">presumably </w:t>
      </w:r>
      <w:r w:rsidR="00E04003" w:rsidRPr="001F52A8">
        <w:rPr>
          <w:rFonts w:ascii="Calibri" w:hAnsi="Calibri" w:cs="Calibri"/>
        </w:rPr>
        <w:t>patri</w:t>
      </w:r>
      <w:r w:rsidR="00E175CD" w:rsidRPr="001F52A8">
        <w:rPr>
          <w:rFonts w:ascii="Calibri" w:hAnsi="Calibri" w:cs="Calibri"/>
        </w:rPr>
        <w:t>local</w:t>
      </w:r>
      <w:r w:rsidR="008129E0" w:rsidRPr="001F52A8">
        <w:rPr>
          <w:rFonts w:ascii="Calibri" w:hAnsi="Calibri" w:cs="Calibri"/>
        </w:rPr>
        <w:t xml:space="preserve">: </w:t>
      </w:r>
      <w:r w:rsidR="0063657C" w:rsidRPr="001F52A8">
        <w:rPr>
          <w:rFonts w:ascii="Calibri" w:hAnsi="Calibri" w:cs="Calibri"/>
        </w:rPr>
        <w:t>when a woman marries she joins her husband’s extended family</w:t>
      </w:r>
      <w:r w:rsidR="008129E0" w:rsidRPr="001F52A8">
        <w:rPr>
          <w:rFonts w:ascii="Calibri" w:hAnsi="Calibri" w:cs="Calibri"/>
        </w:rPr>
        <w:t>. It is</w:t>
      </w:r>
      <w:r w:rsidR="00E175CD" w:rsidRPr="001F52A8">
        <w:rPr>
          <w:rFonts w:ascii="Calibri" w:hAnsi="Calibri" w:cs="Calibri"/>
        </w:rPr>
        <w:t xml:space="preserve"> patrilinear</w:t>
      </w:r>
      <w:r w:rsidR="008129E0" w:rsidRPr="001F52A8">
        <w:rPr>
          <w:rFonts w:ascii="Calibri" w:hAnsi="Calibri" w:cs="Calibri"/>
        </w:rPr>
        <w:t xml:space="preserve">: </w:t>
      </w:r>
      <w:r w:rsidR="00206908" w:rsidRPr="001F52A8">
        <w:rPr>
          <w:rFonts w:ascii="Calibri" w:hAnsi="Calibri" w:cs="Calibri"/>
        </w:rPr>
        <w:t xml:space="preserve">it traces </w:t>
      </w:r>
      <w:r w:rsidR="0088003C" w:rsidRPr="001F52A8">
        <w:rPr>
          <w:rFonts w:ascii="Calibri" w:hAnsi="Calibri" w:cs="Calibri"/>
        </w:rPr>
        <w:t xml:space="preserve">its </w:t>
      </w:r>
      <w:r w:rsidR="00E65698" w:rsidRPr="001F52A8">
        <w:rPr>
          <w:rFonts w:ascii="Calibri" w:hAnsi="Calibri" w:cs="Calibri"/>
        </w:rPr>
        <w:t>genealogical line</w:t>
      </w:r>
      <w:r w:rsidR="00B62833" w:rsidRPr="001F52A8">
        <w:rPr>
          <w:rFonts w:ascii="Calibri" w:hAnsi="Calibri" w:cs="Calibri"/>
        </w:rPr>
        <w:t xml:space="preserve"> </w:t>
      </w:r>
      <w:r w:rsidR="00206908" w:rsidRPr="001F52A8">
        <w:rPr>
          <w:rFonts w:ascii="Calibri" w:hAnsi="Calibri" w:cs="Calibri"/>
        </w:rPr>
        <w:t>via the husband</w:t>
      </w:r>
      <w:r w:rsidR="00D02CC7" w:rsidRPr="001F52A8">
        <w:rPr>
          <w:rFonts w:ascii="Calibri" w:hAnsi="Calibri" w:cs="Calibri"/>
        </w:rPr>
        <w:t>,</w:t>
      </w:r>
      <w:r w:rsidR="00206908" w:rsidRPr="001F52A8">
        <w:rPr>
          <w:rFonts w:ascii="Calibri" w:hAnsi="Calibri" w:cs="Calibri"/>
        </w:rPr>
        <w:t xml:space="preserve"> and its male line </w:t>
      </w:r>
      <w:r w:rsidR="000F7405" w:rsidRPr="001F52A8">
        <w:rPr>
          <w:rFonts w:ascii="Calibri" w:hAnsi="Calibri" w:cs="Calibri"/>
        </w:rPr>
        <w:t>has responsibility for the family assets</w:t>
      </w:r>
      <w:r w:rsidR="00A301AE" w:rsidRPr="001F52A8">
        <w:rPr>
          <w:rFonts w:ascii="Calibri" w:hAnsi="Calibri" w:cs="Calibri"/>
        </w:rPr>
        <w:t xml:space="preserve">. </w:t>
      </w:r>
      <w:r w:rsidR="00E2477B" w:rsidRPr="001F52A8">
        <w:rPr>
          <w:rFonts w:ascii="Calibri" w:hAnsi="Calibri" w:cs="Calibri"/>
        </w:rPr>
        <w:lastRenderedPageBreak/>
        <w:t>The story thus works with an order in which the husband has formal primacy</w:t>
      </w:r>
      <w:r w:rsidR="00E2477B">
        <w:rPr>
          <w:rFonts w:ascii="Calibri" w:hAnsi="Calibri" w:cs="Calibri"/>
        </w:rPr>
        <w:t>, a</w:t>
      </w:r>
      <w:r w:rsidR="00E2477B" w:rsidRPr="001F52A8">
        <w:rPr>
          <w:rFonts w:cstheme="minorHAnsi"/>
        </w:rPr>
        <w:t xml:space="preserve">nd </w:t>
      </w:r>
      <w:r w:rsidR="00045050">
        <w:rPr>
          <w:rFonts w:cstheme="minorHAnsi"/>
        </w:rPr>
        <w:t xml:space="preserve">its </w:t>
      </w:r>
      <w:r w:rsidR="00E2477B" w:rsidRPr="001F52A8">
        <w:rPr>
          <w:rFonts w:cstheme="minorHAnsi"/>
        </w:rPr>
        <w:t>open</w:t>
      </w:r>
      <w:r w:rsidR="00045050">
        <w:rPr>
          <w:rFonts w:cstheme="minorHAnsi"/>
        </w:rPr>
        <w:t>ing</w:t>
      </w:r>
      <w:r w:rsidR="00E2477B" w:rsidRPr="001F52A8">
        <w:rPr>
          <w:rFonts w:cstheme="minorHAnsi"/>
        </w:rPr>
        <w:t xml:space="preserve"> suggests </w:t>
      </w:r>
      <w:r w:rsidR="00045050">
        <w:rPr>
          <w:rFonts w:cstheme="minorHAnsi"/>
        </w:rPr>
        <w:t xml:space="preserve">that </w:t>
      </w:r>
      <w:r w:rsidR="00E2477B" w:rsidRPr="001F52A8">
        <w:rPr>
          <w:rFonts w:cstheme="minorHAnsi"/>
        </w:rPr>
        <w:t>Elqanah will be its hero or subject, but he isn’t.</w:t>
      </w:r>
      <w:r w:rsidR="00E2477B" w:rsidRPr="001F52A8">
        <w:rPr>
          <w:rStyle w:val="FootnoteReference"/>
          <w:rFonts w:cstheme="minorHAnsi"/>
        </w:rPr>
        <w:footnoteReference w:id="32"/>
      </w:r>
      <w:r w:rsidR="00E2477B" w:rsidRPr="001F52A8">
        <w:rPr>
          <w:rFonts w:cstheme="minorHAnsi"/>
        </w:rPr>
        <w:t xml:space="preserve"> </w:t>
      </w:r>
      <w:r w:rsidR="00E2477B">
        <w:rPr>
          <w:rFonts w:ascii="Calibri" w:hAnsi="Calibri" w:cs="Calibri"/>
        </w:rPr>
        <w:t>The family</w:t>
      </w:r>
      <w:r w:rsidR="00A301AE" w:rsidRPr="001F52A8">
        <w:rPr>
          <w:rFonts w:ascii="Calibri" w:hAnsi="Calibri" w:cs="Calibri"/>
        </w:rPr>
        <w:t xml:space="preserve"> is </w:t>
      </w:r>
      <w:r w:rsidR="00434340" w:rsidRPr="001F52A8">
        <w:rPr>
          <w:rFonts w:ascii="Calibri" w:hAnsi="Calibri" w:cs="Calibri"/>
        </w:rPr>
        <w:t xml:space="preserve">apparently </w:t>
      </w:r>
      <w:r w:rsidR="00583C89" w:rsidRPr="001F52A8">
        <w:rPr>
          <w:rFonts w:ascii="Calibri" w:hAnsi="Calibri" w:cs="Calibri"/>
        </w:rPr>
        <w:t xml:space="preserve">not </w:t>
      </w:r>
      <w:r w:rsidR="008C0DCB" w:rsidRPr="001F52A8">
        <w:rPr>
          <w:rFonts w:ascii="Calibri" w:hAnsi="Calibri" w:cs="Calibri"/>
        </w:rPr>
        <w:t>patriarchal</w:t>
      </w:r>
      <w:r w:rsidR="009E31D4" w:rsidRPr="001F52A8">
        <w:rPr>
          <w:rFonts w:ascii="Calibri" w:hAnsi="Calibri" w:cs="Calibri"/>
        </w:rPr>
        <w:t xml:space="preserve">, any more than </w:t>
      </w:r>
      <w:r w:rsidR="006127AF" w:rsidRPr="001F52A8">
        <w:rPr>
          <w:rFonts w:ascii="Calibri" w:hAnsi="Calibri" w:cs="Calibri"/>
        </w:rPr>
        <w:t xml:space="preserve">the First Testament generally </w:t>
      </w:r>
      <w:r w:rsidR="009610B2" w:rsidRPr="001F52A8">
        <w:rPr>
          <w:rFonts w:ascii="Calibri" w:hAnsi="Calibri" w:cs="Calibri"/>
        </w:rPr>
        <w:t>thinks</w:t>
      </w:r>
      <w:r w:rsidR="006127AF" w:rsidRPr="001F52A8">
        <w:rPr>
          <w:rFonts w:ascii="Calibri" w:hAnsi="Calibri" w:cs="Calibri"/>
        </w:rPr>
        <w:t xml:space="preserve"> </w:t>
      </w:r>
      <w:r w:rsidR="009E31D4" w:rsidRPr="001F52A8">
        <w:rPr>
          <w:rFonts w:ascii="Calibri" w:hAnsi="Calibri" w:cs="Calibri"/>
        </w:rPr>
        <w:t xml:space="preserve">Israelite marriages </w:t>
      </w:r>
      <w:r w:rsidR="009610B2" w:rsidRPr="001F52A8">
        <w:rPr>
          <w:rFonts w:ascii="Calibri" w:hAnsi="Calibri" w:cs="Calibri"/>
        </w:rPr>
        <w:t>should</w:t>
      </w:r>
      <w:r w:rsidR="006127AF" w:rsidRPr="001F52A8">
        <w:rPr>
          <w:rFonts w:ascii="Calibri" w:hAnsi="Calibri" w:cs="Calibri"/>
        </w:rPr>
        <w:t xml:space="preserve"> be</w:t>
      </w:r>
      <w:r w:rsidR="009E31D4" w:rsidRPr="001F52A8">
        <w:rPr>
          <w:rFonts w:ascii="Calibri" w:hAnsi="Calibri" w:cs="Calibri"/>
        </w:rPr>
        <w:t>.</w:t>
      </w:r>
      <w:r w:rsidR="00154F5C" w:rsidRPr="001F52A8">
        <w:rPr>
          <w:rStyle w:val="FootnoteReference"/>
          <w:rFonts w:ascii="Calibri" w:hAnsi="Calibri" w:cs="Calibri"/>
        </w:rPr>
        <w:footnoteReference w:id="33"/>
      </w:r>
      <w:r w:rsidR="00686A33" w:rsidRPr="001F52A8">
        <w:rPr>
          <w:rFonts w:ascii="Calibri" w:hAnsi="Calibri" w:cs="Calibri"/>
        </w:rPr>
        <w:t xml:space="preserve"> </w:t>
      </w:r>
      <w:r w:rsidR="00EE3513" w:rsidRPr="001F52A8">
        <w:rPr>
          <w:rFonts w:ascii="Calibri" w:hAnsi="Calibri" w:cs="Calibri"/>
        </w:rPr>
        <w:t>Elqanah loves Hannah, and she is “his woman,” but he is also “her man” (1:8, 19; Hebrew regularly uses the ordinary words for “man” and “woman” to denote “husband” and “wife”</w:t>
      </w:r>
      <w:r w:rsidR="00EE3513">
        <w:rPr>
          <w:rFonts w:ascii="Calibri" w:hAnsi="Calibri" w:cs="Calibri"/>
        </w:rPr>
        <w:t>).</w:t>
      </w:r>
      <w:r w:rsidR="00EE3513" w:rsidRPr="001F52A8">
        <w:rPr>
          <w:rFonts w:ascii="Calibri" w:hAnsi="Calibri" w:cs="Calibri"/>
        </w:rPr>
        <w:t xml:space="preserve"> </w:t>
      </w:r>
      <w:r w:rsidR="00104361">
        <w:t>After the festival, t</w:t>
      </w:r>
      <w:r w:rsidR="00104361" w:rsidRPr="001F52A8">
        <w:t>ogether they get up early, together they worship, and together they go home (1:19).</w:t>
      </w:r>
      <w:r w:rsidR="00104361" w:rsidRPr="001F52A8">
        <w:rPr>
          <w:rStyle w:val="FootnoteReference"/>
        </w:rPr>
        <w:footnoteReference w:id="34"/>
      </w:r>
      <w:r w:rsidR="00104361" w:rsidRPr="001F52A8">
        <w:t xml:space="preserve"> </w:t>
      </w:r>
      <w:r w:rsidR="005A2859" w:rsidRPr="001F52A8">
        <w:rPr>
          <w:rFonts w:ascii="Calibri" w:hAnsi="Calibri" w:cs="Calibri"/>
        </w:rPr>
        <w:t>Hannah negotiate</w:t>
      </w:r>
      <w:r w:rsidR="00C9113D">
        <w:rPr>
          <w:rFonts w:ascii="Calibri" w:hAnsi="Calibri" w:cs="Calibri"/>
        </w:rPr>
        <w:t>s</w:t>
      </w:r>
      <w:r w:rsidR="005A2859" w:rsidRPr="001F52A8">
        <w:rPr>
          <w:rFonts w:ascii="Calibri" w:hAnsi="Calibri" w:cs="Calibri"/>
        </w:rPr>
        <w:t xml:space="preserve"> on an equal basis with Elqanah over going to the festival next time and about giving her baby to Yahweh. Elqanah’s “do what is good in your eyes” (1:23) </w:t>
      </w:r>
      <w:r w:rsidR="004C2842">
        <w:rPr>
          <w:rFonts w:ascii="Calibri" w:hAnsi="Calibri" w:cs="Calibri"/>
        </w:rPr>
        <w:t>contrasts with</w:t>
      </w:r>
      <w:r w:rsidR="005A2859" w:rsidRPr="001F52A8">
        <w:rPr>
          <w:rFonts w:ascii="Calibri" w:hAnsi="Calibri" w:cs="Calibri"/>
        </w:rPr>
        <w:t xml:space="preserve"> the “do what was upright in his eyes” at the end of Judges</w:t>
      </w:r>
      <w:r w:rsidR="003E162B">
        <w:rPr>
          <w:rFonts w:ascii="Calibri" w:hAnsi="Calibri" w:cs="Calibri"/>
        </w:rPr>
        <w:t>.</w:t>
      </w:r>
      <w:r w:rsidR="005A2859" w:rsidRPr="001F52A8">
        <w:rPr>
          <w:rFonts w:cstheme="minorHAnsi"/>
        </w:rPr>
        <w:t xml:space="preserve"> </w:t>
      </w:r>
      <w:r w:rsidR="00524755">
        <w:rPr>
          <w:rFonts w:cstheme="minorHAnsi"/>
        </w:rPr>
        <w:t>Hannah</w:t>
      </w:r>
      <w:r w:rsidR="0021322B">
        <w:rPr>
          <w:rFonts w:cstheme="minorHAnsi"/>
        </w:rPr>
        <w:t xml:space="preserve"> can </w:t>
      </w:r>
      <w:r w:rsidR="00524755">
        <w:rPr>
          <w:rFonts w:cstheme="minorHAnsi"/>
        </w:rPr>
        <w:t xml:space="preserve">then </w:t>
      </w:r>
      <w:r w:rsidR="0021322B">
        <w:rPr>
          <w:rFonts w:cstheme="minorHAnsi"/>
        </w:rPr>
        <w:t xml:space="preserve">stay home while </w:t>
      </w:r>
      <w:r w:rsidR="005A2859" w:rsidRPr="001F52A8">
        <w:rPr>
          <w:rFonts w:cstheme="minorHAnsi"/>
        </w:rPr>
        <w:t>Elqanah</w:t>
      </w:r>
      <w:r w:rsidR="003E162B">
        <w:rPr>
          <w:rFonts w:cstheme="minorHAnsi"/>
        </w:rPr>
        <w:t xml:space="preserve"> </w:t>
      </w:r>
      <w:r w:rsidR="00972120">
        <w:rPr>
          <w:rFonts w:cstheme="minorHAnsi"/>
        </w:rPr>
        <w:t>takes</w:t>
      </w:r>
      <w:r w:rsidR="005A2859" w:rsidRPr="001F52A8">
        <w:rPr>
          <w:rFonts w:cstheme="minorHAnsi"/>
        </w:rPr>
        <w:t xml:space="preserve"> the family to make the regular sacrifice and an extra sacrifice he has promised (1:21)</w:t>
      </w:r>
      <w:r w:rsidR="00F06D69">
        <w:rPr>
          <w:rFonts w:cstheme="minorHAnsi"/>
        </w:rPr>
        <w:t xml:space="preserve">, perhaps </w:t>
      </w:r>
      <w:r w:rsidR="005A2859" w:rsidRPr="001F52A8">
        <w:rPr>
          <w:rFonts w:cstheme="minorHAnsi"/>
        </w:rPr>
        <w:t>one made by the household relating to the harvest or the family or Hannah’s baby.</w:t>
      </w:r>
      <w:r w:rsidR="005A2859">
        <w:rPr>
          <w:rFonts w:cstheme="minorHAnsi"/>
        </w:rPr>
        <w:t xml:space="preserve"> </w:t>
      </w:r>
      <w:r w:rsidR="00104361" w:rsidRPr="001F52A8">
        <w:t xml:space="preserve">It </w:t>
      </w:r>
      <w:r w:rsidR="007063D4">
        <w:t>seems that</w:t>
      </w:r>
      <w:r w:rsidR="00104361" w:rsidRPr="001F52A8">
        <w:t xml:space="preserve"> they </w:t>
      </w:r>
      <w:r w:rsidR="00F06D69">
        <w:t>subsequently</w:t>
      </w:r>
      <w:r w:rsidR="00B1759E">
        <w:t xml:space="preserve"> </w:t>
      </w:r>
      <w:r w:rsidR="00104361" w:rsidRPr="001F52A8">
        <w:t>go together to surrender Samuel</w:t>
      </w:r>
      <w:r w:rsidR="00D70C3C">
        <w:t>. T</w:t>
      </w:r>
      <w:r w:rsidR="00104361" w:rsidRPr="001F52A8">
        <w:t xml:space="preserve">he </w:t>
      </w:r>
      <w:r w:rsidR="00D70C3C">
        <w:t>narrative</w:t>
      </w:r>
      <w:r w:rsidR="00104361" w:rsidRPr="001F52A8">
        <w:t xml:space="preserve"> says that Hannah went up with Samuel, but “they” slaughtered the sacrifice and brought Samuel to Eli</w:t>
      </w:r>
      <w:r w:rsidR="00B1759E">
        <w:t>, and it</w:t>
      </w:r>
      <w:r w:rsidR="00104361" w:rsidRPr="001F52A8">
        <w:t xml:space="preserve"> makes sense if “they” then worship</w:t>
      </w:r>
      <w:r w:rsidR="00BB33CA">
        <w:t>ed</w:t>
      </w:r>
      <w:r w:rsidR="00104361" w:rsidRPr="001F52A8">
        <w:t xml:space="preserve"> there (1:28).</w:t>
      </w:r>
      <w:r w:rsidR="00104361" w:rsidRPr="001F52A8">
        <w:rPr>
          <w:rStyle w:val="FootnoteReference"/>
        </w:rPr>
        <w:footnoteReference w:id="35"/>
      </w:r>
    </w:p>
    <w:p w14:paraId="5576CDDA" w14:textId="5880448D" w:rsidR="000871AA" w:rsidRPr="001F52A8" w:rsidRDefault="00EE3513" w:rsidP="000871AA">
      <w:r w:rsidRPr="001F52A8">
        <w:rPr>
          <w:rFonts w:ascii="Calibri" w:hAnsi="Calibri" w:cs="Calibri"/>
        </w:rPr>
        <w:t xml:space="preserve">It is </w:t>
      </w:r>
      <w:r w:rsidR="00D35222">
        <w:rPr>
          <w:rFonts w:ascii="Calibri" w:hAnsi="Calibri" w:cs="Calibri"/>
        </w:rPr>
        <w:t>Hannah</w:t>
      </w:r>
      <w:r w:rsidRPr="001F52A8">
        <w:rPr>
          <w:rFonts w:ascii="Calibri" w:hAnsi="Calibri" w:cs="Calibri"/>
        </w:rPr>
        <w:t xml:space="preserve"> who names her baby; i</w:t>
      </w:r>
      <w:r w:rsidRPr="001F52A8">
        <w:rPr>
          <w:rFonts w:cstheme="minorHAnsi"/>
        </w:rPr>
        <w:t xml:space="preserve">n the First Testament, naming a baby can be the task of father or mother or both, another indication </w:t>
      </w:r>
      <w:r w:rsidR="002669FC">
        <w:rPr>
          <w:rFonts w:cstheme="minorHAnsi"/>
        </w:rPr>
        <w:t>of</w:t>
      </w:r>
      <w:r w:rsidRPr="001F52A8">
        <w:rPr>
          <w:rFonts w:cstheme="minorHAnsi"/>
        </w:rPr>
        <w:t xml:space="preserve"> a difference between the </w:t>
      </w:r>
      <w:r w:rsidR="002669FC">
        <w:rPr>
          <w:rFonts w:cstheme="minorHAnsi"/>
        </w:rPr>
        <w:t>father’s forma</w:t>
      </w:r>
      <w:r w:rsidRPr="001F52A8">
        <w:rPr>
          <w:rFonts w:cstheme="minorHAnsi"/>
        </w:rPr>
        <w:t xml:space="preserve">l power in relation to the world outside the family and the power within the family. </w:t>
      </w:r>
      <w:r w:rsidR="0068427C">
        <w:rPr>
          <w:rFonts w:ascii="Calibri" w:hAnsi="Calibri" w:cs="Calibri"/>
        </w:rPr>
        <w:t>T</w:t>
      </w:r>
      <w:r w:rsidR="00686A33" w:rsidRPr="001F52A8">
        <w:rPr>
          <w:rFonts w:ascii="Calibri" w:hAnsi="Calibri" w:cs="Calibri"/>
        </w:rPr>
        <w:t xml:space="preserve">he husband </w:t>
      </w:r>
      <w:r w:rsidR="00434340" w:rsidRPr="001F52A8">
        <w:rPr>
          <w:rFonts w:ascii="Calibri" w:hAnsi="Calibri" w:cs="Calibri"/>
        </w:rPr>
        <w:t>does</w:t>
      </w:r>
      <w:r w:rsidR="008331E7">
        <w:rPr>
          <w:rFonts w:ascii="Calibri" w:hAnsi="Calibri" w:cs="Calibri"/>
        </w:rPr>
        <w:t xml:space="preserve">n’t </w:t>
      </w:r>
      <w:r w:rsidR="00686A33" w:rsidRPr="001F52A8">
        <w:rPr>
          <w:rFonts w:ascii="Calibri" w:hAnsi="Calibri" w:cs="Calibri"/>
        </w:rPr>
        <w:t>ha</w:t>
      </w:r>
      <w:r w:rsidR="00434340" w:rsidRPr="001F52A8">
        <w:rPr>
          <w:rFonts w:ascii="Calibri" w:hAnsi="Calibri" w:cs="Calibri"/>
        </w:rPr>
        <w:t>ve</w:t>
      </w:r>
      <w:r w:rsidR="00686A33" w:rsidRPr="001F52A8">
        <w:rPr>
          <w:rFonts w:ascii="Calibri" w:hAnsi="Calibri" w:cs="Calibri"/>
        </w:rPr>
        <w:t xml:space="preserve"> authority to make decisions for the family</w:t>
      </w:r>
      <w:r w:rsidR="00343059" w:rsidRPr="001F52A8">
        <w:rPr>
          <w:rFonts w:ascii="Calibri" w:hAnsi="Calibri" w:cs="Calibri"/>
        </w:rPr>
        <w:t xml:space="preserve"> </w:t>
      </w:r>
      <w:r w:rsidR="00315BE1" w:rsidRPr="001F52A8">
        <w:rPr>
          <w:rFonts w:ascii="Calibri" w:hAnsi="Calibri" w:cs="Calibri"/>
        </w:rPr>
        <w:t>nor do his</w:t>
      </w:r>
      <w:r w:rsidR="00343059" w:rsidRPr="001F52A8">
        <w:rPr>
          <w:rFonts w:ascii="Calibri" w:hAnsi="Calibri" w:cs="Calibri"/>
        </w:rPr>
        <w:t xml:space="preserve"> wives have to submit to their husband’s authority</w:t>
      </w:r>
      <w:r w:rsidR="00F41807">
        <w:rPr>
          <w:rFonts w:ascii="Calibri" w:hAnsi="Calibri" w:cs="Calibri"/>
        </w:rPr>
        <w:t>. N</w:t>
      </w:r>
      <w:r w:rsidR="006A278B" w:rsidRPr="001F52A8">
        <w:rPr>
          <w:rFonts w:ascii="Calibri" w:hAnsi="Calibri" w:cs="Calibri"/>
        </w:rPr>
        <w:t>or does the First Testament suggest that a wife’s main role is to have children</w:t>
      </w:r>
      <w:r w:rsidR="0068427C">
        <w:rPr>
          <w:rFonts w:ascii="Calibri" w:hAnsi="Calibri" w:cs="Calibri"/>
        </w:rPr>
        <w:t>.</w:t>
      </w:r>
      <w:r w:rsidR="00102AAF" w:rsidRPr="001F52A8">
        <w:rPr>
          <w:rFonts w:ascii="Calibri" w:hAnsi="Calibri" w:cs="Calibri"/>
        </w:rPr>
        <w:t xml:space="preserve"> Proverbs 31:10</w:t>
      </w:r>
      <w:r w:rsidR="00DB7B03" w:rsidRPr="001F52A8">
        <w:rPr>
          <w:rFonts w:ascii="Calibri" w:hAnsi="Calibri" w:cs="Calibri"/>
        </w:rPr>
        <w:t>-</w:t>
      </w:r>
      <w:r w:rsidR="00102AAF" w:rsidRPr="001F52A8">
        <w:rPr>
          <w:rFonts w:ascii="Calibri" w:hAnsi="Calibri" w:cs="Calibri"/>
        </w:rPr>
        <w:t>31 indicates how</w:t>
      </w:r>
      <w:r w:rsidR="0057608D" w:rsidRPr="001F52A8">
        <w:t xml:space="preserve"> being a mother is </w:t>
      </w:r>
      <w:r w:rsidR="00D406C4" w:rsidRPr="001F52A8">
        <w:t xml:space="preserve">not </w:t>
      </w:r>
      <w:r w:rsidR="0057608D" w:rsidRPr="001F52A8">
        <w:t>the only way a woman can be significant</w:t>
      </w:r>
      <w:r w:rsidR="001E324B">
        <w:t>. B</w:t>
      </w:r>
      <w:r w:rsidR="00154F5C" w:rsidRPr="001F52A8">
        <w:rPr>
          <w:rFonts w:cstheme="minorHAnsi"/>
        </w:rPr>
        <w:t>oth for a woman</w:t>
      </w:r>
      <w:r w:rsidR="00154F5C" w:rsidRPr="001F52A8">
        <w:t xml:space="preserve"> and for a man the family is where they find their significance and work.</w:t>
      </w:r>
      <w:r w:rsidR="003827FB">
        <w:t xml:space="preserve"> </w:t>
      </w:r>
      <w:r w:rsidR="005A5551" w:rsidRPr="001F52A8">
        <w:rPr>
          <w:rFonts w:cstheme="minorHAnsi"/>
        </w:rPr>
        <w:t xml:space="preserve">Like other women in the First Testament story such as Rebekah, </w:t>
      </w:r>
      <w:r w:rsidR="005A5551">
        <w:rPr>
          <w:rFonts w:cstheme="minorHAnsi"/>
        </w:rPr>
        <w:t>Hannah</w:t>
      </w:r>
      <w:r w:rsidR="005A5551" w:rsidRPr="001F52A8">
        <w:rPr>
          <w:rFonts w:cstheme="minorHAnsi"/>
        </w:rPr>
        <w:t xml:space="preserve"> assume</w:t>
      </w:r>
      <w:r w:rsidR="00B95651">
        <w:rPr>
          <w:rFonts w:cstheme="minorHAnsi"/>
        </w:rPr>
        <w:t>s freedom</w:t>
      </w:r>
      <w:r w:rsidR="005A5551" w:rsidRPr="001F52A8">
        <w:rPr>
          <w:rFonts w:cstheme="minorHAnsi"/>
        </w:rPr>
        <w:t xml:space="preserve"> to approach Yahweh</w:t>
      </w:r>
      <w:r w:rsidR="00B95651">
        <w:rPr>
          <w:rFonts w:cstheme="minorHAnsi"/>
        </w:rPr>
        <w:t>;</w:t>
      </w:r>
      <w:r w:rsidR="005A5551" w:rsidRPr="001F52A8">
        <w:rPr>
          <w:rFonts w:cstheme="minorHAnsi"/>
        </w:rPr>
        <w:t xml:space="preserve"> she doesn’t need </w:t>
      </w:r>
      <w:r w:rsidR="00B95651">
        <w:rPr>
          <w:rFonts w:cstheme="minorHAnsi"/>
        </w:rPr>
        <w:t>a priest’s</w:t>
      </w:r>
      <w:r w:rsidR="005A5551" w:rsidRPr="001F52A8">
        <w:rPr>
          <w:rFonts w:cstheme="minorHAnsi"/>
        </w:rPr>
        <w:t xml:space="preserve"> mediation</w:t>
      </w:r>
      <w:r w:rsidR="005A5551">
        <w:rPr>
          <w:rFonts w:cstheme="minorHAnsi"/>
        </w:rPr>
        <w:t>. S</w:t>
      </w:r>
      <w:r w:rsidR="005A5551" w:rsidRPr="001F52A8">
        <w:rPr>
          <w:rFonts w:ascii="Calibri" w:hAnsi="Calibri" w:cs="Calibri"/>
        </w:rPr>
        <w:t xml:space="preserve">he is also free to negotiate with Eli and be glad of his blessing. </w:t>
      </w:r>
      <w:r w:rsidR="000871AA">
        <w:t>T</w:t>
      </w:r>
      <w:r w:rsidR="000871AA" w:rsidRPr="001F52A8">
        <w:t>he stories of Abraham and Sarah, Isaac and Rebekah, and Jacob and Rachel and Leah show how in Israel as in Western societies, often it is the women who have the effective power</w:t>
      </w:r>
      <w:r w:rsidR="00E67461">
        <w:t>, and</w:t>
      </w:r>
      <w:r w:rsidR="000871AA" w:rsidRPr="001F52A8">
        <w:t xml:space="preserve"> </w:t>
      </w:r>
      <w:r w:rsidR="00E67461">
        <w:rPr>
          <w:rFonts w:ascii="Calibri" w:hAnsi="Calibri" w:cs="Calibri"/>
        </w:rPr>
        <w:t>t</w:t>
      </w:r>
      <w:r w:rsidR="000871AA" w:rsidRPr="001F52A8">
        <w:rPr>
          <w:rFonts w:ascii="Calibri" w:hAnsi="Calibri" w:cs="Calibri"/>
        </w:rPr>
        <w:t xml:space="preserve">he </w:t>
      </w:r>
      <w:r w:rsidR="00180B2E">
        <w:rPr>
          <w:rFonts w:ascii="Calibri" w:hAnsi="Calibri" w:cs="Calibri"/>
        </w:rPr>
        <w:t xml:space="preserve">Hannah </w:t>
      </w:r>
      <w:r w:rsidR="000871AA" w:rsidRPr="001F52A8">
        <w:rPr>
          <w:rFonts w:ascii="Calibri" w:hAnsi="Calibri" w:cs="Calibri"/>
        </w:rPr>
        <w:t xml:space="preserve">story </w:t>
      </w:r>
      <w:r w:rsidR="00180B2E">
        <w:rPr>
          <w:rFonts w:ascii="Calibri" w:hAnsi="Calibri" w:cs="Calibri"/>
        </w:rPr>
        <w:t>“</w:t>
      </w:r>
      <w:r w:rsidR="000871AA" w:rsidRPr="001F52A8">
        <w:rPr>
          <w:rFonts w:ascii="Calibri" w:hAnsi="Calibri" w:cs="Calibri"/>
        </w:rPr>
        <w:t>is, if anything, a matriarchal story.”</w:t>
      </w:r>
      <w:r w:rsidR="000871AA" w:rsidRPr="001F52A8">
        <w:rPr>
          <w:rStyle w:val="FootnoteReference"/>
          <w:rFonts w:ascii="Calibri" w:hAnsi="Calibri" w:cs="Calibri"/>
        </w:rPr>
        <w:footnoteReference w:id="36"/>
      </w:r>
      <w:r w:rsidR="000871AA">
        <w:rPr>
          <w:rFonts w:ascii="Calibri" w:hAnsi="Calibri" w:cs="Calibri"/>
        </w:rPr>
        <w:t xml:space="preserve"> </w:t>
      </w:r>
      <w:r w:rsidR="00B97B69">
        <w:rPr>
          <w:rFonts w:ascii="Calibri" w:hAnsi="Calibri" w:cs="Calibri"/>
        </w:rPr>
        <w:t xml:space="preserve">While </w:t>
      </w:r>
      <w:r w:rsidR="000871AA" w:rsidRPr="001F52A8">
        <w:rPr>
          <w:rFonts w:ascii="Calibri" w:hAnsi="Calibri" w:cs="Calibri"/>
        </w:rPr>
        <w:t xml:space="preserve">a husband </w:t>
      </w:r>
      <w:r w:rsidR="00B97B69">
        <w:rPr>
          <w:rFonts w:ascii="Calibri" w:hAnsi="Calibri" w:cs="Calibri"/>
        </w:rPr>
        <w:t>might</w:t>
      </w:r>
      <w:r w:rsidR="000871AA" w:rsidRPr="001F52A8">
        <w:rPr>
          <w:rFonts w:ascii="Calibri" w:hAnsi="Calibri" w:cs="Calibri"/>
        </w:rPr>
        <w:t xml:space="preserve"> exercise authoritarian and oppressive power over the family, the First Testament does not tell of families hav</w:t>
      </w:r>
      <w:r w:rsidR="00B97B69">
        <w:rPr>
          <w:rFonts w:ascii="Calibri" w:hAnsi="Calibri" w:cs="Calibri"/>
        </w:rPr>
        <w:t>ing</w:t>
      </w:r>
      <w:r w:rsidR="000871AA" w:rsidRPr="001F52A8">
        <w:rPr>
          <w:rFonts w:ascii="Calibri" w:hAnsi="Calibri" w:cs="Calibri"/>
        </w:rPr>
        <w:t xml:space="preserve"> that problem, and its main block of family stories in Genesis portray wives behaving in at least as feisty a way as Hannah. </w:t>
      </w:r>
      <w:r w:rsidR="00B97B69">
        <w:rPr>
          <w:rFonts w:ascii="Calibri" w:hAnsi="Calibri" w:cs="Calibri"/>
        </w:rPr>
        <w:t>H</w:t>
      </w:r>
      <w:r w:rsidR="000871AA" w:rsidRPr="001F52A8">
        <w:rPr>
          <w:rFonts w:ascii="Calibri" w:hAnsi="Calibri" w:cs="Calibri"/>
        </w:rPr>
        <w:t xml:space="preserve">er story illustrates how </w:t>
      </w:r>
      <w:r w:rsidR="000871AA" w:rsidRPr="001F52A8">
        <w:t>behind the great man there is often a great woman (</w:t>
      </w:r>
      <w:r w:rsidR="002F3448">
        <w:t xml:space="preserve">cf. </w:t>
      </w:r>
      <w:r w:rsidR="000871AA" w:rsidRPr="001F52A8">
        <w:t>Exod 1 – 2; Luke 1 – 2).</w:t>
      </w:r>
      <w:r w:rsidR="000871AA">
        <w:t xml:space="preserve"> </w:t>
      </w:r>
    </w:p>
    <w:p w14:paraId="0E00F547" w14:textId="10D55B0C" w:rsidR="003276ED" w:rsidRPr="001F52A8" w:rsidRDefault="0037473E" w:rsidP="00793017">
      <w:pPr>
        <w:rPr>
          <w:rFonts w:cstheme="minorHAnsi"/>
        </w:rPr>
      </w:pPr>
      <w:r w:rsidRPr="001F52A8">
        <w:rPr>
          <w:rFonts w:ascii="Calibri" w:hAnsi="Calibri" w:cs="Calibri"/>
        </w:rPr>
        <w:t xml:space="preserve">The story does not idealize the family. </w:t>
      </w:r>
      <w:r w:rsidR="00B37398" w:rsidRPr="001F52A8">
        <w:t>Families in the Scriptures are usually dysfunctional, and so is this one. Th</w:t>
      </w:r>
      <w:r w:rsidR="006700BC">
        <w:t>is</w:t>
      </w:r>
      <w:r w:rsidRPr="001F52A8">
        <w:rPr>
          <w:rFonts w:ascii="Calibri" w:hAnsi="Calibri" w:cs="Calibri"/>
        </w:rPr>
        <w:t xml:space="preserve"> family is a </w:t>
      </w:r>
      <w:r w:rsidR="004D759E" w:rsidRPr="001F52A8">
        <w:rPr>
          <w:rFonts w:ascii="Calibri" w:hAnsi="Calibri" w:cs="Calibri"/>
        </w:rPr>
        <w:t xml:space="preserve">locus of conflict, </w:t>
      </w:r>
      <w:r w:rsidR="007D5B91" w:rsidRPr="001F52A8">
        <w:rPr>
          <w:rFonts w:ascii="Calibri" w:hAnsi="Calibri" w:cs="Calibri"/>
        </w:rPr>
        <w:t>and grievous</w:t>
      </w:r>
      <w:r w:rsidR="006700BC">
        <w:rPr>
          <w:rFonts w:ascii="Calibri" w:hAnsi="Calibri" w:cs="Calibri"/>
        </w:rPr>
        <w:t>ly</w:t>
      </w:r>
      <w:r w:rsidR="007D5B91" w:rsidRPr="001F52A8">
        <w:rPr>
          <w:rFonts w:ascii="Calibri" w:hAnsi="Calibri" w:cs="Calibri"/>
        </w:rPr>
        <w:t xml:space="preserve"> </w:t>
      </w:r>
      <w:r w:rsidR="00B42FFF" w:rsidRPr="001F52A8">
        <w:rPr>
          <w:rFonts w:ascii="Calibri" w:hAnsi="Calibri" w:cs="Calibri"/>
        </w:rPr>
        <w:t xml:space="preserve">the worship and celebration of the festival is a context </w:t>
      </w:r>
      <w:r w:rsidR="00B42FFF" w:rsidRPr="001F52A8">
        <w:t xml:space="preserve">in which conflict </w:t>
      </w:r>
      <w:r w:rsidR="00AC450E" w:rsidRPr="001F52A8">
        <w:t xml:space="preserve">emerges. </w:t>
      </w:r>
      <w:r w:rsidR="00174B76">
        <w:rPr>
          <w:rFonts w:cstheme="minorHAnsi"/>
        </w:rPr>
        <w:t xml:space="preserve">While </w:t>
      </w:r>
      <w:r w:rsidR="00724FEA" w:rsidRPr="001F52A8">
        <w:rPr>
          <w:rFonts w:cstheme="minorHAnsi"/>
        </w:rPr>
        <w:t xml:space="preserve">this occasion was potentially one that expressed and strengthen the </w:t>
      </w:r>
      <w:r w:rsidR="00D16F4D">
        <w:rPr>
          <w:rFonts w:cstheme="minorHAnsi"/>
        </w:rPr>
        <w:t xml:space="preserve">family </w:t>
      </w:r>
      <w:r w:rsidR="00724FEA" w:rsidRPr="001F52A8">
        <w:rPr>
          <w:rFonts w:cstheme="minorHAnsi"/>
        </w:rPr>
        <w:t>bond, “</w:t>
      </w:r>
      <w:r w:rsidR="00724FEA" w:rsidRPr="001F52A8">
        <w:rPr>
          <w:rFonts w:eastAsia="MinionPro-Regular" w:cstheme="minorHAnsi"/>
        </w:rPr>
        <w:t>for Hannah,</w:t>
      </w:r>
      <w:r w:rsidR="00724FEA" w:rsidRPr="001F52A8">
        <w:rPr>
          <w:rFonts w:cstheme="minorHAnsi"/>
        </w:rPr>
        <w:t xml:space="preserve"> </w:t>
      </w:r>
      <w:r w:rsidR="00724FEA" w:rsidRPr="001F52A8">
        <w:rPr>
          <w:rFonts w:eastAsia="MinionPro-Regular" w:cstheme="minorHAnsi"/>
        </w:rPr>
        <w:t>it became a nightmare.”</w:t>
      </w:r>
      <w:r w:rsidR="00724FEA" w:rsidRPr="001F52A8">
        <w:rPr>
          <w:rStyle w:val="FootnoteReference"/>
          <w:rFonts w:eastAsia="MinionPro-Regular" w:cstheme="minorHAnsi"/>
        </w:rPr>
        <w:footnoteReference w:id="37"/>
      </w:r>
      <w:r w:rsidR="00724FEA" w:rsidRPr="001F52A8">
        <w:rPr>
          <w:rFonts w:eastAsia="MinionPro-Regular" w:cstheme="minorHAnsi"/>
        </w:rPr>
        <w:t xml:space="preserve"> </w:t>
      </w:r>
      <w:r w:rsidR="00D16F4D">
        <w:t>T</w:t>
      </w:r>
      <w:r w:rsidR="00AC450E" w:rsidRPr="001F52A8">
        <w:t>he story</w:t>
      </w:r>
      <w:r w:rsidR="004D759E" w:rsidRPr="001F52A8">
        <w:rPr>
          <w:rFonts w:ascii="Calibri" w:hAnsi="Calibri" w:cs="Calibri"/>
        </w:rPr>
        <w:t xml:space="preserve"> does not pass judgment on </w:t>
      </w:r>
      <w:r w:rsidR="00AC450E" w:rsidRPr="001F52A8">
        <w:rPr>
          <w:rFonts w:ascii="Calibri" w:hAnsi="Calibri" w:cs="Calibri"/>
        </w:rPr>
        <w:t>the family</w:t>
      </w:r>
      <w:r w:rsidR="004D759E" w:rsidRPr="001F52A8">
        <w:rPr>
          <w:rFonts w:ascii="Calibri" w:hAnsi="Calibri" w:cs="Calibri"/>
        </w:rPr>
        <w:t xml:space="preserve"> in that connection. It is what it is. </w:t>
      </w:r>
      <w:r w:rsidR="00F337E3" w:rsidRPr="001F52A8">
        <w:rPr>
          <w:rFonts w:ascii="Calibri" w:hAnsi="Calibri" w:cs="Calibri"/>
        </w:rPr>
        <w:t xml:space="preserve">Nor does the story pass judgment on its individual members. It’s tempting for readers to </w:t>
      </w:r>
      <w:r w:rsidR="00B47AB9" w:rsidRPr="001F52A8">
        <w:rPr>
          <w:rFonts w:ascii="Calibri" w:hAnsi="Calibri" w:cs="Calibri"/>
        </w:rPr>
        <w:t>critique</w:t>
      </w:r>
      <w:r w:rsidR="005F2696" w:rsidRPr="001F52A8">
        <w:rPr>
          <w:rFonts w:ascii="Calibri" w:hAnsi="Calibri" w:cs="Calibri"/>
        </w:rPr>
        <w:t xml:space="preserve"> Elqanah </w:t>
      </w:r>
      <w:r w:rsidR="00B47AB9" w:rsidRPr="001F52A8">
        <w:rPr>
          <w:rFonts w:ascii="Calibri" w:hAnsi="Calibri" w:cs="Calibri"/>
        </w:rPr>
        <w:t>a</w:t>
      </w:r>
      <w:r w:rsidR="005F2696" w:rsidRPr="001F52A8">
        <w:rPr>
          <w:rFonts w:ascii="Calibri" w:hAnsi="Calibri" w:cs="Calibri"/>
        </w:rPr>
        <w:t xml:space="preserve">s clueless and/or narcissistic in his </w:t>
      </w:r>
      <w:r w:rsidR="009317F9" w:rsidRPr="001F52A8">
        <w:rPr>
          <w:rFonts w:ascii="Calibri" w:hAnsi="Calibri" w:cs="Calibri"/>
        </w:rPr>
        <w:t xml:space="preserve">attempts to reassure </w:t>
      </w:r>
      <w:r w:rsidR="005F2696" w:rsidRPr="001F52A8">
        <w:rPr>
          <w:rFonts w:ascii="Calibri" w:hAnsi="Calibri" w:cs="Calibri"/>
        </w:rPr>
        <w:t>Hannah</w:t>
      </w:r>
      <w:r w:rsidR="009317F9" w:rsidRPr="001F52A8">
        <w:rPr>
          <w:rFonts w:ascii="Calibri" w:hAnsi="Calibri" w:cs="Calibri"/>
        </w:rPr>
        <w:t xml:space="preserve"> about not being able to have </w:t>
      </w:r>
      <w:r w:rsidR="00CF0810" w:rsidRPr="001F52A8">
        <w:rPr>
          <w:rFonts w:ascii="Calibri" w:hAnsi="Calibri" w:cs="Calibri"/>
        </w:rPr>
        <w:t>children</w:t>
      </w:r>
      <w:r w:rsidR="00CA43E7">
        <w:rPr>
          <w:rFonts w:ascii="Calibri" w:hAnsi="Calibri" w:cs="Calibri"/>
        </w:rPr>
        <w:t>,</w:t>
      </w:r>
      <w:r w:rsidR="00B02CF4" w:rsidRPr="001F52A8">
        <w:rPr>
          <w:rFonts w:ascii="Calibri" w:hAnsi="Calibri" w:cs="Calibri"/>
        </w:rPr>
        <w:t xml:space="preserve"> to critique Eli for being judgmental of Hannah in </w:t>
      </w:r>
      <w:r w:rsidR="00B02CF4" w:rsidRPr="001F52A8">
        <w:rPr>
          <w:rFonts w:ascii="Calibri" w:hAnsi="Calibri" w:cs="Calibri"/>
        </w:rPr>
        <w:lastRenderedPageBreak/>
        <w:t xml:space="preserve">his baseless </w:t>
      </w:r>
      <w:r w:rsidR="00881757">
        <w:rPr>
          <w:rFonts w:ascii="Calibri" w:hAnsi="Calibri" w:cs="Calibri"/>
        </w:rPr>
        <w:t>accusation</w:t>
      </w:r>
      <w:r w:rsidR="00B02CF4" w:rsidRPr="001F52A8">
        <w:rPr>
          <w:rFonts w:ascii="Calibri" w:hAnsi="Calibri" w:cs="Calibri"/>
        </w:rPr>
        <w:t xml:space="preserve"> of her</w:t>
      </w:r>
      <w:r w:rsidR="00881757">
        <w:rPr>
          <w:rFonts w:ascii="Calibri" w:hAnsi="Calibri" w:cs="Calibri"/>
        </w:rPr>
        <w:t>,</w:t>
      </w:r>
      <w:r w:rsidR="005B0CDD" w:rsidRPr="001F52A8">
        <w:rPr>
          <w:rFonts w:ascii="Calibri" w:hAnsi="Calibri" w:cs="Calibri"/>
        </w:rPr>
        <w:t xml:space="preserve"> </w:t>
      </w:r>
      <w:r w:rsidR="0065375C" w:rsidRPr="001F52A8">
        <w:rPr>
          <w:rFonts w:ascii="Calibri" w:hAnsi="Calibri" w:cs="Calibri"/>
        </w:rPr>
        <w:t xml:space="preserve">to </w:t>
      </w:r>
      <w:r w:rsidR="00F04636" w:rsidRPr="001F52A8">
        <w:rPr>
          <w:rFonts w:ascii="Calibri" w:hAnsi="Calibri" w:cs="Calibri"/>
        </w:rPr>
        <w:t xml:space="preserve">critique Peninnah </w:t>
      </w:r>
      <w:r w:rsidR="00B45387" w:rsidRPr="001F52A8">
        <w:rPr>
          <w:rFonts w:ascii="Calibri" w:hAnsi="Calibri" w:cs="Calibri"/>
        </w:rPr>
        <w:t>(the “wicked s</w:t>
      </w:r>
      <w:r w:rsidR="00547385" w:rsidRPr="001F52A8">
        <w:rPr>
          <w:rFonts w:ascii="Calibri" w:hAnsi="Calibri" w:cs="Calibri"/>
        </w:rPr>
        <w:t>tepsister”)</w:t>
      </w:r>
      <w:r w:rsidR="00547385" w:rsidRPr="001F52A8">
        <w:rPr>
          <w:rStyle w:val="FootnoteReference"/>
        </w:rPr>
        <w:footnoteReference w:id="38"/>
      </w:r>
      <w:r w:rsidR="00547385" w:rsidRPr="001F52A8">
        <w:rPr>
          <w:rFonts w:ascii="Calibri" w:hAnsi="Calibri" w:cs="Calibri"/>
        </w:rPr>
        <w:t xml:space="preserve"> </w:t>
      </w:r>
      <w:r w:rsidR="00ED64F6" w:rsidRPr="001F52A8">
        <w:rPr>
          <w:rFonts w:ascii="Calibri" w:hAnsi="Calibri" w:cs="Calibri"/>
        </w:rPr>
        <w:t xml:space="preserve">for </w:t>
      </w:r>
      <w:r w:rsidR="0080026A" w:rsidRPr="001F52A8">
        <w:rPr>
          <w:rFonts w:ascii="Calibri" w:hAnsi="Calibri" w:cs="Calibri"/>
        </w:rPr>
        <w:t>be</w:t>
      </w:r>
      <w:r w:rsidR="00293138" w:rsidRPr="001F52A8">
        <w:rPr>
          <w:rFonts w:ascii="Calibri" w:hAnsi="Calibri" w:cs="Calibri"/>
        </w:rPr>
        <w:t>i</w:t>
      </w:r>
      <w:r w:rsidR="0080026A" w:rsidRPr="001F52A8">
        <w:rPr>
          <w:rFonts w:ascii="Calibri" w:hAnsi="Calibri" w:cs="Calibri"/>
        </w:rPr>
        <w:t>ng resentful of Hannah</w:t>
      </w:r>
      <w:r w:rsidR="00C217AA">
        <w:rPr>
          <w:rFonts w:ascii="Calibri" w:hAnsi="Calibri" w:cs="Calibri"/>
        </w:rPr>
        <w:t>,</w:t>
      </w:r>
      <w:r w:rsidR="0080026A" w:rsidRPr="001F52A8">
        <w:rPr>
          <w:rFonts w:ascii="Calibri" w:hAnsi="Calibri" w:cs="Calibri"/>
        </w:rPr>
        <w:t xml:space="preserve"> </w:t>
      </w:r>
      <w:r w:rsidR="00C135E0" w:rsidRPr="001F52A8">
        <w:rPr>
          <w:rFonts w:ascii="Calibri" w:hAnsi="Calibri" w:cs="Calibri"/>
        </w:rPr>
        <w:t>vex</w:t>
      </w:r>
      <w:r w:rsidR="0096338B" w:rsidRPr="001F52A8">
        <w:rPr>
          <w:rFonts w:ascii="Calibri" w:hAnsi="Calibri" w:cs="Calibri"/>
        </w:rPr>
        <w:t>ing</w:t>
      </w:r>
      <w:r w:rsidR="00051EC7" w:rsidRPr="001F52A8">
        <w:rPr>
          <w:rFonts w:ascii="Calibri" w:hAnsi="Calibri" w:cs="Calibri"/>
        </w:rPr>
        <w:t xml:space="preserve"> </w:t>
      </w:r>
      <w:r w:rsidR="0080026A" w:rsidRPr="001F52A8">
        <w:rPr>
          <w:rFonts w:ascii="Calibri" w:hAnsi="Calibri" w:cs="Calibri"/>
        </w:rPr>
        <w:t>her</w:t>
      </w:r>
      <w:r w:rsidR="00C217AA">
        <w:rPr>
          <w:rFonts w:ascii="Calibri" w:hAnsi="Calibri" w:cs="Calibri"/>
        </w:rPr>
        <w:t>,</w:t>
      </w:r>
      <w:r w:rsidR="00051EC7" w:rsidRPr="001F52A8">
        <w:rPr>
          <w:rFonts w:ascii="Calibri" w:hAnsi="Calibri" w:cs="Calibri"/>
        </w:rPr>
        <w:t xml:space="preserve"> </w:t>
      </w:r>
      <w:r w:rsidR="00C135E0" w:rsidRPr="001F52A8">
        <w:rPr>
          <w:rFonts w:ascii="Calibri" w:hAnsi="Calibri" w:cs="Calibri"/>
        </w:rPr>
        <w:t>and</w:t>
      </w:r>
      <w:r w:rsidR="00051EC7" w:rsidRPr="001F52A8">
        <w:rPr>
          <w:rFonts w:ascii="Calibri" w:hAnsi="Calibri" w:cs="Calibri"/>
        </w:rPr>
        <w:t xml:space="preserve"> </w:t>
      </w:r>
      <w:r w:rsidR="00C135E0" w:rsidRPr="001F52A8">
        <w:rPr>
          <w:rFonts w:ascii="Calibri" w:hAnsi="Calibri" w:cs="Calibri"/>
        </w:rPr>
        <w:t>making her thunder</w:t>
      </w:r>
      <w:r w:rsidR="00C217AA">
        <w:rPr>
          <w:rFonts w:ascii="Calibri" w:hAnsi="Calibri" w:cs="Calibri"/>
        </w:rPr>
        <w:t>,</w:t>
      </w:r>
      <w:r w:rsidR="00C135E0" w:rsidRPr="001F52A8">
        <w:rPr>
          <w:rFonts w:ascii="Calibri" w:hAnsi="Calibri" w:cs="Calibri"/>
        </w:rPr>
        <w:t xml:space="preserve"> or </w:t>
      </w:r>
      <w:r w:rsidR="00051EC7" w:rsidRPr="001F52A8">
        <w:rPr>
          <w:rFonts w:ascii="Calibri" w:hAnsi="Calibri" w:cs="Calibri"/>
        </w:rPr>
        <w:t>to excuse her because Elqahanah did not love her</w:t>
      </w:r>
      <w:r w:rsidR="00881757">
        <w:rPr>
          <w:rFonts w:ascii="Calibri" w:hAnsi="Calibri" w:cs="Calibri"/>
        </w:rPr>
        <w:t>, or to</w:t>
      </w:r>
      <w:r w:rsidR="00FF7E40" w:rsidRPr="001F52A8">
        <w:rPr>
          <w:rFonts w:ascii="Calibri" w:hAnsi="Calibri" w:cs="Calibri"/>
        </w:rPr>
        <w:t xml:space="preserve"> critique Hannah for not standing up to Elqanah or Penninah </w:t>
      </w:r>
      <w:r w:rsidR="00742053">
        <w:rPr>
          <w:rFonts w:ascii="Calibri" w:hAnsi="Calibri" w:cs="Calibri"/>
        </w:rPr>
        <w:t>like</w:t>
      </w:r>
      <w:r w:rsidR="001C111D" w:rsidRPr="001F52A8">
        <w:rPr>
          <w:rFonts w:ascii="Calibri" w:hAnsi="Calibri" w:cs="Calibri"/>
        </w:rPr>
        <w:t xml:space="preserve"> Sarah </w:t>
      </w:r>
      <w:r w:rsidR="00FF7E40" w:rsidRPr="001F52A8">
        <w:rPr>
          <w:rFonts w:ascii="Calibri" w:hAnsi="Calibri" w:cs="Calibri"/>
        </w:rPr>
        <w:t xml:space="preserve">or to </w:t>
      </w:r>
      <w:r w:rsidR="00B47AB9" w:rsidRPr="001F52A8">
        <w:rPr>
          <w:rFonts w:ascii="Calibri" w:hAnsi="Calibri" w:cs="Calibri"/>
        </w:rPr>
        <w:t xml:space="preserve">commend her for her silence, </w:t>
      </w:r>
      <w:r w:rsidR="0048547B" w:rsidRPr="001F52A8">
        <w:rPr>
          <w:rFonts w:ascii="Calibri" w:hAnsi="Calibri" w:cs="Calibri"/>
        </w:rPr>
        <w:t xml:space="preserve">to commend or critique her for being </w:t>
      </w:r>
      <w:r w:rsidR="005A2675" w:rsidRPr="001F52A8">
        <w:t>“bitter in her entire being”</w:t>
      </w:r>
      <w:r w:rsidR="00455EE2" w:rsidRPr="001F52A8">
        <w:t xml:space="preserve"> and </w:t>
      </w:r>
      <w:r w:rsidR="00B8343B" w:rsidRPr="001F52A8">
        <w:t>“tough-spirited” (1:</w:t>
      </w:r>
      <w:r w:rsidR="005A2675" w:rsidRPr="001F52A8">
        <w:t xml:space="preserve">10, </w:t>
      </w:r>
      <w:r w:rsidR="00B8343B" w:rsidRPr="001F52A8">
        <w:t>15)</w:t>
      </w:r>
      <w:r w:rsidR="00593AB2" w:rsidRPr="001F52A8">
        <w:t xml:space="preserve">. </w:t>
      </w:r>
      <w:r w:rsidR="00132B63">
        <w:rPr>
          <w:rFonts w:ascii="Calibri" w:hAnsi="Calibri" w:cs="Calibri"/>
        </w:rPr>
        <w:t>S</w:t>
      </w:r>
      <w:r w:rsidR="0097250B">
        <w:rPr>
          <w:rFonts w:ascii="Calibri" w:hAnsi="Calibri" w:cs="Calibri"/>
        </w:rPr>
        <w:t xml:space="preserve">uch </w:t>
      </w:r>
      <w:r w:rsidR="00486739" w:rsidRPr="001F52A8">
        <w:rPr>
          <w:rFonts w:ascii="Calibri" w:hAnsi="Calibri" w:cs="Calibri"/>
        </w:rPr>
        <w:t>interpret</w:t>
      </w:r>
      <w:r w:rsidR="0097250B">
        <w:rPr>
          <w:rFonts w:ascii="Calibri" w:hAnsi="Calibri" w:cs="Calibri"/>
        </w:rPr>
        <w:t>ations</w:t>
      </w:r>
      <w:r w:rsidR="00486739" w:rsidRPr="001F52A8">
        <w:rPr>
          <w:rFonts w:ascii="Calibri" w:hAnsi="Calibri" w:cs="Calibri"/>
        </w:rPr>
        <w:t xml:space="preserve"> miss its point</w:t>
      </w:r>
      <w:r w:rsidR="00AB3053" w:rsidRPr="001F52A8">
        <w:rPr>
          <w:rFonts w:ascii="Calibri" w:hAnsi="Calibri" w:cs="Calibri"/>
        </w:rPr>
        <w:t>, impose Western concerns</w:t>
      </w:r>
      <w:r w:rsidR="00EC3C6E" w:rsidRPr="001F52A8">
        <w:rPr>
          <w:rFonts w:ascii="Calibri" w:hAnsi="Calibri" w:cs="Calibri"/>
        </w:rPr>
        <w:t>, and apply Western assumptions.</w:t>
      </w:r>
      <w:r w:rsidR="00793017" w:rsidRPr="001F52A8">
        <w:rPr>
          <w:rFonts w:cstheme="minorHAnsi"/>
        </w:rPr>
        <w:t xml:space="preserve"> The story does not focus on the feelings of Elqanah, Peninnah, Eli, or even Hannah, or imply an evaluation of them.</w:t>
      </w:r>
      <w:r w:rsidR="00793017" w:rsidRPr="001F52A8">
        <w:rPr>
          <w:rStyle w:val="FootnoteReference"/>
          <w:rFonts w:cstheme="minorHAnsi"/>
        </w:rPr>
        <w:footnoteReference w:id="39"/>
      </w:r>
      <w:r w:rsidR="009273A6" w:rsidRPr="001F52A8">
        <w:rPr>
          <w:rFonts w:cstheme="minorHAnsi"/>
        </w:rPr>
        <w:t xml:space="preserve"> </w:t>
      </w:r>
      <w:r w:rsidR="001971D4">
        <w:rPr>
          <w:rFonts w:cstheme="minorHAnsi"/>
        </w:rPr>
        <w:t>Its</w:t>
      </w:r>
      <w:r w:rsidR="00D17DE1" w:rsidRPr="001F52A8">
        <w:rPr>
          <w:rFonts w:cstheme="minorHAnsi"/>
        </w:rPr>
        <w:t xml:space="preserve"> comments on Eli’s sons </w:t>
      </w:r>
      <w:r w:rsidR="00862075" w:rsidRPr="001F52A8">
        <w:rPr>
          <w:rFonts w:cstheme="minorHAnsi"/>
        </w:rPr>
        <w:t>(2:12</w:t>
      </w:r>
      <w:r w:rsidR="00DB7B03" w:rsidRPr="001F52A8">
        <w:rPr>
          <w:rFonts w:cstheme="minorHAnsi"/>
        </w:rPr>
        <w:t>-</w:t>
      </w:r>
      <w:r w:rsidR="00F91BC5" w:rsidRPr="001F52A8">
        <w:rPr>
          <w:rFonts w:cstheme="minorHAnsi"/>
        </w:rPr>
        <w:t xml:space="preserve">36) </w:t>
      </w:r>
      <w:r w:rsidR="00862075" w:rsidRPr="001F52A8">
        <w:rPr>
          <w:rFonts w:cstheme="minorHAnsi"/>
        </w:rPr>
        <w:t>work different</w:t>
      </w:r>
      <w:r w:rsidR="005C0F17">
        <w:rPr>
          <w:rFonts w:cstheme="minorHAnsi"/>
        </w:rPr>
        <w:t>l</w:t>
      </w:r>
      <w:r w:rsidR="00862075" w:rsidRPr="001F52A8">
        <w:rPr>
          <w:rFonts w:cstheme="minorHAnsi"/>
        </w:rPr>
        <w:t>y</w:t>
      </w:r>
      <w:r w:rsidR="00F91BC5" w:rsidRPr="001F52A8">
        <w:rPr>
          <w:rFonts w:cstheme="minorHAnsi"/>
        </w:rPr>
        <w:t>: it</w:t>
      </w:r>
      <w:r w:rsidR="00B67E05">
        <w:rPr>
          <w:rFonts w:cstheme="minorHAnsi"/>
        </w:rPr>
        <w:t xml:space="preserve"> </w:t>
      </w:r>
      <w:r w:rsidR="00F91BC5" w:rsidRPr="001F52A8">
        <w:rPr>
          <w:rFonts w:cstheme="minorHAnsi"/>
        </w:rPr>
        <w:t>make</w:t>
      </w:r>
      <w:r w:rsidR="00B67E05">
        <w:rPr>
          <w:rFonts w:cstheme="minorHAnsi"/>
        </w:rPr>
        <w:t>s</w:t>
      </w:r>
      <w:r w:rsidR="00F91BC5" w:rsidRPr="001F52A8">
        <w:rPr>
          <w:rFonts w:cstheme="minorHAnsi"/>
        </w:rPr>
        <w:t xml:space="preserve"> its </w:t>
      </w:r>
      <w:r w:rsidR="002F4564" w:rsidRPr="001F52A8">
        <w:rPr>
          <w:rFonts w:cstheme="minorHAnsi"/>
        </w:rPr>
        <w:t xml:space="preserve">comments on them, but </w:t>
      </w:r>
      <w:r w:rsidR="002916DD">
        <w:rPr>
          <w:rFonts w:cstheme="minorHAnsi"/>
        </w:rPr>
        <w:t>it doesn’t</w:t>
      </w:r>
      <w:r w:rsidR="002F4564" w:rsidRPr="001F52A8">
        <w:rPr>
          <w:rFonts w:cstheme="minorHAnsi"/>
        </w:rPr>
        <w:t xml:space="preserve"> do so here.</w:t>
      </w:r>
    </w:p>
    <w:p w14:paraId="0A7CF36D" w14:textId="6EB62257" w:rsidR="00186069" w:rsidRPr="001F52A8" w:rsidRDefault="00C11106" w:rsidP="00186069">
      <w:pPr>
        <w:rPr>
          <w:rFonts w:cstheme="minorHAnsi"/>
        </w:rPr>
      </w:pPr>
      <w:r w:rsidRPr="001F52A8">
        <w:rPr>
          <w:rFonts w:ascii="Calibri" w:hAnsi="Calibri" w:cs="Calibri"/>
        </w:rPr>
        <w:t xml:space="preserve">The </w:t>
      </w:r>
      <w:r w:rsidR="0097134F">
        <w:rPr>
          <w:rFonts w:ascii="Calibri" w:hAnsi="Calibri" w:cs="Calibri"/>
        </w:rPr>
        <w:t>specific</w:t>
      </w:r>
      <w:r w:rsidRPr="001F52A8">
        <w:rPr>
          <w:rFonts w:ascii="Calibri" w:hAnsi="Calibri" w:cs="Calibri"/>
        </w:rPr>
        <w:t xml:space="preserve"> realism </w:t>
      </w:r>
      <w:r w:rsidR="00F60BF6" w:rsidRPr="001F52A8">
        <w:rPr>
          <w:rFonts w:ascii="Calibri" w:hAnsi="Calibri" w:cs="Calibri"/>
        </w:rPr>
        <w:t xml:space="preserve">about the negative way family can work </w:t>
      </w:r>
      <w:r w:rsidR="004B3D89" w:rsidRPr="001F52A8">
        <w:rPr>
          <w:rFonts w:ascii="Calibri" w:hAnsi="Calibri" w:cs="Calibri"/>
        </w:rPr>
        <w:t>stem</w:t>
      </w:r>
      <w:r w:rsidR="005802D1" w:rsidRPr="001F52A8">
        <w:rPr>
          <w:rFonts w:ascii="Calibri" w:hAnsi="Calibri" w:cs="Calibri"/>
        </w:rPr>
        <w:t>s from Hannah’s inability to have children</w:t>
      </w:r>
      <w:r w:rsidR="00F54C7D">
        <w:rPr>
          <w:rFonts w:ascii="Calibri" w:hAnsi="Calibri" w:cs="Calibri"/>
        </w:rPr>
        <w:t xml:space="preserve">. </w:t>
      </w:r>
      <w:r w:rsidR="0028563A" w:rsidRPr="001F52A8">
        <w:t xml:space="preserve">In a Western context, a man and a woman may feel that love is essential to marriage </w:t>
      </w:r>
      <w:r w:rsidR="00C26512">
        <w:t xml:space="preserve">and </w:t>
      </w:r>
      <w:r w:rsidR="00C563AF">
        <w:t xml:space="preserve">also </w:t>
      </w:r>
      <w:r w:rsidR="0028563A" w:rsidRPr="001F52A8">
        <w:t xml:space="preserve">feel </w:t>
      </w:r>
      <w:r w:rsidR="00C563AF">
        <w:t xml:space="preserve">that </w:t>
      </w:r>
      <w:r w:rsidR="0028563A" w:rsidRPr="001F52A8">
        <w:t>they are not complete i</w:t>
      </w:r>
      <w:r w:rsidR="00077E85">
        <w:t>f</w:t>
      </w:r>
      <w:r w:rsidR="0028563A" w:rsidRPr="001F52A8">
        <w:t xml:space="preserve"> they cannot have children. </w:t>
      </w:r>
      <w:r w:rsidR="004B3D89" w:rsidRPr="001F52A8">
        <w:rPr>
          <w:rFonts w:ascii="Calibri" w:hAnsi="Calibri" w:cs="Calibri"/>
        </w:rPr>
        <w:t xml:space="preserve">For </w:t>
      </w:r>
      <w:r w:rsidR="00A02EEC" w:rsidRPr="001F52A8">
        <w:rPr>
          <w:rFonts w:ascii="Calibri" w:hAnsi="Calibri" w:cs="Calibri"/>
        </w:rPr>
        <w:t>men and women</w:t>
      </w:r>
      <w:r w:rsidR="004B3D89" w:rsidRPr="001F52A8">
        <w:rPr>
          <w:rFonts w:ascii="Calibri" w:hAnsi="Calibri" w:cs="Calibri"/>
        </w:rPr>
        <w:t xml:space="preserve">, having children </w:t>
      </w:r>
      <w:r w:rsidR="001513A8" w:rsidRPr="001F52A8">
        <w:rPr>
          <w:rFonts w:ascii="Calibri" w:hAnsi="Calibri" w:cs="Calibri"/>
        </w:rPr>
        <w:t xml:space="preserve">is often important to their sense of </w:t>
      </w:r>
      <w:r w:rsidR="009725E0" w:rsidRPr="001F52A8">
        <w:rPr>
          <w:rFonts w:ascii="Calibri" w:hAnsi="Calibri" w:cs="Calibri"/>
        </w:rPr>
        <w:t>being fully human</w:t>
      </w:r>
      <w:r w:rsidR="002E7261">
        <w:rPr>
          <w:rFonts w:ascii="Calibri" w:hAnsi="Calibri" w:cs="Calibri"/>
        </w:rPr>
        <w:t>; it is</w:t>
      </w:r>
      <w:r w:rsidR="002E7261" w:rsidRPr="001F52A8">
        <w:rPr>
          <w:rFonts w:ascii="Calibri" w:hAnsi="Calibri" w:cs="Calibri"/>
        </w:rPr>
        <w:t xml:space="preserve"> perhaps more intrinsic to womanhood</w:t>
      </w:r>
      <w:r w:rsidR="009725E0" w:rsidRPr="001F52A8">
        <w:rPr>
          <w:rFonts w:ascii="Calibri" w:hAnsi="Calibri" w:cs="Calibri"/>
        </w:rPr>
        <w:t xml:space="preserve">. </w:t>
      </w:r>
      <w:r w:rsidR="00141E51" w:rsidRPr="001F52A8">
        <w:t>The First Testament may also assume that love is essential to marriage</w:t>
      </w:r>
      <w:r w:rsidR="00D61714">
        <w:t>,</w:t>
      </w:r>
      <w:r w:rsidR="00141E51" w:rsidRPr="001F52A8">
        <w:t xml:space="preserve"> and this story notes Elqanah’s love for Hannah, but it also assumes that </w:t>
      </w:r>
      <w:r w:rsidR="00141E51">
        <w:t xml:space="preserve">a family needs children, </w:t>
      </w:r>
      <w:r w:rsidR="00141E51" w:rsidRPr="001F52A8">
        <w:t>theologically and practically</w:t>
      </w:r>
      <w:r w:rsidR="008F180F">
        <w:t>; i</w:t>
      </w:r>
      <w:r w:rsidR="00A5221D" w:rsidRPr="001F52A8">
        <w:rPr>
          <w:rFonts w:ascii="Calibri" w:hAnsi="Calibri" w:cs="Calibri"/>
        </w:rPr>
        <w:t xml:space="preserve">n a traditional society, it is economically important. </w:t>
      </w:r>
      <w:r w:rsidR="003D1B6E" w:rsidRPr="001F52A8">
        <w:t xml:space="preserve">As the Ruth story </w:t>
      </w:r>
      <w:r w:rsidR="003D1B6E">
        <w:t>implies</w:t>
      </w:r>
      <w:r w:rsidR="003D1B6E" w:rsidRPr="001F52A8">
        <w:t xml:space="preserve">, the idea of children is built into the idea of family. </w:t>
      </w:r>
      <w:r w:rsidR="00A5221D" w:rsidRPr="001F52A8">
        <w:rPr>
          <w:rFonts w:ascii="Calibri" w:hAnsi="Calibri" w:cs="Calibri"/>
        </w:rPr>
        <w:t xml:space="preserve">The man and the woman need children to work on the farm and in the house, they need daughters as well as sons to pass on to other families as part of the arrangement whereby other families generate wives for their sons, they will need their sons and their wives more as they themselves get older, and they will need them to pass the farm onto. </w:t>
      </w:r>
      <w:r w:rsidR="00A5221D" w:rsidRPr="001F52A8">
        <w:rPr>
          <w:rFonts w:cstheme="minorHAnsi"/>
        </w:rPr>
        <w:t>Hannah would be insecure if Elqanah dies.</w:t>
      </w:r>
      <w:r w:rsidR="005210EF">
        <w:rPr>
          <w:rFonts w:cstheme="minorHAnsi"/>
        </w:rPr>
        <w:t xml:space="preserve"> </w:t>
      </w:r>
      <w:r w:rsidR="008414C1">
        <w:rPr>
          <w:rFonts w:ascii="Calibri" w:hAnsi="Calibri" w:cs="Calibri"/>
        </w:rPr>
        <w:t>Given</w:t>
      </w:r>
      <w:r w:rsidR="00E90484" w:rsidRPr="001F52A8">
        <w:rPr>
          <w:rFonts w:ascii="Calibri" w:hAnsi="Calibri" w:cs="Calibri"/>
        </w:rPr>
        <w:t xml:space="preserve"> that having children is </w:t>
      </w:r>
      <w:r w:rsidR="004E29C7" w:rsidRPr="001F52A8">
        <w:rPr>
          <w:rFonts w:ascii="Calibri" w:hAnsi="Calibri" w:cs="Calibri"/>
        </w:rPr>
        <w:t xml:space="preserve">intrinsic to being human and </w:t>
      </w:r>
      <w:r w:rsidR="008414C1">
        <w:rPr>
          <w:rFonts w:ascii="Calibri" w:hAnsi="Calibri" w:cs="Calibri"/>
        </w:rPr>
        <w:t>given</w:t>
      </w:r>
      <w:r w:rsidR="004E29C7" w:rsidRPr="001F52A8">
        <w:rPr>
          <w:rFonts w:ascii="Calibri" w:hAnsi="Calibri" w:cs="Calibri"/>
        </w:rPr>
        <w:t xml:space="preserve"> the practical importance of children to a family</w:t>
      </w:r>
      <w:r w:rsidR="00310911" w:rsidRPr="001F52A8">
        <w:rPr>
          <w:rFonts w:ascii="Calibri" w:hAnsi="Calibri" w:cs="Calibri"/>
        </w:rPr>
        <w:t>’s</w:t>
      </w:r>
      <w:r w:rsidR="004E29C7" w:rsidRPr="001F52A8">
        <w:rPr>
          <w:rFonts w:ascii="Calibri" w:hAnsi="Calibri" w:cs="Calibri"/>
        </w:rPr>
        <w:t xml:space="preserve"> viability</w:t>
      </w:r>
      <w:r w:rsidR="00310911" w:rsidRPr="001F52A8">
        <w:rPr>
          <w:rFonts w:ascii="Calibri" w:hAnsi="Calibri" w:cs="Calibri"/>
        </w:rPr>
        <w:t xml:space="preserve">, </w:t>
      </w:r>
      <w:r w:rsidR="002515E5">
        <w:rPr>
          <w:rFonts w:ascii="Calibri" w:hAnsi="Calibri" w:cs="Calibri"/>
        </w:rPr>
        <w:t>having</w:t>
      </w:r>
      <w:r w:rsidR="000C47F3" w:rsidRPr="001F52A8">
        <w:rPr>
          <w:rFonts w:ascii="Calibri" w:hAnsi="Calibri" w:cs="Calibri"/>
        </w:rPr>
        <w:t xml:space="preserve"> children conveys a sense of honor</w:t>
      </w:r>
      <w:r w:rsidR="00F70206" w:rsidRPr="001F52A8">
        <w:rPr>
          <w:rFonts w:ascii="Calibri" w:hAnsi="Calibri" w:cs="Calibri"/>
        </w:rPr>
        <w:t xml:space="preserve"> (Ps 127:5)</w:t>
      </w:r>
      <w:r w:rsidR="00B60768">
        <w:rPr>
          <w:rFonts w:ascii="Calibri" w:hAnsi="Calibri" w:cs="Calibri"/>
        </w:rPr>
        <w:t xml:space="preserve">. </w:t>
      </w:r>
      <w:r w:rsidR="00C70EA6" w:rsidRPr="001F52A8">
        <w:t xml:space="preserve">Being unable to have children </w:t>
      </w:r>
      <w:r w:rsidR="00C12987">
        <w:t xml:space="preserve">is </w:t>
      </w:r>
      <w:r w:rsidR="00C70EA6" w:rsidRPr="001F52A8">
        <w:t>a massive deprivation for a man or a woman,</w:t>
      </w:r>
      <w:r w:rsidR="00C70EA6" w:rsidRPr="001F52A8">
        <w:rPr>
          <w:rStyle w:val="FootnoteReference"/>
        </w:rPr>
        <w:footnoteReference w:id="40"/>
      </w:r>
      <w:r w:rsidR="00C70EA6" w:rsidRPr="001F52A8">
        <w:t xml:space="preserve"> for personal and/or practical reasons</w:t>
      </w:r>
      <w:r w:rsidR="00C12987">
        <w:t xml:space="preserve">, and </w:t>
      </w:r>
      <w:r w:rsidR="00C12987">
        <w:rPr>
          <w:rFonts w:ascii="Calibri" w:hAnsi="Calibri" w:cs="Calibri"/>
        </w:rPr>
        <w:t>threatens to</w:t>
      </w:r>
      <w:r w:rsidR="00C12987" w:rsidRPr="001F52A8">
        <w:rPr>
          <w:rFonts w:ascii="Calibri" w:hAnsi="Calibri" w:cs="Calibri"/>
        </w:rPr>
        <w:t xml:space="preserve"> be a cause of shame</w:t>
      </w:r>
      <w:r w:rsidR="00C12987">
        <w:rPr>
          <w:rFonts w:ascii="Calibri" w:hAnsi="Calibri" w:cs="Calibri"/>
        </w:rPr>
        <w:t>.</w:t>
      </w:r>
    </w:p>
    <w:p w14:paraId="6220C54F" w14:textId="4F0EE505" w:rsidR="00672AFF" w:rsidRPr="00CD3312" w:rsidRDefault="00761BE8" w:rsidP="00CD3312">
      <w:pPr>
        <w:rPr>
          <w:rFonts w:cstheme="minorHAnsi"/>
        </w:rPr>
      </w:pPr>
      <w:r w:rsidRPr="001F52A8">
        <w:rPr>
          <w:rFonts w:ascii="Calibri" w:hAnsi="Calibri" w:cs="Calibri"/>
        </w:rPr>
        <w:t xml:space="preserve">When a wife cannot get pregnant, the First Testament implicitly assumes that the </w:t>
      </w:r>
      <w:r>
        <w:rPr>
          <w:rFonts w:ascii="Calibri" w:hAnsi="Calibri" w:cs="Calibri"/>
        </w:rPr>
        <w:t>problem</w:t>
      </w:r>
      <w:r w:rsidRPr="001F52A8">
        <w:rPr>
          <w:rFonts w:ascii="Calibri" w:hAnsi="Calibri" w:cs="Calibri"/>
        </w:rPr>
        <w:t xml:space="preserve"> lies with the wife, and the husband may marry a second wife. </w:t>
      </w:r>
      <w:r w:rsidR="00755667">
        <w:rPr>
          <w:rFonts w:ascii="Calibri" w:hAnsi="Calibri" w:cs="Calibri"/>
        </w:rPr>
        <w:t>A s</w:t>
      </w:r>
      <w:r w:rsidRPr="001F52A8">
        <w:rPr>
          <w:rFonts w:ascii="Calibri" w:hAnsi="Calibri" w:cs="Calibri"/>
        </w:rPr>
        <w:t>tor</w:t>
      </w:r>
      <w:r w:rsidR="00755667">
        <w:rPr>
          <w:rFonts w:ascii="Calibri" w:hAnsi="Calibri" w:cs="Calibri"/>
        </w:rPr>
        <w:t>y</w:t>
      </w:r>
      <w:r w:rsidRPr="001F52A8">
        <w:rPr>
          <w:rFonts w:ascii="Calibri" w:hAnsi="Calibri" w:cs="Calibri"/>
        </w:rPr>
        <w:t xml:space="preserve"> such as this one supports that assumption</w:t>
      </w:r>
      <w:r w:rsidR="009F7EEF">
        <w:rPr>
          <w:rFonts w:ascii="Calibri" w:hAnsi="Calibri" w:cs="Calibri"/>
        </w:rPr>
        <w:t>;</w:t>
      </w:r>
      <w:r w:rsidRPr="001F52A8">
        <w:rPr>
          <w:rFonts w:ascii="Calibri" w:hAnsi="Calibri" w:cs="Calibri"/>
        </w:rPr>
        <w:t xml:space="preserve"> Peninnah has no trouble getting pregnant. </w:t>
      </w:r>
      <w:r w:rsidR="009B75B3" w:rsidRPr="001F52A8">
        <w:t xml:space="preserve">While Genesis 1 – 4 pictures the first marriages as involving one man and one woman </w:t>
      </w:r>
      <w:r w:rsidR="00FD2027" w:rsidRPr="001F52A8">
        <w:t xml:space="preserve">who </w:t>
      </w:r>
      <w:r w:rsidR="009B75B3" w:rsidRPr="001F52A8">
        <w:t xml:space="preserve">form a family unit with their children, it also tells of an unhappy exception to that rule. </w:t>
      </w:r>
      <w:r w:rsidR="003F16AF">
        <w:t>I</w:t>
      </w:r>
      <w:r w:rsidR="009B75B3" w:rsidRPr="001F52A8">
        <w:t xml:space="preserve">n general the First Testament treats </w:t>
      </w:r>
      <w:r w:rsidR="003E1781">
        <w:t xml:space="preserve">the norm as </w:t>
      </w:r>
      <w:r w:rsidR="009B75B3" w:rsidRPr="001F52A8">
        <w:t xml:space="preserve">one man and one woman together for life in the setting of an extended family, while recognizing that divorce happens and extended families split up. </w:t>
      </w:r>
      <w:r w:rsidR="00171CF7">
        <w:t>A</w:t>
      </w:r>
      <w:r w:rsidR="009B75B3" w:rsidRPr="001F52A8">
        <w:t xml:space="preserve"> wife’s infertility might count as grounds for divorce, </w:t>
      </w:r>
      <w:r w:rsidR="00171CF7">
        <w:t xml:space="preserve">but </w:t>
      </w:r>
      <w:r w:rsidR="009B75B3" w:rsidRPr="001F52A8">
        <w:t xml:space="preserve">there are no accounts of divorce happening and several stories </w:t>
      </w:r>
      <w:r w:rsidR="00EC7B61" w:rsidRPr="001F52A8">
        <w:t>telling of how a man</w:t>
      </w:r>
      <w:r w:rsidR="009B75B3" w:rsidRPr="001F52A8">
        <w:t xml:space="preserve"> rather marr</w:t>
      </w:r>
      <w:r w:rsidR="00EC7B61" w:rsidRPr="001F52A8">
        <w:t>ied</w:t>
      </w:r>
      <w:r w:rsidR="009B75B3" w:rsidRPr="001F52A8">
        <w:t xml:space="preserve"> a second wife.</w:t>
      </w:r>
      <w:r w:rsidR="00022FB8" w:rsidRPr="001F52A8">
        <w:t xml:space="preserve"> Polygamy in itself can be harmonious, but</w:t>
      </w:r>
      <w:r w:rsidR="00301BC3" w:rsidRPr="001F52A8">
        <w:t xml:space="preserve"> the First Testament portrays it rather consistently </w:t>
      </w:r>
      <w:r w:rsidR="00794260" w:rsidRPr="001F52A8">
        <w:t xml:space="preserve">issuing in conflict, with </w:t>
      </w:r>
      <w:r w:rsidR="009B75B3" w:rsidRPr="001F52A8">
        <w:t xml:space="preserve">the capacity to get pregnant </w:t>
      </w:r>
      <w:r w:rsidR="00794260" w:rsidRPr="001F52A8">
        <w:t>being a cause</w:t>
      </w:r>
      <w:r w:rsidR="009B75B3" w:rsidRPr="001F52A8">
        <w:t xml:space="preserve">. </w:t>
      </w:r>
      <w:r w:rsidR="001C0900" w:rsidRPr="001F52A8">
        <w:t>And there were aspects of the festival celebration that drew attention to the disparity between Hannah and Peninnah.</w:t>
      </w:r>
      <w:r w:rsidR="00CD3312">
        <w:t xml:space="preserve"> </w:t>
      </w:r>
      <w:r w:rsidR="00D92177">
        <w:t xml:space="preserve">While </w:t>
      </w:r>
      <w:r w:rsidR="00B6090E" w:rsidRPr="001F52A8">
        <w:rPr>
          <w:rFonts w:ascii="Calibri" w:hAnsi="Calibri" w:cs="Calibri"/>
        </w:rPr>
        <w:t xml:space="preserve">Peninnah is a full second wife and not a servant </w:t>
      </w:r>
      <w:r w:rsidR="00B6090E">
        <w:rPr>
          <w:rFonts w:ascii="Calibri" w:hAnsi="Calibri" w:cs="Calibri"/>
        </w:rPr>
        <w:t xml:space="preserve">wife </w:t>
      </w:r>
      <w:r w:rsidR="00B6090E" w:rsidRPr="001F52A8">
        <w:rPr>
          <w:rFonts w:ascii="Calibri" w:hAnsi="Calibri" w:cs="Calibri"/>
        </w:rPr>
        <w:t>like Hagar</w:t>
      </w:r>
      <w:r w:rsidR="00B6090E">
        <w:rPr>
          <w:rFonts w:ascii="Calibri" w:hAnsi="Calibri" w:cs="Calibri"/>
        </w:rPr>
        <w:t>,</w:t>
      </w:r>
      <w:r w:rsidR="00D92177">
        <w:rPr>
          <w:rFonts w:ascii="Calibri" w:hAnsi="Calibri" w:cs="Calibri"/>
        </w:rPr>
        <w:t xml:space="preserve"> </w:t>
      </w:r>
      <w:r w:rsidR="00B6090E">
        <w:rPr>
          <w:rFonts w:ascii="Calibri" w:hAnsi="Calibri" w:cs="Calibri"/>
        </w:rPr>
        <w:t xml:space="preserve">she </w:t>
      </w:r>
      <w:r w:rsidR="00B6090E" w:rsidRPr="001F52A8">
        <w:rPr>
          <w:rFonts w:ascii="Calibri" w:hAnsi="Calibri" w:cs="Calibri"/>
        </w:rPr>
        <w:t xml:space="preserve">may know that Hannah is Elqanah’s real love. </w:t>
      </w:r>
      <w:r w:rsidR="00B6090E" w:rsidRPr="001F52A8">
        <w:t>Does Elqanah love Peninnah, or is she just there to bear children?</w:t>
      </w:r>
      <w:r w:rsidR="00B6090E" w:rsidRPr="001F52A8">
        <w:rPr>
          <w:rStyle w:val="FootnoteReference"/>
        </w:rPr>
        <w:footnoteReference w:id="41"/>
      </w:r>
      <w:r w:rsidR="00B6090E" w:rsidRPr="001F52A8">
        <w:t xml:space="preserve"> </w:t>
      </w:r>
      <w:r w:rsidR="00B6090E">
        <w:t>The dynamics recall the stor</w:t>
      </w:r>
      <w:r w:rsidR="00222857">
        <w:t>ies</w:t>
      </w:r>
      <w:r w:rsidR="00B6090E">
        <w:t xml:space="preserve"> of Jacob,</w:t>
      </w:r>
      <w:r w:rsidR="00B6090E" w:rsidRPr="001F52A8">
        <w:t xml:space="preserve"> </w:t>
      </w:r>
      <w:r w:rsidR="00B6090E" w:rsidRPr="001F52A8">
        <w:lastRenderedPageBreak/>
        <w:t>Rachel</w:t>
      </w:r>
      <w:r w:rsidR="00B6090E">
        <w:t>,</w:t>
      </w:r>
      <w:r w:rsidR="00B6090E" w:rsidRPr="001F52A8">
        <w:t xml:space="preserve"> and Leah</w:t>
      </w:r>
      <w:r w:rsidR="00A04019">
        <w:t>, as well as</w:t>
      </w:r>
      <w:r w:rsidR="00400EC6" w:rsidRPr="001F52A8">
        <w:rPr>
          <w:rFonts w:ascii="Calibri" w:hAnsi="Calibri" w:cs="Calibri"/>
        </w:rPr>
        <w:t xml:space="preserve"> Abraham, Sarah, and Hagar</w:t>
      </w:r>
      <w:r w:rsidR="000266BF">
        <w:rPr>
          <w:rFonts w:ascii="Calibri" w:hAnsi="Calibri" w:cs="Calibri"/>
        </w:rPr>
        <w:t>, though</w:t>
      </w:r>
      <w:r w:rsidR="00E4592F" w:rsidRPr="001F52A8">
        <w:rPr>
          <w:rFonts w:ascii="Calibri" w:hAnsi="Calibri" w:cs="Calibri"/>
        </w:rPr>
        <w:t xml:space="preserve"> Elqanah </w:t>
      </w:r>
      <w:r w:rsidR="00C85281" w:rsidRPr="001F52A8">
        <w:t xml:space="preserve">values Hannah for who she is and not what she can produce, and wishes she could value herself on that basis. </w:t>
      </w:r>
    </w:p>
    <w:p w14:paraId="08937E8B" w14:textId="1D6092B5" w:rsidR="002F4564" w:rsidRPr="001F52A8" w:rsidRDefault="006F093B" w:rsidP="003A6D7C">
      <w:r w:rsidRPr="001F52A8">
        <w:t>The story of Eli and his sons is quite different</w:t>
      </w:r>
      <w:r w:rsidR="002D1536">
        <w:t xml:space="preserve"> family</w:t>
      </w:r>
      <w:r w:rsidRPr="001F52A8">
        <w:t xml:space="preserve">, and grievous. </w:t>
      </w:r>
      <w:r w:rsidR="00DB470A" w:rsidRPr="001F52A8">
        <w:t xml:space="preserve">One may guess that Eli and Ms. Eli have done their best </w:t>
      </w:r>
      <w:r w:rsidR="001A5676">
        <w:t>in</w:t>
      </w:r>
      <w:r w:rsidR="00DB470A" w:rsidRPr="001F52A8">
        <w:t xml:space="preserve"> bring</w:t>
      </w:r>
      <w:r w:rsidR="001A5676">
        <w:t>ing</w:t>
      </w:r>
      <w:r w:rsidR="00DB470A" w:rsidRPr="001F52A8">
        <w:t xml:space="preserve"> up their sons, and Eli has one last </w:t>
      </w:r>
      <w:r w:rsidR="00764574" w:rsidRPr="001F52A8">
        <w:t xml:space="preserve">attempt to </w:t>
      </w:r>
      <w:r w:rsidR="00BD2E43" w:rsidRPr="001F52A8">
        <w:t xml:space="preserve">turn </w:t>
      </w:r>
      <w:r w:rsidR="000429B8">
        <w:t xml:space="preserve">them </w:t>
      </w:r>
      <w:r w:rsidR="00BD2E43" w:rsidRPr="001F52A8">
        <w:t xml:space="preserve">back to the right way, but </w:t>
      </w:r>
      <w:r w:rsidR="00B73D61" w:rsidRPr="001F52A8">
        <w:t>they d</w:t>
      </w:r>
      <w:r w:rsidR="000429B8">
        <w:t>o</w:t>
      </w:r>
      <w:r w:rsidR="00B73D61" w:rsidRPr="001F52A8">
        <w:t>n’t listen (2:22</w:t>
      </w:r>
      <w:r w:rsidR="00DB7B03" w:rsidRPr="001F52A8">
        <w:t>-</w:t>
      </w:r>
      <w:r w:rsidR="00B73D61" w:rsidRPr="001F52A8">
        <w:t>25).</w:t>
      </w:r>
      <w:r w:rsidR="00C86BFC" w:rsidRPr="001F52A8">
        <w:t xml:space="preserve"> And an emissary from Yahweh comes to </w:t>
      </w:r>
      <w:r w:rsidR="00280B8E" w:rsidRPr="001F52A8">
        <w:t xml:space="preserve">confront him about </w:t>
      </w:r>
      <w:r w:rsidR="00FD7030" w:rsidRPr="001F52A8">
        <w:t>the</w:t>
      </w:r>
      <w:r w:rsidR="001A5676">
        <w:t>ir</w:t>
      </w:r>
      <w:r w:rsidR="00FD7030" w:rsidRPr="001F52A8">
        <w:t xml:space="preserve"> wrongdoing, in which </w:t>
      </w:r>
      <w:r w:rsidR="001A5676">
        <w:t>Eli</w:t>
      </w:r>
      <w:r w:rsidR="00FD7030" w:rsidRPr="001F52A8">
        <w:t xml:space="preserve"> is also implicated</w:t>
      </w:r>
      <w:r w:rsidR="00B72CFE" w:rsidRPr="001F52A8">
        <w:t>, and announce the catastrophe that will come on the entire family</w:t>
      </w:r>
      <w:r w:rsidR="00E24177" w:rsidRPr="001F52A8">
        <w:t xml:space="preserve"> (2:27</w:t>
      </w:r>
      <w:r w:rsidR="00DB7B03" w:rsidRPr="001F52A8">
        <w:t>-</w:t>
      </w:r>
      <w:r w:rsidR="00E24177" w:rsidRPr="001F52A8">
        <w:t>36).</w:t>
      </w:r>
    </w:p>
    <w:p w14:paraId="5F29AE06" w14:textId="77777777" w:rsidR="003A6D7C" w:rsidRPr="001F52A8" w:rsidRDefault="003A6D7C" w:rsidP="000B0A0F">
      <w:pPr>
        <w:pStyle w:val="Heading2"/>
      </w:pPr>
      <w:r w:rsidRPr="001F52A8">
        <w:t>Prayer and Promise</w:t>
      </w:r>
    </w:p>
    <w:p w14:paraId="1085E4BA" w14:textId="71C43F61" w:rsidR="007D659D" w:rsidRDefault="008513D0" w:rsidP="00F037DF">
      <w:pPr>
        <w:rPr>
          <w:rFonts w:ascii="Calibri" w:hAnsi="Calibri" w:cs="Calibri"/>
        </w:rPr>
      </w:pPr>
      <w:r w:rsidRPr="001F52A8">
        <w:t xml:space="preserve">The </w:t>
      </w:r>
      <w:r w:rsidR="009E1849" w:rsidRPr="001F52A8">
        <w:t xml:space="preserve">Scriptures include several stories </w:t>
      </w:r>
      <w:r w:rsidR="001C708A" w:rsidRPr="001F52A8">
        <w:t xml:space="preserve">about </w:t>
      </w:r>
      <w:r w:rsidR="009E1849" w:rsidRPr="001F52A8">
        <w:t>God telling a woman she will have a baby</w:t>
      </w:r>
      <w:r w:rsidR="00913268" w:rsidRPr="001F52A8">
        <w:t>; apart from Hannah’s,</w:t>
      </w:r>
      <w:r w:rsidR="001C708A" w:rsidRPr="001F52A8">
        <w:t xml:space="preserve"> the </w:t>
      </w:r>
      <w:r w:rsidR="00913268" w:rsidRPr="001F52A8">
        <w:t>most detailed are the ones about Samson’s mother</w:t>
      </w:r>
      <w:r w:rsidR="00193C48" w:rsidRPr="001F52A8">
        <w:t xml:space="preserve"> </w:t>
      </w:r>
      <w:r w:rsidR="00D513E2" w:rsidRPr="001F52A8">
        <w:t xml:space="preserve">and Jesus’s mother. </w:t>
      </w:r>
      <w:r w:rsidR="00D513E2" w:rsidRPr="001F52A8">
        <w:rPr>
          <w:rFonts w:cstheme="minorHAnsi"/>
        </w:rPr>
        <w:t>“Hannah's prayers and spirituality set the</w:t>
      </w:r>
      <w:r w:rsidR="00D513E2" w:rsidRPr="001F52A8">
        <w:t xml:space="preserve"> </w:t>
      </w:r>
      <w:r w:rsidR="00D513E2" w:rsidRPr="001F52A8">
        <w:rPr>
          <w:rFonts w:cstheme="minorHAnsi"/>
        </w:rPr>
        <w:t>context for what follows, much as Mary's do for the Gospels.”</w:t>
      </w:r>
      <w:r w:rsidR="00D513E2" w:rsidRPr="001F52A8">
        <w:rPr>
          <w:rStyle w:val="FootnoteReference"/>
          <w:rFonts w:cstheme="minorHAnsi"/>
        </w:rPr>
        <w:footnoteReference w:id="42"/>
      </w:r>
      <w:r w:rsidR="00F423E9" w:rsidRPr="001F52A8">
        <w:rPr>
          <w:rFonts w:cstheme="minorHAnsi"/>
        </w:rPr>
        <w:t xml:space="preserve"> Lectionaries pair Hannah’s story with</w:t>
      </w:r>
      <w:r w:rsidR="00D513E2" w:rsidRPr="001F52A8">
        <w:t xml:space="preserve"> Luke 2:41</w:t>
      </w:r>
      <w:r w:rsidR="00DB7B03" w:rsidRPr="001F52A8">
        <w:t>-</w:t>
      </w:r>
      <w:r w:rsidR="00D513E2" w:rsidRPr="001F52A8">
        <w:t>52</w:t>
      </w:r>
      <w:r w:rsidR="00FE5671" w:rsidRPr="001F52A8">
        <w:t>:</w:t>
      </w:r>
      <w:r w:rsidR="00D513E2" w:rsidRPr="001F52A8">
        <w:t xml:space="preserve"> Mary will have to give up Jesus too.</w:t>
      </w:r>
      <w:r w:rsidR="00D513E2" w:rsidRPr="001F52A8">
        <w:rPr>
          <w:rStyle w:val="FootnoteReference"/>
        </w:rPr>
        <w:footnoteReference w:id="43"/>
      </w:r>
      <w:r w:rsidR="00F0137F" w:rsidRPr="001F52A8">
        <w:t xml:space="preserve"> But the stor</w:t>
      </w:r>
      <w:r w:rsidR="00D32744" w:rsidRPr="001F52A8">
        <w:t>ies</w:t>
      </w:r>
      <w:r w:rsidR="00F0137F" w:rsidRPr="001F52A8">
        <w:t xml:space="preserve"> about Samson’s mother and Jesus’s mother</w:t>
      </w:r>
      <w:r w:rsidR="00D32744" w:rsidRPr="001F52A8">
        <w:t xml:space="preserve"> relate an announcement that </w:t>
      </w:r>
      <w:r w:rsidR="00093599" w:rsidRPr="001F52A8">
        <w:t>come</w:t>
      </w:r>
      <w:r w:rsidR="00D32744" w:rsidRPr="001F52A8">
        <w:t>s</w:t>
      </w:r>
      <w:r w:rsidR="00093599" w:rsidRPr="001F52A8">
        <w:t xml:space="preserve"> by divine initiative</w:t>
      </w:r>
      <w:r w:rsidR="00D32744" w:rsidRPr="001F52A8">
        <w:t xml:space="preserve"> and </w:t>
      </w:r>
      <w:r w:rsidR="0087714D" w:rsidRPr="001F52A8">
        <w:t>by means of a supernatural agent. In Hannah’s story the messenger is human and the message comes as a result of Hannah’s prayer</w:t>
      </w:r>
      <w:r w:rsidR="00913950" w:rsidRPr="001F52A8">
        <w:t xml:space="preserve">. </w:t>
      </w:r>
      <w:r w:rsidR="00AB25C7" w:rsidRPr="001F52A8">
        <w:rPr>
          <w:rFonts w:ascii="Calibri" w:hAnsi="Calibri" w:cs="Calibri"/>
        </w:rPr>
        <w:t>While taking a second wife who c</w:t>
      </w:r>
      <w:r w:rsidR="00AE45F6" w:rsidRPr="001F52A8">
        <w:rPr>
          <w:rFonts w:ascii="Calibri" w:hAnsi="Calibri" w:cs="Calibri"/>
        </w:rPr>
        <w:t>ould</w:t>
      </w:r>
      <w:r w:rsidR="00AB25C7" w:rsidRPr="001F52A8">
        <w:rPr>
          <w:rFonts w:ascii="Calibri" w:hAnsi="Calibri" w:cs="Calibri"/>
        </w:rPr>
        <w:t xml:space="preserve"> have children solves the practical problem in </w:t>
      </w:r>
      <w:r w:rsidR="00AE45F6" w:rsidRPr="001F52A8">
        <w:rPr>
          <w:rFonts w:ascii="Calibri" w:hAnsi="Calibri" w:cs="Calibri"/>
        </w:rPr>
        <w:t>Elqanah’s</w:t>
      </w:r>
      <w:r w:rsidR="00AB25C7" w:rsidRPr="001F52A8">
        <w:rPr>
          <w:rFonts w:ascii="Calibri" w:hAnsi="Calibri" w:cs="Calibri"/>
        </w:rPr>
        <w:t xml:space="preserve"> family, it doesn’t solve the personal problem of the person who cannot conceive and </w:t>
      </w:r>
      <w:r w:rsidR="00135F7B" w:rsidRPr="001F52A8">
        <w:rPr>
          <w:rFonts w:ascii="Calibri" w:hAnsi="Calibri" w:cs="Calibri"/>
        </w:rPr>
        <w:t>whose position in the family is</w:t>
      </w:r>
      <w:r w:rsidR="00AB25C7" w:rsidRPr="001F52A8">
        <w:rPr>
          <w:rFonts w:ascii="Calibri" w:hAnsi="Calibri" w:cs="Calibri"/>
        </w:rPr>
        <w:t xml:space="preserve"> marginal. </w:t>
      </w:r>
      <w:r w:rsidR="00160D77" w:rsidRPr="001F52A8">
        <w:t>So t</w:t>
      </w:r>
      <w:r w:rsidR="00AB25C7" w:rsidRPr="001F52A8">
        <w:t xml:space="preserve">he story </w:t>
      </w:r>
      <w:r w:rsidR="00D034CB">
        <w:t>suggests insights</w:t>
      </w:r>
      <w:r w:rsidR="00160D77" w:rsidRPr="001F52A8">
        <w:t xml:space="preserve"> about </w:t>
      </w:r>
      <w:r w:rsidR="00AB25C7" w:rsidRPr="001F52A8">
        <w:t>a theology of the individual as well as a theology of the family.</w:t>
      </w:r>
      <w:r w:rsidR="00A544B5" w:rsidRPr="001F52A8">
        <w:t xml:space="preserve"> </w:t>
      </w:r>
      <w:r w:rsidR="00A544B5" w:rsidRPr="001F52A8">
        <w:rPr>
          <w:rFonts w:ascii="Calibri" w:hAnsi="Calibri" w:cs="Calibri"/>
        </w:rPr>
        <w:t>It raises the question “how we might conceive of the community for all without losing the spirit of emancipation hermeneutics” and whether “marginality can be redefined as having power to transform self, community and society.”</w:t>
      </w:r>
      <w:r w:rsidR="00A544B5" w:rsidRPr="001F52A8">
        <w:rPr>
          <w:rStyle w:val="FootnoteReference"/>
          <w:rFonts w:ascii="Calibri" w:hAnsi="Calibri" w:cs="Calibri"/>
        </w:rPr>
        <w:footnoteReference w:id="44"/>
      </w:r>
      <w:r w:rsidR="00FC2F3A" w:rsidRPr="001F52A8">
        <w:rPr>
          <w:rFonts w:ascii="Calibri" w:hAnsi="Calibri" w:cs="Calibri"/>
        </w:rPr>
        <w:t xml:space="preserve"> </w:t>
      </w:r>
    </w:p>
    <w:p w14:paraId="5CB08633" w14:textId="6F8656C9" w:rsidR="00740573" w:rsidRPr="001F52A8" w:rsidRDefault="007D659D" w:rsidP="00DD3D9E">
      <w:r w:rsidRPr="001F52A8">
        <w:rPr>
          <w:rFonts w:cstheme="minorHAnsi"/>
        </w:rPr>
        <w:t>W</w:t>
      </w:r>
      <w:r w:rsidR="00354D38" w:rsidRPr="001F52A8">
        <w:rPr>
          <w:rFonts w:cstheme="minorHAnsi"/>
        </w:rPr>
        <w:t>hereas infertility leads to conf</w:t>
      </w:r>
      <w:r w:rsidR="00160479" w:rsidRPr="001F52A8">
        <w:rPr>
          <w:rFonts w:cstheme="minorHAnsi"/>
        </w:rPr>
        <w:t>lict in other stories, Hannah avoids the conflict by praying.</w:t>
      </w:r>
      <w:r w:rsidR="00B6420E" w:rsidRPr="001F52A8">
        <w:rPr>
          <w:rStyle w:val="FootnoteReference"/>
          <w:rFonts w:cstheme="minorHAnsi"/>
        </w:rPr>
        <w:footnoteReference w:id="45"/>
      </w:r>
      <w:r w:rsidR="00BB3F04" w:rsidRPr="001F52A8">
        <w:rPr>
          <w:rFonts w:ascii="Calibri" w:hAnsi="Calibri" w:cs="Calibri"/>
        </w:rPr>
        <w:t xml:space="preserve"> </w:t>
      </w:r>
      <w:r w:rsidRPr="001F52A8">
        <w:rPr>
          <w:rFonts w:ascii="Calibri" w:hAnsi="Calibri" w:cs="Calibri"/>
        </w:rPr>
        <w:t>She</w:t>
      </w:r>
      <w:r w:rsidR="0061787C" w:rsidRPr="001F52A8">
        <w:rPr>
          <w:rFonts w:cstheme="minorHAnsi"/>
        </w:rPr>
        <w:t xml:space="preserve"> does not respond to either Peninnah or Elqanah but to the one the</w:t>
      </w:r>
      <w:r w:rsidR="00806BD4">
        <w:rPr>
          <w:rFonts w:cstheme="minorHAnsi"/>
        </w:rPr>
        <w:t xml:space="preserve"> festival</w:t>
      </w:r>
      <w:r w:rsidR="0061787C" w:rsidRPr="001F52A8">
        <w:rPr>
          <w:rFonts w:cstheme="minorHAnsi"/>
        </w:rPr>
        <w:t xml:space="preserve"> draw</w:t>
      </w:r>
      <w:r w:rsidR="00806BD4">
        <w:rPr>
          <w:rFonts w:cstheme="minorHAnsi"/>
        </w:rPr>
        <w:t>s</w:t>
      </w:r>
      <w:r w:rsidR="0061787C" w:rsidRPr="001F52A8">
        <w:rPr>
          <w:rFonts w:cstheme="minorHAnsi"/>
        </w:rPr>
        <w:t xml:space="preserve"> attention to.</w:t>
      </w:r>
      <w:r w:rsidR="00D24AF2" w:rsidRPr="001F52A8">
        <w:rPr>
          <w:rFonts w:cstheme="minorHAnsi"/>
        </w:rPr>
        <w:t xml:space="preserve"> </w:t>
      </w:r>
      <w:r w:rsidR="00FE01BF" w:rsidRPr="001F52A8">
        <w:rPr>
          <w:rFonts w:cstheme="minorHAnsi"/>
        </w:rPr>
        <w:t xml:space="preserve">Perhaps in theory Hannah should have been able to </w:t>
      </w:r>
      <w:r w:rsidR="00FE01BF" w:rsidRPr="001F52A8">
        <w:rPr>
          <w:rFonts w:eastAsia="SabonMTPro-Regular" w:cstheme="minorHAnsi"/>
        </w:rPr>
        <w:t xml:space="preserve">accept Elqanah’s reassurance that he will look after her if she has no sons to do so (1:8), and to </w:t>
      </w:r>
      <w:r w:rsidR="00FE01BF" w:rsidRPr="001F52A8">
        <w:rPr>
          <w:rFonts w:cstheme="minorHAnsi"/>
        </w:rPr>
        <w:t>come to terms with her infertility and with the possibility that there are other forms of fruitfulness,</w:t>
      </w:r>
      <w:r w:rsidR="00FE01BF" w:rsidRPr="001F52A8">
        <w:rPr>
          <w:rFonts w:eastAsia="SabonMTPro-Regular" w:cstheme="minorHAnsi"/>
        </w:rPr>
        <w:t xml:space="preserve"> of “capacity</w:t>
      </w:r>
      <w:r w:rsidR="00FE01BF" w:rsidRPr="001F52A8">
        <w:rPr>
          <w:rFonts w:cstheme="minorHAnsi"/>
        </w:rPr>
        <w:t xml:space="preserve"> </w:t>
      </w:r>
      <w:r w:rsidR="00FE01BF" w:rsidRPr="001F52A8">
        <w:rPr>
          <w:rFonts w:eastAsia="SabonMTPro-Regular" w:cstheme="minorHAnsi"/>
        </w:rPr>
        <w:t>to touch hearts and to give life.”</w:t>
      </w:r>
      <w:r w:rsidR="00FE01BF" w:rsidRPr="001F52A8">
        <w:rPr>
          <w:rStyle w:val="FootnoteReference"/>
          <w:rFonts w:eastAsia="SabonMTPro-Regular" w:cstheme="minorHAnsi"/>
        </w:rPr>
        <w:footnoteReference w:id="46"/>
      </w:r>
      <w:r w:rsidR="00FE01BF" w:rsidRPr="001F52A8">
        <w:rPr>
          <w:rFonts w:eastAsia="SabonMTPro-Regular" w:cstheme="minorHAnsi"/>
        </w:rPr>
        <w:t xml:space="preserve"> But fortunately for the story that will unfold, she is not prepared to do so. </w:t>
      </w:r>
      <w:r w:rsidR="00D24AF2" w:rsidRPr="001F52A8">
        <w:rPr>
          <w:rFonts w:cstheme="minorHAnsi"/>
        </w:rPr>
        <w:t>She anticipates the woman who wouldn’t accept a “No” from Jesus</w:t>
      </w:r>
      <w:r w:rsidR="009C0B66" w:rsidRPr="001F52A8">
        <w:rPr>
          <w:rFonts w:cstheme="minorHAnsi"/>
        </w:rPr>
        <w:t xml:space="preserve"> </w:t>
      </w:r>
      <w:r w:rsidR="00AA07DF" w:rsidRPr="001F52A8">
        <w:rPr>
          <w:rFonts w:cstheme="minorHAnsi"/>
        </w:rPr>
        <w:t>(</w:t>
      </w:r>
      <w:r w:rsidR="00587036" w:rsidRPr="001F52A8">
        <w:rPr>
          <w:rFonts w:cstheme="minorHAnsi"/>
        </w:rPr>
        <w:t>Matt</w:t>
      </w:r>
      <w:r w:rsidR="00B609A0" w:rsidRPr="001F52A8">
        <w:rPr>
          <w:rFonts w:cstheme="minorHAnsi"/>
        </w:rPr>
        <w:t xml:space="preserve"> 15:21</w:t>
      </w:r>
      <w:r w:rsidR="00DB7B03" w:rsidRPr="001F52A8">
        <w:rPr>
          <w:rFonts w:cstheme="minorHAnsi"/>
        </w:rPr>
        <w:t>-</w:t>
      </w:r>
      <w:r w:rsidR="00B609A0" w:rsidRPr="001F52A8">
        <w:rPr>
          <w:rFonts w:cstheme="minorHAnsi"/>
        </w:rPr>
        <w:t>28)</w:t>
      </w:r>
      <w:r w:rsidR="00AA07DF" w:rsidRPr="001F52A8">
        <w:rPr>
          <w:rFonts w:cstheme="minorHAnsi"/>
        </w:rPr>
        <w:t xml:space="preserve"> </w:t>
      </w:r>
      <w:r w:rsidR="009C0B66" w:rsidRPr="001F52A8">
        <w:rPr>
          <w:rFonts w:cstheme="minorHAnsi"/>
        </w:rPr>
        <w:t>and the woman who wouldn’</w:t>
      </w:r>
      <w:r w:rsidR="00AA07DF" w:rsidRPr="001F52A8">
        <w:rPr>
          <w:rFonts w:cstheme="minorHAnsi"/>
        </w:rPr>
        <w:t>t</w:t>
      </w:r>
      <w:r w:rsidR="009C0B66" w:rsidRPr="001F52A8">
        <w:rPr>
          <w:rFonts w:cstheme="minorHAnsi"/>
        </w:rPr>
        <w:t xml:space="preserve"> accept “No” from the </w:t>
      </w:r>
      <w:r w:rsidR="00AA07DF" w:rsidRPr="001F52A8">
        <w:rPr>
          <w:rFonts w:cstheme="minorHAnsi"/>
        </w:rPr>
        <w:t xml:space="preserve">unjust </w:t>
      </w:r>
      <w:r w:rsidR="009C0B66" w:rsidRPr="001F52A8">
        <w:rPr>
          <w:rFonts w:cstheme="minorHAnsi"/>
        </w:rPr>
        <w:t xml:space="preserve">judge </w:t>
      </w:r>
      <w:r w:rsidR="00AA07DF" w:rsidRPr="001F52A8">
        <w:rPr>
          <w:rFonts w:cstheme="minorHAnsi"/>
        </w:rPr>
        <w:t>(</w:t>
      </w:r>
      <w:r w:rsidR="009C0B66" w:rsidRPr="001F52A8">
        <w:t>Luke 18:1</w:t>
      </w:r>
      <w:r w:rsidR="00DB7B03" w:rsidRPr="001F52A8">
        <w:t>-</w:t>
      </w:r>
      <w:r w:rsidR="009C0B66" w:rsidRPr="001F52A8">
        <w:t>8</w:t>
      </w:r>
      <w:r w:rsidR="00AA07DF" w:rsidRPr="001F52A8">
        <w:t>).</w:t>
      </w:r>
      <w:r w:rsidR="00F037DF" w:rsidRPr="001F52A8">
        <w:t xml:space="preserve"> </w:t>
      </w:r>
    </w:p>
    <w:p w14:paraId="08B83F59" w14:textId="3241B508" w:rsidR="002A7A8B" w:rsidRPr="001F52A8" w:rsidRDefault="00F762AF" w:rsidP="002A7A8B">
      <w:pPr>
        <w:rPr>
          <w:rFonts w:ascii="Calibri" w:hAnsi="Calibri" w:cs="Calibri"/>
        </w:rPr>
      </w:pPr>
      <w:r>
        <w:rPr>
          <w:rFonts w:ascii="Calibri" w:hAnsi="Calibri" w:cs="Calibri"/>
        </w:rPr>
        <w:t>Neither the festival with the prayer that would accompany the sacrifices nor the well-meaning words of Elqanah helped Hannah; maybe they made them worse.</w:t>
      </w:r>
      <w:r>
        <w:rPr>
          <w:rStyle w:val="FootnoteReference"/>
          <w:rFonts w:ascii="Calibri" w:hAnsi="Calibri" w:cs="Calibri"/>
        </w:rPr>
        <w:footnoteReference w:id="47"/>
      </w:r>
      <w:r w:rsidR="00BB0BB8">
        <w:rPr>
          <w:rFonts w:ascii="Calibri" w:hAnsi="Calibri" w:cs="Calibri"/>
        </w:rPr>
        <w:t xml:space="preserve"> Yet t</w:t>
      </w:r>
      <w:r w:rsidR="007728F5" w:rsidRPr="001F52A8">
        <w:rPr>
          <w:rFonts w:eastAsia="SabonMTPro-Regular" w:cstheme="minorHAnsi"/>
        </w:rPr>
        <w:t>he</w:t>
      </w:r>
      <w:r w:rsidR="007728F5" w:rsidRPr="001F52A8">
        <w:t xml:space="preserve"> festival and the offering of sacrifice is a natural occasion for prayer</w:t>
      </w:r>
      <w:r w:rsidR="00C10A34">
        <w:t>.</w:t>
      </w:r>
      <w:r w:rsidR="007728F5" w:rsidRPr="001F52A8">
        <w:t xml:space="preserve"> </w:t>
      </w:r>
      <w:r w:rsidR="00C10A34">
        <w:t>An</w:t>
      </w:r>
      <w:r w:rsidR="00C10A34" w:rsidRPr="001F52A8">
        <w:t xml:space="preserve"> Israelite </w:t>
      </w:r>
      <w:r w:rsidR="00C10A34">
        <w:t>can</w:t>
      </w:r>
      <w:r w:rsidR="00C10A34" w:rsidRPr="001F52A8">
        <w:t xml:space="preserve"> have a strong, frank, confident relationship with Yahweh </w:t>
      </w:r>
      <w:r w:rsidR="00C10A34">
        <w:t>such as</w:t>
      </w:r>
      <w:r w:rsidR="00C10A34" w:rsidRPr="001F52A8">
        <w:t xml:space="preserve"> Jesus has with his Father</w:t>
      </w:r>
      <w:r w:rsidR="00C10A34">
        <w:t>, and</w:t>
      </w:r>
      <w:r w:rsidR="00C10A34" w:rsidRPr="001F52A8">
        <w:t xml:space="preserve"> </w:t>
      </w:r>
      <w:r w:rsidR="007728F5" w:rsidRPr="001F52A8">
        <w:t xml:space="preserve">Hannah </w:t>
      </w:r>
      <w:r w:rsidR="00F94A11" w:rsidRPr="001F52A8">
        <w:rPr>
          <w:rFonts w:cstheme="minorHAnsi"/>
        </w:rPr>
        <w:t>prays as Yahweh invite</w:t>
      </w:r>
      <w:r w:rsidR="0053170F">
        <w:rPr>
          <w:rFonts w:cstheme="minorHAnsi"/>
        </w:rPr>
        <w:t>s</w:t>
      </w:r>
      <w:r w:rsidR="00F94A11" w:rsidRPr="001F52A8">
        <w:rPr>
          <w:rFonts w:cstheme="minorHAnsi"/>
        </w:rPr>
        <w:t xml:space="preserve"> any Israelite to do</w:t>
      </w:r>
      <w:r w:rsidR="00605EC0" w:rsidRPr="001F52A8">
        <w:rPr>
          <w:rFonts w:cstheme="minorHAnsi"/>
        </w:rPr>
        <w:t>, in the way the Psalms embody</w:t>
      </w:r>
      <w:r w:rsidR="00F94A11" w:rsidRPr="001F52A8">
        <w:rPr>
          <w:rFonts w:cstheme="minorHAnsi"/>
        </w:rPr>
        <w:t>. She</w:t>
      </w:r>
      <w:r w:rsidR="00F94A11" w:rsidRPr="001F52A8">
        <w:t xml:space="preserve"> </w:t>
      </w:r>
      <w:r w:rsidR="007728F5" w:rsidRPr="001F52A8">
        <w:t>goes to the sanctuary</w:t>
      </w:r>
      <w:r w:rsidR="0044504D">
        <w:t xml:space="preserve"> and</w:t>
      </w:r>
      <w:r w:rsidR="007728F5" w:rsidRPr="001F52A8">
        <w:t xml:space="preserve"> takes her stand in the sanctuary courtyard </w:t>
      </w:r>
      <w:r w:rsidR="007728F5" w:rsidRPr="001F52A8">
        <w:lastRenderedPageBreak/>
        <w:t xml:space="preserve">in front of the holy place. </w:t>
      </w:r>
      <w:r w:rsidR="000F5DF7">
        <w:t>S</w:t>
      </w:r>
      <w:r w:rsidR="003E4DFB" w:rsidRPr="001F52A8">
        <w:t>he</w:t>
      </w:r>
      <w:r w:rsidR="00040123" w:rsidRPr="001F52A8">
        <w:t xml:space="preserve"> is</w:t>
      </w:r>
      <w:r w:rsidR="003E4DFB" w:rsidRPr="001F52A8">
        <w:t xml:space="preserve"> </w:t>
      </w:r>
      <w:r w:rsidR="0044504D">
        <w:t xml:space="preserve">thus </w:t>
      </w:r>
      <w:r w:rsidR="003E4DFB" w:rsidRPr="001F52A8">
        <w:t>before Yahweh (1:12) not just at the sanctuary.</w:t>
      </w:r>
      <w:r w:rsidR="003E4DFB" w:rsidRPr="001F52A8">
        <w:rPr>
          <w:rStyle w:val="FootnoteReference"/>
        </w:rPr>
        <w:footnoteReference w:id="48"/>
      </w:r>
      <w:r w:rsidR="001045AE" w:rsidRPr="001F52A8">
        <w:t xml:space="preserve"> </w:t>
      </w:r>
      <w:r w:rsidR="00897D6E">
        <w:rPr>
          <w:rFonts w:cstheme="minorHAnsi"/>
        </w:rPr>
        <w:t>S</w:t>
      </w:r>
      <w:r w:rsidR="00904121">
        <w:rPr>
          <w:rFonts w:cstheme="minorHAnsi"/>
        </w:rPr>
        <w:t xml:space="preserve">he </w:t>
      </w:r>
      <w:r w:rsidR="00904121" w:rsidRPr="001F52A8">
        <w:rPr>
          <w:rFonts w:cstheme="minorHAnsi"/>
        </w:rPr>
        <w:t>wants to be seen</w:t>
      </w:r>
      <w:r w:rsidR="00897D6E">
        <w:rPr>
          <w:rFonts w:cstheme="minorHAnsi"/>
        </w:rPr>
        <w:t>,</w:t>
      </w:r>
      <w:r w:rsidR="00904121" w:rsidRPr="001F52A8">
        <w:rPr>
          <w:rStyle w:val="FootnoteReference"/>
          <w:rFonts w:cstheme="minorHAnsi"/>
        </w:rPr>
        <w:footnoteReference w:id="49"/>
      </w:r>
      <w:r w:rsidR="00904121">
        <w:rPr>
          <w:rFonts w:cstheme="minorHAnsi"/>
        </w:rPr>
        <w:t xml:space="preserve"> </w:t>
      </w:r>
      <w:r w:rsidR="00897D6E">
        <w:rPr>
          <w:rFonts w:cstheme="minorHAnsi"/>
        </w:rPr>
        <w:t>a</w:t>
      </w:r>
      <w:r w:rsidR="00904121">
        <w:rPr>
          <w:rFonts w:cstheme="minorHAnsi"/>
        </w:rPr>
        <w:t xml:space="preserve">nd there Yahweh </w:t>
      </w:r>
      <w:r w:rsidR="00512CED">
        <w:rPr>
          <w:rFonts w:cstheme="minorHAnsi"/>
        </w:rPr>
        <w:t xml:space="preserve">can </w:t>
      </w:r>
      <w:r w:rsidR="00870CFD">
        <w:rPr>
          <w:rFonts w:cstheme="minorHAnsi"/>
        </w:rPr>
        <w:t>“</w:t>
      </w:r>
      <w:r w:rsidR="002A7A8B" w:rsidRPr="001F52A8">
        <w:t>actually look at your maidservant’s lowliness” (1:11</w:t>
      </w:r>
      <w:r w:rsidR="00D45BB8">
        <w:t>)</w:t>
      </w:r>
      <w:r w:rsidR="002A7A8B">
        <w:t xml:space="preserve">; “actually look” represents </w:t>
      </w:r>
      <w:r w:rsidR="009566C2">
        <w:t>an idiom whereby one juxtaposes two forms of the same verb for emphasis</w:t>
      </w:r>
      <w:r w:rsidR="002A7A8B">
        <w:t>, “with looking you look</w:t>
      </w:r>
      <w:r w:rsidR="002A7A8B" w:rsidRPr="001F52A8">
        <w:t>.</w:t>
      </w:r>
      <w:r w:rsidR="00D45BB8">
        <w:t>”</w:t>
      </w:r>
      <w:r w:rsidR="002A7A8B" w:rsidRPr="001F52A8">
        <w:t xml:space="preserve"> </w:t>
      </w:r>
      <w:r w:rsidR="002A7A8B">
        <w:t xml:space="preserve">Her “lowliness” </w:t>
      </w:r>
      <w:r w:rsidR="002A7A8B" w:rsidRPr="001F52A8">
        <w:t>(</w:t>
      </w:r>
      <w:r w:rsidR="002A7A8B" w:rsidRPr="001F52A8">
        <w:rPr>
          <w:i/>
          <w:iCs/>
        </w:rPr>
        <w:t>‘</w:t>
      </w:r>
      <w:r w:rsidR="002A7A8B" w:rsidRPr="001F52A8">
        <w:rPr>
          <w:rFonts w:cstheme="minorHAnsi"/>
          <w:i/>
          <w:iCs/>
        </w:rPr>
        <w:t>ŏnî</w:t>
      </w:r>
      <w:r w:rsidR="002A7A8B">
        <w:rPr>
          <w:rFonts w:cstheme="minorHAnsi"/>
        </w:rPr>
        <w:t>) means she</w:t>
      </w:r>
      <w:r w:rsidR="002A7A8B" w:rsidRPr="001F52A8">
        <w:t xml:space="preserve"> speaks as an ordinary person without power</w:t>
      </w:r>
      <w:r w:rsidR="00047142">
        <w:t>,</w:t>
      </w:r>
      <w:r w:rsidR="002A7A8B" w:rsidRPr="001F52A8">
        <w:t xml:space="preserve"> significance</w:t>
      </w:r>
      <w:r w:rsidR="00047142">
        <w:t>,</w:t>
      </w:r>
      <w:r w:rsidR="002A7A8B" w:rsidRPr="001F52A8">
        <w:t xml:space="preserve"> or influence within the people or the clan. </w:t>
      </w:r>
      <w:r w:rsidR="00047142">
        <w:t xml:space="preserve">She </w:t>
      </w:r>
      <w:r w:rsidR="002A7A8B" w:rsidRPr="001F52A8">
        <w:rPr>
          <w:rFonts w:cstheme="minorHAnsi"/>
        </w:rPr>
        <w:t>“has nothing in her power, nothing in her free will, no presumptive claims . . .</w:t>
      </w:r>
      <w:r w:rsidR="002A7A8B">
        <w:rPr>
          <w:rFonts w:cstheme="minorHAnsi"/>
        </w:rPr>
        <w:t xml:space="preserve"> </w:t>
      </w:r>
      <w:r w:rsidR="002A7A8B" w:rsidRPr="001F52A8">
        <w:rPr>
          <w:rFonts w:cstheme="minorHAnsi"/>
        </w:rPr>
        <w:t>; all things here are entirely in the hands of God.”</w:t>
      </w:r>
      <w:r w:rsidR="002A7A8B" w:rsidRPr="001F52A8">
        <w:rPr>
          <w:rStyle w:val="FootnoteReference"/>
          <w:rFonts w:cstheme="minorHAnsi"/>
        </w:rPr>
        <w:footnoteReference w:id="50"/>
      </w:r>
      <w:r w:rsidR="002A7A8B">
        <w:rPr>
          <w:rFonts w:cstheme="minorHAnsi"/>
        </w:rPr>
        <w:t xml:space="preserve"> </w:t>
      </w:r>
      <w:r w:rsidR="002A7A8B" w:rsidRPr="001F52A8">
        <w:t xml:space="preserve">Appeal to being an ordinary person without power is a feature of prayers in the Psalms (e.g., 25:18; 88:9 [10]; 119:50). It means </w:t>
      </w:r>
      <w:r w:rsidR="002A7A8B">
        <w:t>calling on</w:t>
      </w:r>
      <w:r w:rsidR="002A7A8B" w:rsidRPr="001F52A8">
        <w:t xml:space="preserve"> Yahweh as someone with the capacity to look at people in need. And what one has to do is get him to look. He will surely then be </w:t>
      </w:r>
      <w:r w:rsidR="00933CB0">
        <w:t>un</w:t>
      </w:r>
      <w:r w:rsidR="002A7A8B" w:rsidRPr="001F52A8">
        <w:t xml:space="preserve">able to resist using his power to act on </w:t>
      </w:r>
      <w:r w:rsidR="002A7A8B">
        <w:t>one’s</w:t>
      </w:r>
      <w:r w:rsidR="002A7A8B" w:rsidRPr="001F52A8">
        <w:t xml:space="preserve"> behalf. The appeal is </w:t>
      </w:r>
      <w:r w:rsidR="002A7A8B">
        <w:t xml:space="preserve">thus </w:t>
      </w:r>
      <w:r w:rsidR="002A7A8B" w:rsidRPr="001F52A8">
        <w:t xml:space="preserve">to </w:t>
      </w:r>
      <w:r w:rsidR="005C6F07">
        <w:t>“</w:t>
      </w:r>
      <w:r w:rsidR="002A7A8B" w:rsidRPr="001F52A8">
        <w:t>be mindful</w:t>
      </w:r>
      <w:r w:rsidR="005C6F07">
        <w:t>”</w:t>
      </w:r>
      <w:r w:rsidR="002A7A8B" w:rsidRPr="001F52A8">
        <w:t xml:space="preserve"> and not </w:t>
      </w:r>
      <w:r w:rsidR="005C6F07">
        <w:t>“</w:t>
      </w:r>
      <w:r w:rsidR="002A7A8B" w:rsidRPr="001F52A8">
        <w:t>put out of mind</w:t>
      </w:r>
      <w:r w:rsidR="005C6F07">
        <w:t>”</w:t>
      </w:r>
      <w:r w:rsidR="002A7A8B" w:rsidRPr="001F52A8">
        <w:t xml:space="preserve"> (</w:t>
      </w:r>
      <w:r w:rsidR="002A7A8B" w:rsidRPr="001F52A8">
        <w:rPr>
          <w:i/>
          <w:iCs/>
        </w:rPr>
        <w:t>z</w:t>
      </w:r>
      <w:r w:rsidR="002A7A8B" w:rsidRPr="001F52A8">
        <w:rPr>
          <w:rFonts w:cstheme="minorHAnsi"/>
          <w:i/>
          <w:iCs/>
        </w:rPr>
        <w:t>ākar</w:t>
      </w:r>
      <w:r w:rsidR="002A7A8B" w:rsidRPr="001F52A8">
        <w:rPr>
          <w:rFonts w:cstheme="minorHAnsi"/>
        </w:rPr>
        <w:t>,</w:t>
      </w:r>
      <w:r w:rsidR="002A7A8B" w:rsidRPr="001F52A8">
        <w:rPr>
          <w:rFonts w:cstheme="minorHAnsi"/>
          <w:i/>
          <w:iCs/>
        </w:rPr>
        <w:t xml:space="preserve"> šākaḥ</w:t>
      </w:r>
      <w:r w:rsidR="002A7A8B" w:rsidRPr="001F52A8">
        <w:rPr>
          <w:rFonts w:cstheme="minorHAnsi"/>
        </w:rPr>
        <w:t xml:space="preserve">). Yahweh </w:t>
      </w:r>
      <w:r w:rsidR="002A7A8B">
        <w:rPr>
          <w:rFonts w:cstheme="minorHAnsi"/>
        </w:rPr>
        <w:t>has</w:t>
      </w:r>
      <w:r w:rsidR="002A7A8B" w:rsidRPr="001F52A8">
        <w:rPr>
          <w:rFonts w:cstheme="minorHAnsi"/>
        </w:rPr>
        <w:t xml:space="preserve"> </w:t>
      </w:r>
      <w:r w:rsidR="00556046">
        <w:rPr>
          <w:rFonts w:cstheme="minorHAnsi"/>
        </w:rPr>
        <w:t>many</w:t>
      </w:r>
      <w:r w:rsidR="002A7A8B" w:rsidRPr="001F52A8">
        <w:rPr>
          <w:rFonts w:cstheme="minorHAnsi"/>
        </w:rPr>
        <w:t xml:space="preserve"> things and people to think about, so she </w:t>
      </w:r>
      <w:r w:rsidR="00F70F27">
        <w:rPr>
          <w:rFonts w:cstheme="minorHAnsi"/>
        </w:rPr>
        <w:t>needs to</w:t>
      </w:r>
      <w:r w:rsidR="002A7A8B" w:rsidRPr="001F52A8">
        <w:rPr>
          <w:rFonts w:cstheme="minorHAnsi"/>
        </w:rPr>
        <w:t xml:space="preserve"> get him to focus on her. </w:t>
      </w:r>
    </w:p>
    <w:p w14:paraId="769BEE31" w14:textId="4556D826" w:rsidR="00FC0E3C" w:rsidRPr="001F52A8" w:rsidRDefault="006641F0" w:rsidP="00FC0E3C">
      <w:r>
        <w:t>L</w:t>
      </w:r>
      <w:r w:rsidRPr="001F52A8">
        <w:rPr>
          <w:rFonts w:cstheme="minorHAnsi"/>
        </w:rPr>
        <w:t xml:space="preserve">ike Naomi </w:t>
      </w:r>
      <w:r w:rsidR="00CC054A">
        <w:rPr>
          <w:rFonts w:cstheme="minorHAnsi"/>
        </w:rPr>
        <w:t>(</w:t>
      </w:r>
      <w:r w:rsidRPr="001F52A8">
        <w:rPr>
          <w:rFonts w:cstheme="minorHAnsi"/>
        </w:rPr>
        <w:t>Ruth 1:20</w:t>
      </w:r>
      <w:r w:rsidR="00CC054A">
        <w:rPr>
          <w:rFonts w:cstheme="minorHAnsi"/>
        </w:rPr>
        <w:t>),</w:t>
      </w:r>
      <w:r>
        <w:t xml:space="preserve"> </w:t>
      </w:r>
      <w:r w:rsidR="00DF41DD">
        <w:t>“</w:t>
      </w:r>
      <w:r w:rsidR="00CC054A">
        <w:t>s</w:t>
      </w:r>
      <w:r w:rsidR="001045AE" w:rsidRPr="001F52A8">
        <w:t xml:space="preserve">he was </w:t>
      </w:r>
      <w:r w:rsidR="00CC054A">
        <w:t>bitter</w:t>
      </w:r>
      <w:r w:rsidR="006664AA">
        <w:t xml:space="preserve"> </w:t>
      </w:r>
      <w:r w:rsidR="001045AE" w:rsidRPr="001F52A8">
        <w:t>in her being, and she pleaded with Yahweh</w:t>
      </w:r>
      <w:r w:rsidR="006C2F42">
        <w:t xml:space="preserve">” (1:10). </w:t>
      </w:r>
      <w:r w:rsidR="006C2F42" w:rsidRPr="001F52A8">
        <w:rPr>
          <w:rFonts w:cstheme="minorHAnsi"/>
        </w:rPr>
        <w:t>Hannah “pleads” (</w:t>
      </w:r>
      <w:r w:rsidR="006C2F42" w:rsidRPr="001F52A8">
        <w:rPr>
          <w:rFonts w:cstheme="minorHAnsi"/>
          <w:i/>
          <w:iCs/>
        </w:rPr>
        <w:t>pālal</w:t>
      </w:r>
      <w:r w:rsidR="006C2F42" w:rsidRPr="001F52A8">
        <w:rPr>
          <w:rFonts w:cstheme="minorHAnsi"/>
        </w:rPr>
        <w:t xml:space="preserve"> hitpael) more than anyone else in the First Testament (1:10, 12, 26, 27; 2:1); </w:t>
      </w:r>
      <w:r w:rsidR="00CA7680">
        <w:rPr>
          <w:rFonts w:cstheme="minorHAnsi"/>
        </w:rPr>
        <w:t>Samuel</w:t>
      </w:r>
      <w:r w:rsidR="00615F61">
        <w:rPr>
          <w:rFonts w:cstheme="minorHAnsi"/>
        </w:rPr>
        <w:t xml:space="preserve"> </w:t>
      </w:r>
      <w:r w:rsidR="00CA7680">
        <w:rPr>
          <w:rFonts w:cstheme="minorHAnsi"/>
        </w:rPr>
        <w:t xml:space="preserve">has more </w:t>
      </w:r>
      <w:r w:rsidR="006C2F42" w:rsidRPr="001F52A8">
        <w:rPr>
          <w:rFonts w:cstheme="minorHAnsi"/>
        </w:rPr>
        <w:t>refer</w:t>
      </w:r>
      <w:r w:rsidR="00CA7680">
        <w:rPr>
          <w:rFonts w:cstheme="minorHAnsi"/>
        </w:rPr>
        <w:t>ence</w:t>
      </w:r>
      <w:r w:rsidR="006C2F42" w:rsidRPr="001F52A8">
        <w:rPr>
          <w:rFonts w:cstheme="minorHAnsi"/>
        </w:rPr>
        <w:t>s to “pleading” than any other</w:t>
      </w:r>
      <w:r w:rsidR="00615F61">
        <w:rPr>
          <w:rFonts w:cstheme="minorHAnsi"/>
        </w:rPr>
        <w:t xml:space="preserve"> </w:t>
      </w:r>
      <w:r w:rsidR="006C2F42" w:rsidRPr="001F52A8">
        <w:rPr>
          <w:rFonts w:cstheme="minorHAnsi"/>
        </w:rPr>
        <w:t>First Testament</w:t>
      </w:r>
      <w:r w:rsidR="00CA7680">
        <w:rPr>
          <w:rFonts w:cstheme="minorHAnsi"/>
        </w:rPr>
        <w:t xml:space="preserve"> book</w:t>
      </w:r>
      <w:r w:rsidR="006C2F42" w:rsidRPr="001F52A8">
        <w:rPr>
          <w:rFonts w:cstheme="minorHAnsi"/>
        </w:rPr>
        <w:t>, all but one in 1 Sam 1 – 12. The default English translation of this verb is “pray,” which is a usefully but also pusillanimously vague verb</w:t>
      </w:r>
      <w:r w:rsidR="00615F61">
        <w:rPr>
          <w:rFonts w:cstheme="minorHAnsi"/>
        </w:rPr>
        <w:t xml:space="preserve"> that</w:t>
      </w:r>
      <w:r w:rsidR="006C2F42" w:rsidRPr="001F52A8">
        <w:rPr>
          <w:rFonts w:cstheme="minorHAnsi"/>
        </w:rPr>
        <w:t xml:space="preserve"> can cover any kind of speech or non-speech in a relationship with God (or no such relationship, as in the expression “our prayers are with you”). </w:t>
      </w:r>
      <w:r w:rsidR="0000408D">
        <w:rPr>
          <w:rFonts w:cstheme="minorHAnsi"/>
        </w:rPr>
        <w:t>But</w:t>
      </w:r>
      <w:r w:rsidR="006C2F42" w:rsidRPr="001F52A8">
        <w:rPr>
          <w:rFonts w:cstheme="minorHAnsi"/>
        </w:rPr>
        <w:t xml:space="preserve"> “plead</w:t>
      </w:r>
      <w:r w:rsidR="0000408D">
        <w:rPr>
          <w:rFonts w:cstheme="minorHAnsi"/>
        </w:rPr>
        <w:t>ing</w:t>
      </w:r>
      <w:r w:rsidR="006C2F42" w:rsidRPr="001F52A8">
        <w:rPr>
          <w:rFonts w:cstheme="minorHAnsi"/>
        </w:rPr>
        <w:t>” means ask</w:t>
      </w:r>
      <w:r w:rsidR="0000408D">
        <w:rPr>
          <w:rFonts w:cstheme="minorHAnsi"/>
        </w:rPr>
        <w:t>ing</w:t>
      </w:r>
      <w:r w:rsidR="006C2F42" w:rsidRPr="001F52A8">
        <w:rPr>
          <w:rFonts w:cstheme="minorHAnsi"/>
        </w:rPr>
        <w:t xml:space="preserve"> for something for oneself or for someone else – supplicat</w:t>
      </w:r>
      <w:r w:rsidR="0000408D">
        <w:rPr>
          <w:rFonts w:cstheme="minorHAnsi"/>
        </w:rPr>
        <w:t>ing</w:t>
      </w:r>
      <w:r w:rsidR="006C2F42" w:rsidRPr="001F52A8">
        <w:rPr>
          <w:rFonts w:cstheme="minorHAnsi"/>
        </w:rPr>
        <w:t xml:space="preserve"> or interced</w:t>
      </w:r>
      <w:r w:rsidR="0000408D">
        <w:rPr>
          <w:rFonts w:cstheme="minorHAnsi"/>
        </w:rPr>
        <w:t>ing</w:t>
      </w:r>
      <w:r w:rsidR="006C2F42" w:rsidRPr="001F52A8">
        <w:rPr>
          <w:rFonts w:cstheme="minorHAnsi"/>
        </w:rPr>
        <w:t xml:space="preserve">; the word has a legal background. It implies </w:t>
      </w:r>
      <w:r w:rsidR="0000408D">
        <w:rPr>
          <w:rFonts w:cstheme="minorHAnsi"/>
        </w:rPr>
        <w:t>being</w:t>
      </w:r>
      <w:r w:rsidR="006C2F42" w:rsidRPr="001F52A8">
        <w:rPr>
          <w:rFonts w:cstheme="minorHAnsi"/>
        </w:rPr>
        <w:t xml:space="preserve"> desperate and powerless</w:t>
      </w:r>
      <w:r w:rsidR="0000408D">
        <w:rPr>
          <w:rFonts w:cstheme="minorHAnsi"/>
        </w:rPr>
        <w:t>, with</w:t>
      </w:r>
      <w:r w:rsidR="006C2F42" w:rsidRPr="001F52A8">
        <w:rPr>
          <w:rFonts w:cstheme="minorHAnsi"/>
        </w:rPr>
        <w:t xml:space="preserve"> no other recourse, no other direction to turn. </w:t>
      </w:r>
      <w:r w:rsidR="00015BC9">
        <w:rPr>
          <w:rFonts w:cstheme="minorHAnsi"/>
        </w:rPr>
        <w:t>Prayer was not a means of getting to feel better.</w:t>
      </w:r>
      <w:r w:rsidR="006C2F42" w:rsidRPr="001F52A8">
        <w:rPr>
          <w:rFonts w:cstheme="minorHAnsi"/>
        </w:rPr>
        <w:t xml:space="preserve"> Hannah’s prayer and promise changed what Yahweh was doing and resulted in </w:t>
      </w:r>
      <w:r w:rsidR="00796D34">
        <w:rPr>
          <w:rFonts w:cstheme="minorHAnsi"/>
        </w:rPr>
        <w:t>the</w:t>
      </w:r>
      <w:r w:rsidR="006C2F42" w:rsidRPr="001F52A8">
        <w:rPr>
          <w:rFonts w:cstheme="minorHAnsi"/>
        </w:rPr>
        <w:t xml:space="preserve"> birth of Samuel, the reform of the priesthood, and the birth of the monarchy.</w:t>
      </w:r>
      <w:r w:rsidR="006C2F42" w:rsidRPr="001F52A8">
        <w:rPr>
          <w:rStyle w:val="FootnoteReference"/>
          <w:rFonts w:cstheme="minorHAnsi"/>
        </w:rPr>
        <w:footnoteReference w:id="51"/>
      </w:r>
      <w:r w:rsidR="006C2F42" w:rsidRPr="001F52A8">
        <w:rPr>
          <w:rFonts w:cstheme="minorHAnsi"/>
        </w:rPr>
        <w:t xml:space="preserve"> Eli warns his sons </w:t>
      </w:r>
      <w:r w:rsidR="00ED6BBB">
        <w:rPr>
          <w:rFonts w:cstheme="minorHAnsi"/>
        </w:rPr>
        <w:t>of</w:t>
      </w:r>
      <w:r w:rsidR="006C2F42" w:rsidRPr="001F52A8">
        <w:rPr>
          <w:rFonts w:cstheme="minorHAnsi"/>
        </w:rPr>
        <w:t xml:space="preserve"> there be</w:t>
      </w:r>
      <w:r w:rsidR="00ED6BBB">
        <w:rPr>
          <w:rFonts w:cstheme="minorHAnsi"/>
        </w:rPr>
        <w:t>ing</w:t>
      </w:r>
      <w:r w:rsidR="006C2F42" w:rsidRPr="001F52A8">
        <w:rPr>
          <w:rFonts w:cstheme="minorHAnsi"/>
        </w:rPr>
        <w:t xml:space="preserve"> no one to p</w:t>
      </w:r>
      <w:r w:rsidR="00ED6BBB">
        <w:rPr>
          <w:rFonts w:cstheme="minorHAnsi"/>
        </w:rPr>
        <w:t>ray</w:t>
      </w:r>
      <w:r w:rsidR="006C2F42" w:rsidRPr="001F52A8">
        <w:rPr>
          <w:rFonts w:cstheme="minorHAnsi"/>
        </w:rPr>
        <w:t xml:space="preserve"> for them (2:25)</w:t>
      </w:r>
      <w:r w:rsidR="00ED6BBB">
        <w:rPr>
          <w:rFonts w:cstheme="minorHAnsi"/>
        </w:rPr>
        <w:t>,</w:t>
      </w:r>
      <w:r w:rsidR="006C2F42" w:rsidRPr="001F52A8">
        <w:rPr>
          <w:rFonts w:cstheme="minorHAnsi"/>
        </w:rPr>
        <w:t xml:space="preserve"> and they die.</w:t>
      </w:r>
      <w:r w:rsidR="00FC0E3C">
        <w:rPr>
          <w:rFonts w:cstheme="minorHAnsi"/>
        </w:rPr>
        <w:t xml:space="preserve"> </w:t>
      </w:r>
      <w:r w:rsidR="00ED6BBB">
        <w:rPr>
          <w:rFonts w:cstheme="minorHAnsi"/>
        </w:rPr>
        <w:t>Prayer</w:t>
      </w:r>
      <w:r w:rsidR="00FC0E3C" w:rsidRPr="001F52A8">
        <w:t xml:space="preserve"> was the key that opened Hannah’s closed womb.</w:t>
      </w:r>
      <w:r w:rsidR="00FC0E3C" w:rsidRPr="001F52A8">
        <w:rPr>
          <w:rStyle w:val="FootnoteReference"/>
        </w:rPr>
        <w:footnoteReference w:id="52"/>
      </w:r>
      <w:r w:rsidR="006943F8">
        <w:t xml:space="preserve"> </w:t>
      </w:r>
    </w:p>
    <w:p w14:paraId="51C49588" w14:textId="65857A01" w:rsidR="00D803D5" w:rsidRPr="001F52A8" w:rsidRDefault="00050DBA" w:rsidP="007F7698">
      <w:pPr>
        <w:rPr>
          <w:rFonts w:cstheme="minorHAnsi"/>
        </w:rPr>
      </w:pPr>
      <w:r>
        <w:t>She also “</w:t>
      </w:r>
      <w:r w:rsidR="001045AE" w:rsidRPr="001F52A8">
        <w:t>cried and cried” (1:10</w:t>
      </w:r>
      <w:r w:rsidR="00DF53D2">
        <w:t xml:space="preserve"> </w:t>
      </w:r>
      <w:r w:rsidR="00B91BB4">
        <w:t xml:space="preserve">also </w:t>
      </w:r>
      <w:r w:rsidR="00DF53D2">
        <w:t>ju</w:t>
      </w:r>
      <w:r w:rsidR="00C8061D">
        <w:t>x</w:t>
      </w:r>
      <w:r w:rsidR="00DF53D2">
        <w:t>taposes two forms of the same verb</w:t>
      </w:r>
      <w:r w:rsidR="006E2728">
        <w:t>, “with crying she cried”</w:t>
      </w:r>
      <w:r w:rsidR="001045AE" w:rsidRPr="001F52A8">
        <w:t xml:space="preserve">). </w:t>
      </w:r>
      <w:r w:rsidR="00F32841" w:rsidRPr="001F52A8">
        <w:rPr>
          <w:rFonts w:cstheme="minorHAnsi"/>
        </w:rPr>
        <w:t>Even if the gates of the sanctuary are locked, “the gates of tears are not locked” (</w:t>
      </w:r>
      <w:r w:rsidR="00F32841" w:rsidRPr="001F52A8">
        <w:rPr>
          <w:rFonts w:cstheme="minorHAnsi"/>
          <w:i/>
          <w:iCs/>
        </w:rPr>
        <w:t xml:space="preserve">b. </w:t>
      </w:r>
      <w:r w:rsidR="00F32841" w:rsidRPr="001F52A8">
        <w:rPr>
          <w:rFonts w:cstheme="minorHAnsi"/>
        </w:rPr>
        <w:t>Berakhot</w:t>
      </w:r>
      <w:r w:rsidR="00F32841" w:rsidRPr="001F52A8">
        <w:rPr>
          <w:rFonts w:cstheme="minorHAnsi"/>
          <w:i/>
          <w:iCs/>
        </w:rPr>
        <w:t xml:space="preserve"> </w:t>
      </w:r>
      <w:r w:rsidR="00F32841" w:rsidRPr="001F52A8">
        <w:rPr>
          <w:rFonts w:cstheme="minorHAnsi"/>
        </w:rPr>
        <w:t>32b).</w:t>
      </w:r>
      <w:r w:rsidR="00F32841">
        <w:rPr>
          <w:rFonts w:cstheme="minorHAnsi"/>
        </w:rPr>
        <w:t xml:space="preserve"> </w:t>
      </w:r>
      <w:r w:rsidR="00DD3D9E" w:rsidRPr="001F52A8">
        <w:rPr>
          <w:rFonts w:cstheme="minorHAnsi"/>
        </w:rPr>
        <w:t xml:space="preserve">Only here does someone pray </w:t>
      </w:r>
      <w:r w:rsidR="00622D4E">
        <w:rPr>
          <w:rFonts w:cstheme="minorHAnsi"/>
        </w:rPr>
        <w:t>“</w:t>
      </w:r>
      <w:r w:rsidR="001503F3">
        <w:rPr>
          <w:rFonts w:cstheme="minorHAnsi"/>
        </w:rPr>
        <w:t xml:space="preserve">towards” </w:t>
      </w:r>
      <w:r w:rsidR="00897696">
        <w:rPr>
          <w:rFonts w:cstheme="minorHAnsi"/>
        </w:rPr>
        <w:t>or “</w:t>
      </w:r>
      <w:r w:rsidR="00622D4E">
        <w:rPr>
          <w:rFonts w:cstheme="minorHAnsi"/>
        </w:rPr>
        <w:t xml:space="preserve">with” </w:t>
      </w:r>
      <w:r w:rsidR="00F47280">
        <w:rPr>
          <w:rFonts w:cstheme="minorHAnsi"/>
        </w:rPr>
        <w:t>Yahweh</w:t>
      </w:r>
      <w:r w:rsidR="0093043F">
        <w:rPr>
          <w:rFonts w:cstheme="minorHAnsi"/>
        </w:rPr>
        <w:t>;</w:t>
      </w:r>
      <w:r w:rsidR="00F47280">
        <w:rPr>
          <w:rFonts w:cstheme="minorHAnsi"/>
        </w:rPr>
        <w:t xml:space="preserve"> </w:t>
      </w:r>
      <w:r w:rsidR="00DD3D9E" w:rsidRPr="001F52A8">
        <w:rPr>
          <w:rFonts w:cstheme="minorHAnsi"/>
        </w:rPr>
        <w:t xml:space="preserve">usually one prays </w:t>
      </w:r>
      <w:r w:rsidR="00F47280">
        <w:rPr>
          <w:rFonts w:cstheme="minorHAnsi"/>
        </w:rPr>
        <w:t>“to” Yahweh</w:t>
      </w:r>
      <w:r w:rsidR="00DD3D9E" w:rsidRPr="001F52A8">
        <w:rPr>
          <w:rFonts w:cstheme="minorHAnsi"/>
        </w:rPr>
        <w:t>, as Hannah later said she did (1:26)</w:t>
      </w:r>
      <w:r w:rsidR="00636314">
        <w:rPr>
          <w:rFonts w:cstheme="minorHAnsi"/>
        </w:rPr>
        <w:t>. T</w:t>
      </w:r>
      <w:r w:rsidR="0093043F">
        <w:rPr>
          <w:rFonts w:cstheme="minorHAnsi"/>
        </w:rPr>
        <w:t>his preposition (</w:t>
      </w:r>
      <w:r w:rsidR="0093043F" w:rsidRPr="001F52A8">
        <w:rPr>
          <w:rFonts w:cstheme="minorHAnsi"/>
          <w:i/>
          <w:iCs/>
        </w:rPr>
        <w:t>‘al</w:t>
      </w:r>
      <w:r w:rsidR="0093043F">
        <w:rPr>
          <w:rFonts w:cstheme="minorHAnsi"/>
        </w:rPr>
        <w:t>)</w:t>
      </w:r>
      <w:r w:rsidR="003F52DC">
        <w:rPr>
          <w:rFonts w:cstheme="minorHAnsi"/>
        </w:rPr>
        <w:t xml:space="preserve"> has more aggressive </w:t>
      </w:r>
      <w:r w:rsidR="00636314">
        <w:rPr>
          <w:rFonts w:cstheme="minorHAnsi"/>
        </w:rPr>
        <w:t>connotations</w:t>
      </w:r>
      <w:r w:rsidR="00DD3D9E" w:rsidRPr="001F52A8">
        <w:rPr>
          <w:rFonts w:cstheme="minorHAnsi"/>
        </w:rPr>
        <w:t xml:space="preserve">. </w:t>
      </w:r>
      <w:r w:rsidR="00636314">
        <w:rPr>
          <w:rFonts w:cstheme="minorHAnsi"/>
        </w:rPr>
        <w:t>It</w:t>
      </w:r>
      <w:r w:rsidR="00DD3D9E" w:rsidRPr="001F52A8">
        <w:rPr>
          <w:rFonts w:cstheme="minorHAnsi"/>
        </w:rPr>
        <w:t xml:space="preserve"> fits with </w:t>
      </w:r>
      <w:r w:rsidR="007F35FE">
        <w:rPr>
          <w:rFonts w:cstheme="minorHAnsi"/>
        </w:rPr>
        <w:t>her</w:t>
      </w:r>
      <w:r w:rsidR="00DD3D9E" w:rsidRPr="001F52A8">
        <w:rPr>
          <w:rFonts w:cstheme="minorHAnsi"/>
        </w:rPr>
        <w:t xml:space="preserve"> be</w:t>
      </w:r>
      <w:r w:rsidR="007F35FE">
        <w:rPr>
          <w:rFonts w:cstheme="minorHAnsi"/>
        </w:rPr>
        <w:t>ing</w:t>
      </w:r>
      <w:r w:rsidR="00DD3D9E" w:rsidRPr="001F52A8">
        <w:rPr>
          <w:rFonts w:cstheme="minorHAnsi"/>
        </w:rPr>
        <w:t xml:space="preserve"> called “bitter in her being</w:t>
      </w:r>
      <w:r w:rsidR="007F35FE">
        <w:rPr>
          <w:rFonts w:cstheme="minorHAnsi"/>
        </w:rPr>
        <w:t xml:space="preserve">” and </w:t>
      </w:r>
      <w:r w:rsidR="005F7908" w:rsidRPr="001F52A8">
        <w:t>“tough in spirit” (1:15).</w:t>
      </w:r>
      <w:r w:rsidR="005D3442" w:rsidRPr="001F52A8">
        <w:t xml:space="preserve"> </w:t>
      </w:r>
    </w:p>
    <w:p w14:paraId="470495A2" w14:textId="2FC9820F" w:rsidR="001F72B5" w:rsidRPr="001F52A8" w:rsidRDefault="00216308" w:rsidP="001F72B5">
      <w:pPr>
        <w:rPr>
          <w:rFonts w:cstheme="minorHAnsi"/>
        </w:rPr>
      </w:pPr>
      <w:r w:rsidRPr="001F52A8">
        <w:rPr>
          <w:rFonts w:cstheme="minorHAnsi"/>
        </w:rPr>
        <w:t>An</w:t>
      </w:r>
      <w:r w:rsidR="00E12ED6" w:rsidRPr="001F52A8">
        <w:rPr>
          <w:rFonts w:cstheme="minorHAnsi"/>
        </w:rPr>
        <w:t xml:space="preserve"> odd thing about her prayer</w:t>
      </w:r>
      <w:r w:rsidRPr="001F52A8">
        <w:rPr>
          <w:rFonts w:cstheme="minorHAnsi"/>
        </w:rPr>
        <w:t xml:space="preserve"> is that</w:t>
      </w:r>
      <w:r w:rsidR="00E12ED6" w:rsidRPr="001F52A8">
        <w:rPr>
          <w:rFonts w:cstheme="minorHAnsi"/>
        </w:rPr>
        <w:t xml:space="preserve"> it was silent (1:13)</w:t>
      </w:r>
      <w:r w:rsidRPr="001F52A8">
        <w:rPr>
          <w:rFonts w:cstheme="minorHAnsi"/>
        </w:rPr>
        <w:t>, which is not the nature of prayer in the Scriptures</w:t>
      </w:r>
      <w:r w:rsidR="00E12ED6" w:rsidRPr="001F52A8">
        <w:rPr>
          <w:rFonts w:cstheme="minorHAnsi"/>
        </w:rPr>
        <w:t>.</w:t>
      </w:r>
      <w:r w:rsidR="00DD7CA2" w:rsidRPr="001F52A8">
        <w:rPr>
          <w:rFonts w:cstheme="minorHAnsi"/>
        </w:rPr>
        <w:t xml:space="preserve"> </w:t>
      </w:r>
      <w:r w:rsidRPr="001F52A8">
        <w:rPr>
          <w:rFonts w:ascii="Calibri" w:hAnsi="Calibri" w:cs="Calibri"/>
        </w:rPr>
        <w:t>But s</w:t>
      </w:r>
      <w:r w:rsidR="00F55B4F" w:rsidRPr="001F52A8">
        <w:rPr>
          <w:rFonts w:ascii="Calibri" w:hAnsi="Calibri" w:cs="Calibri"/>
        </w:rPr>
        <w:t>ilence is one of Hannah’s characteristics.</w:t>
      </w:r>
      <w:r w:rsidR="00F55B4F" w:rsidRPr="001F52A8">
        <w:rPr>
          <w:rStyle w:val="FootnoteReference"/>
          <w:rFonts w:ascii="Calibri" w:hAnsi="Calibri" w:cs="Calibri"/>
        </w:rPr>
        <w:footnoteReference w:id="53"/>
      </w:r>
      <w:r w:rsidR="00F55B4F" w:rsidRPr="001F52A8">
        <w:rPr>
          <w:rFonts w:cstheme="minorHAnsi"/>
        </w:rPr>
        <w:t xml:space="preserve"> </w:t>
      </w:r>
      <w:r w:rsidR="00A27D93" w:rsidRPr="001F52A8">
        <w:rPr>
          <w:rFonts w:cstheme="minorHAnsi"/>
        </w:rPr>
        <w:t>“</w:t>
      </w:r>
      <w:r w:rsidR="00316EE5" w:rsidRPr="001F52A8">
        <w:rPr>
          <w:rFonts w:ascii="Calibri" w:hAnsi="Calibri" w:cs="Calibri"/>
        </w:rPr>
        <w:t>Prayer is</w:t>
      </w:r>
      <w:r w:rsidR="00A27D93" w:rsidRPr="001F52A8">
        <w:rPr>
          <w:rFonts w:ascii="Calibri" w:hAnsi="Calibri" w:cs="Calibri"/>
        </w:rPr>
        <w:t xml:space="preserve"> . . .</w:t>
      </w:r>
      <w:r w:rsidR="00316EE5" w:rsidRPr="001F52A8">
        <w:rPr>
          <w:rFonts w:ascii="Calibri" w:hAnsi="Calibri" w:cs="Calibri"/>
        </w:rPr>
        <w:t xml:space="preserve"> convers</w:t>
      </w:r>
      <w:r w:rsidR="00AA4A25" w:rsidRPr="001F52A8">
        <w:rPr>
          <w:rFonts w:ascii="Calibri" w:hAnsi="Calibri" w:cs="Calibri"/>
        </w:rPr>
        <w:t>e</w:t>
      </w:r>
      <w:r w:rsidR="00316EE5" w:rsidRPr="001F52A8">
        <w:rPr>
          <w:rFonts w:ascii="Calibri" w:hAnsi="Calibri" w:cs="Calibri"/>
        </w:rPr>
        <w:t xml:space="preserve"> with God. Though whispering,</w:t>
      </w:r>
      <w:r w:rsidR="00A27D93" w:rsidRPr="001F52A8">
        <w:rPr>
          <w:rFonts w:cstheme="minorHAnsi"/>
        </w:rPr>
        <w:t xml:space="preserve"> </w:t>
      </w:r>
      <w:r w:rsidR="00316EE5" w:rsidRPr="001F52A8">
        <w:rPr>
          <w:rFonts w:ascii="Calibri" w:hAnsi="Calibri" w:cs="Calibri"/>
        </w:rPr>
        <w:t>consequently, and not opening the lips,</w:t>
      </w:r>
      <w:r w:rsidR="00A27D93" w:rsidRPr="001F52A8">
        <w:rPr>
          <w:rFonts w:cstheme="minorHAnsi"/>
        </w:rPr>
        <w:t xml:space="preserve"> </w:t>
      </w:r>
      <w:r w:rsidR="00316EE5" w:rsidRPr="001F52A8">
        <w:rPr>
          <w:rFonts w:ascii="Calibri" w:hAnsi="Calibri" w:cs="Calibri"/>
        </w:rPr>
        <w:t>we speak in silence, yet we cry inwardly. For God</w:t>
      </w:r>
      <w:r w:rsidR="00A27D93" w:rsidRPr="001F52A8">
        <w:rPr>
          <w:rFonts w:cstheme="minorHAnsi"/>
        </w:rPr>
        <w:t xml:space="preserve"> </w:t>
      </w:r>
      <w:r w:rsidR="00316EE5" w:rsidRPr="001F52A8">
        <w:rPr>
          <w:rFonts w:ascii="Calibri" w:hAnsi="Calibri" w:cs="Calibri"/>
        </w:rPr>
        <w:lastRenderedPageBreak/>
        <w:t xml:space="preserve">hears continually </w:t>
      </w:r>
      <w:r w:rsidR="007013EF" w:rsidRPr="001F52A8">
        <w:rPr>
          <w:rFonts w:ascii="Calibri" w:hAnsi="Calibri" w:cs="Calibri"/>
        </w:rPr>
        <w:t xml:space="preserve">all </w:t>
      </w:r>
      <w:r w:rsidR="00316EE5" w:rsidRPr="001F52A8">
        <w:rPr>
          <w:rFonts w:ascii="Calibri" w:hAnsi="Calibri" w:cs="Calibri"/>
        </w:rPr>
        <w:t>the inward convers</w:t>
      </w:r>
      <w:r w:rsidR="00AA4A25" w:rsidRPr="001F52A8">
        <w:rPr>
          <w:rFonts w:ascii="Calibri" w:hAnsi="Calibri" w:cs="Calibri"/>
        </w:rPr>
        <w:t>e</w:t>
      </w:r>
      <w:r w:rsidR="00A27D93" w:rsidRPr="001F52A8">
        <w:rPr>
          <w:rFonts w:ascii="Calibri" w:hAnsi="Calibri" w:cs="Calibri"/>
        </w:rPr>
        <w:t>.”</w:t>
      </w:r>
      <w:r w:rsidR="00A27D93" w:rsidRPr="001F52A8">
        <w:rPr>
          <w:rStyle w:val="FootnoteReference"/>
          <w:rFonts w:ascii="Calibri" w:hAnsi="Calibri" w:cs="Calibri"/>
        </w:rPr>
        <w:footnoteReference w:id="54"/>
      </w:r>
      <w:r w:rsidR="00A93DFD" w:rsidRPr="001F52A8">
        <w:rPr>
          <w:rFonts w:cstheme="minorHAnsi"/>
        </w:rPr>
        <w:t xml:space="preserve"> </w:t>
      </w:r>
      <w:r w:rsidR="00062E32" w:rsidRPr="001F52A8">
        <w:t xml:space="preserve">Her </w:t>
      </w:r>
      <w:r w:rsidR="006D1C49" w:rsidRPr="001F52A8">
        <w:t>praying silently</w:t>
      </w:r>
      <w:r w:rsidR="004A7081" w:rsidRPr="001F52A8">
        <w:t xml:space="preserve"> does </w:t>
      </w:r>
      <w:r w:rsidR="004E10D1" w:rsidRPr="001F52A8">
        <w:t xml:space="preserve">anticipate Jesus’s later </w:t>
      </w:r>
      <w:r w:rsidR="00B1200A" w:rsidRPr="001F52A8">
        <w:t>bidding to pray secretly (</w:t>
      </w:r>
      <w:r w:rsidR="004A7081" w:rsidRPr="001F52A8">
        <w:t>Matt 6:5</w:t>
      </w:r>
      <w:r w:rsidR="00DB7B03" w:rsidRPr="001F52A8">
        <w:t>-</w:t>
      </w:r>
      <w:r w:rsidR="004A7081" w:rsidRPr="001F52A8">
        <w:t>6</w:t>
      </w:r>
      <w:r w:rsidR="00B1200A" w:rsidRPr="001F52A8">
        <w:t>)</w:t>
      </w:r>
      <w:r w:rsidR="004A7081" w:rsidRPr="001F52A8">
        <w:t xml:space="preserve">. </w:t>
      </w:r>
      <w:r w:rsidR="001951C6" w:rsidRPr="001F52A8">
        <w:rPr>
          <w:rFonts w:cstheme="minorHAnsi"/>
        </w:rPr>
        <w:t xml:space="preserve">On the other hand, it was no brief prayer: </w:t>
      </w:r>
      <w:r w:rsidR="000E73F1" w:rsidRPr="001F52A8">
        <w:rPr>
          <w:rFonts w:cstheme="minorHAnsi"/>
        </w:rPr>
        <w:t xml:space="preserve">as well as “crying and crying” </w:t>
      </w:r>
      <w:r w:rsidR="00B02368" w:rsidRPr="001F52A8">
        <w:rPr>
          <w:rFonts w:cstheme="minorHAnsi"/>
        </w:rPr>
        <w:t xml:space="preserve">(1:10), </w:t>
      </w:r>
      <w:r w:rsidR="001951C6" w:rsidRPr="001F52A8">
        <w:rPr>
          <w:rFonts w:cstheme="minorHAnsi"/>
        </w:rPr>
        <w:t xml:space="preserve">she was </w:t>
      </w:r>
      <w:r w:rsidR="00B02368" w:rsidRPr="001F52A8">
        <w:rPr>
          <w:rFonts w:cstheme="minorHAnsi"/>
        </w:rPr>
        <w:t>“</w:t>
      </w:r>
      <w:r w:rsidR="001951C6" w:rsidRPr="001F52A8">
        <w:rPr>
          <w:rFonts w:cstheme="minorHAnsi"/>
        </w:rPr>
        <w:t>profuse in her p</w:t>
      </w:r>
      <w:r w:rsidR="00836E30" w:rsidRPr="001F52A8">
        <w:rPr>
          <w:rFonts w:cstheme="minorHAnsi"/>
        </w:rPr>
        <w:t>lead</w:t>
      </w:r>
      <w:r w:rsidR="001951C6" w:rsidRPr="001F52A8">
        <w:rPr>
          <w:rFonts w:cstheme="minorHAnsi"/>
        </w:rPr>
        <w:t xml:space="preserve">ing” (1:12), like the people Isaiah </w:t>
      </w:r>
      <w:r w:rsidR="00016E6E">
        <w:rPr>
          <w:rFonts w:cstheme="minorHAnsi"/>
        </w:rPr>
        <w:t>and</w:t>
      </w:r>
      <w:r w:rsidR="00775AC9">
        <w:rPr>
          <w:rFonts w:cstheme="minorHAnsi"/>
        </w:rPr>
        <w:t xml:space="preserve"> </w:t>
      </w:r>
      <w:r w:rsidR="001951C6" w:rsidRPr="001F52A8">
        <w:rPr>
          <w:rFonts w:cstheme="minorHAnsi"/>
        </w:rPr>
        <w:t>Jesus</w:t>
      </w:r>
      <w:r w:rsidR="00B02368" w:rsidRPr="001F52A8">
        <w:rPr>
          <w:rFonts w:cstheme="minorHAnsi"/>
        </w:rPr>
        <w:t xml:space="preserve"> critique (</w:t>
      </w:r>
      <w:r w:rsidR="00016E6E">
        <w:rPr>
          <w:rFonts w:cstheme="minorHAnsi"/>
        </w:rPr>
        <w:t xml:space="preserve">Isa 1:15; </w:t>
      </w:r>
      <w:r w:rsidR="00784692" w:rsidRPr="001F52A8">
        <w:rPr>
          <w:rFonts w:cstheme="minorHAnsi"/>
        </w:rPr>
        <w:t>M</w:t>
      </w:r>
      <w:r w:rsidR="00B02368" w:rsidRPr="001F52A8">
        <w:rPr>
          <w:rFonts w:cstheme="minorHAnsi"/>
        </w:rPr>
        <w:t>att 6:</w:t>
      </w:r>
      <w:r w:rsidR="00784692" w:rsidRPr="001F52A8">
        <w:rPr>
          <w:rFonts w:cstheme="minorHAnsi"/>
        </w:rPr>
        <w:t>7</w:t>
      </w:r>
      <w:r w:rsidR="00DB7B03" w:rsidRPr="001F52A8">
        <w:rPr>
          <w:rFonts w:cstheme="minorHAnsi"/>
        </w:rPr>
        <w:t>-</w:t>
      </w:r>
      <w:r w:rsidR="00784692" w:rsidRPr="001F52A8">
        <w:rPr>
          <w:rFonts w:cstheme="minorHAnsi"/>
        </w:rPr>
        <w:t>8)</w:t>
      </w:r>
      <w:r w:rsidR="001951C6" w:rsidRPr="001F52A8">
        <w:rPr>
          <w:rFonts w:cstheme="minorHAnsi"/>
        </w:rPr>
        <w:t xml:space="preserve">! </w:t>
      </w:r>
    </w:p>
    <w:p w14:paraId="21D2DFC3" w14:textId="77777777" w:rsidR="00BC1AD6" w:rsidRDefault="0045692F" w:rsidP="00555DB7">
      <w:pPr>
        <w:rPr>
          <w:rFonts w:ascii="Calibri" w:hAnsi="Calibri" w:cs="Calibri"/>
        </w:rPr>
      </w:pPr>
      <w:r w:rsidRPr="001F52A8">
        <w:t>A</w:t>
      </w:r>
      <w:r w:rsidR="003A6D7C" w:rsidRPr="001F52A8">
        <w:t xml:space="preserve"> further link </w:t>
      </w:r>
      <w:r w:rsidR="00156A61">
        <w:t>with</w:t>
      </w:r>
      <w:r w:rsidR="003A6D7C" w:rsidRPr="001F52A8">
        <w:t xml:space="preserve"> prayer </w:t>
      </w:r>
      <w:r w:rsidR="00112CAD">
        <w:t>in</w:t>
      </w:r>
      <w:r w:rsidR="003A6D7C" w:rsidRPr="001F52A8">
        <w:t xml:space="preserve"> the Psalms is that Hannah goes on to make a promise to Yahweh to be fulfilled if he answers her prayer</w:t>
      </w:r>
      <w:r w:rsidR="00555DB7">
        <w:rPr>
          <w:rFonts w:cstheme="minorHAnsi"/>
        </w:rPr>
        <w:t xml:space="preserve">. </w:t>
      </w:r>
      <w:r w:rsidR="000A56CE" w:rsidRPr="001F52A8">
        <w:t>While prayer means asking God to do things or give you things</w:t>
      </w:r>
      <w:r w:rsidR="00D200FF" w:rsidRPr="001F52A8">
        <w:t>,</w:t>
      </w:r>
      <w:r w:rsidR="004577E1" w:rsidRPr="001F52A8">
        <w:t xml:space="preserve"> </w:t>
      </w:r>
      <w:r w:rsidR="000A56CE" w:rsidRPr="001F52A8">
        <w:t>it</w:t>
      </w:r>
      <w:r w:rsidR="00605595" w:rsidRPr="001F52A8">
        <w:t xml:space="preserve"> </w:t>
      </w:r>
      <w:r w:rsidR="000A56CE" w:rsidRPr="001F52A8">
        <w:t>also</w:t>
      </w:r>
      <w:r w:rsidR="00F7725E">
        <w:t xml:space="preserve"> implies</w:t>
      </w:r>
      <w:r w:rsidR="000A56CE" w:rsidRPr="001F52A8">
        <w:t xml:space="preserve"> a commitment. </w:t>
      </w:r>
      <w:r w:rsidR="00605AF3" w:rsidRPr="001F52A8">
        <w:rPr>
          <w:rFonts w:cstheme="minorHAnsi"/>
        </w:rPr>
        <w:t>“If you will give your maidservant offspring, I will give him to Yahweh all the days of his life, and a razor will not come upon his head” (1:11).</w:t>
      </w:r>
      <w:r w:rsidR="00604740" w:rsidRPr="001F52A8">
        <w:t xml:space="preserve"> </w:t>
      </w:r>
      <w:r w:rsidR="00804D18">
        <w:rPr>
          <w:rFonts w:cstheme="minorHAnsi"/>
        </w:rPr>
        <w:t>While o</w:t>
      </w:r>
      <w:r w:rsidR="00894EF2" w:rsidRPr="001F52A8">
        <w:rPr>
          <w:rFonts w:cstheme="minorHAnsi"/>
        </w:rPr>
        <w:t xml:space="preserve">ne could read </w:t>
      </w:r>
      <w:r w:rsidR="00A3508B">
        <w:rPr>
          <w:rFonts w:cstheme="minorHAnsi"/>
        </w:rPr>
        <w:t>her</w:t>
      </w:r>
      <w:r w:rsidR="00894EF2" w:rsidRPr="001F52A8">
        <w:rPr>
          <w:rFonts w:cstheme="minorHAnsi"/>
        </w:rPr>
        <w:t xml:space="preserve"> promise as a questionable attempt to bribe Yahweh and/or a questionable imposition on her son</w:t>
      </w:r>
      <w:r w:rsidR="00804D18">
        <w:rPr>
          <w:rFonts w:cstheme="minorHAnsi"/>
        </w:rPr>
        <w:t>,</w:t>
      </w:r>
      <w:r w:rsidR="00894EF2" w:rsidRPr="001F52A8">
        <w:rPr>
          <w:rFonts w:cstheme="minorHAnsi"/>
        </w:rPr>
        <w:t xml:space="preserve"> the story </w:t>
      </w:r>
      <w:r w:rsidR="00804D18">
        <w:rPr>
          <w:rFonts w:cstheme="minorHAnsi"/>
        </w:rPr>
        <w:t>implicitly</w:t>
      </w:r>
      <w:r w:rsidR="00894EF2" w:rsidRPr="001F52A8">
        <w:rPr>
          <w:rFonts w:cstheme="minorHAnsi"/>
        </w:rPr>
        <w:t xml:space="preserve"> </w:t>
      </w:r>
      <w:r w:rsidR="00804D18">
        <w:rPr>
          <w:rFonts w:cstheme="minorHAnsi"/>
        </w:rPr>
        <w:t>sees it as</w:t>
      </w:r>
      <w:r w:rsidR="00E20E27" w:rsidRPr="001F52A8">
        <w:t xml:space="preserve"> an aspect of a reciprocal relationship</w:t>
      </w:r>
      <w:r w:rsidR="00804D18">
        <w:t xml:space="preserve"> with Yahweh</w:t>
      </w:r>
      <w:r w:rsidR="005B6E2E">
        <w:t xml:space="preserve"> and a</w:t>
      </w:r>
      <w:r w:rsidR="005B6E2E" w:rsidRPr="001F52A8">
        <w:rPr>
          <w:rFonts w:cstheme="minorHAnsi"/>
        </w:rPr>
        <w:t xml:space="preserve"> proper gesture of thankfulness to Yahweh. </w:t>
      </w:r>
      <w:r w:rsidR="00E20E27" w:rsidRPr="001F52A8">
        <w:rPr>
          <w:rFonts w:ascii="Calibri" w:hAnsi="Calibri" w:cs="Calibri"/>
        </w:rPr>
        <w:t>“Truly here was a daughter of Abraham. He gave when it was demanded of him. She offers even before it is demanded.”</w:t>
      </w:r>
      <w:r w:rsidR="00E20E27" w:rsidRPr="001F52A8">
        <w:rPr>
          <w:rStyle w:val="FootnoteReference"/>
          <w:rFonts w:ascii="Calibri" w:hAnsi="Calibri" w:cs="Calibri"/>
        </w:rPr>
        <w:footnoteReference w:id="55"/>
      </w:r>
      <w:r w:rsidR="00E20E27" w:rsidRPr="001F52A8">
        <w:rPr>
          <w:rFonts w:ascii="Calibri" w:hAnsi="Calibri" w:cs="Calibri"/>
        </w:rPr>
        <w:t xml:space="preserve"> </w:t>
      </w:r>
    </w:p>
    <w:p w14:paraId="4B183822" w14:textId="6E678130" w:rsidR="00645AD5" w:rsidRDefault="00346F5B" w:rsidP="00555DB7">
      <w:r>
        <w:t>T</w:t>
      </w:r>
      <w:r w:rsidRPr="001F52A8">
        <w:t>he nature of her plea</w:t>
      </w:r>
      <w:r>
        <w:t xml:space="preserve"> makes</w:t>
      </w:r>
      <w:r w:rsidRPr="001F52A8">
        <w:t xml:space="preserve"> </w:t>
      </w:r>
      <w:r w:rsidRPr="001F52A8">
        <w:rPr>
          <w:rFonts w:cstheme="minorHAnsi"/>
        </w:rPr>
        <w:t xml:space="preserve">her promise paradoxical. </w:t>
      </w:r>
      <w:r w:rsidR="00BD206D" w:rsidRPr="001F52A8">
        <w:rPr>
          <w:rFonts w:cstheme="minorHAnsi"/>
        </w:rPr>
        <w:t>G</w:t>
      </w:r>
      <w:r w:rsidR="003A6D7C" w:rsidRPr="001F52A8">
        <w:rPr>
          <w:rFonts w:cstheme="minorHAnsi"/>
        </w:rPr>
        <w:t>iving the child to Yahweh would imply giving him to serve at Shiloh</w:t>
      </w:r>
      <w:r w:rsidR="005068BA">
        <w:rPr>
          <w:rFonts w:cstheme="minorHAnsi"/>
        </w:rPr>
        <w:t>, as</w:t>
      </w:r>
      <w:r w:rsidR="003A6D7C" w:rsidRPr="001F52A8">
        <w:rPr>
          <w:rFonts w:cstheme="minorHAnsi"/>
        </w:rPr>
        <w:t xml:space="preserve"> happens, so </w:t>
      </w:r>
      <w:r w:rsidR="00BD206D" w:rsidRPr="001F52A8">
        <w:rPr>
          <w:rFonts w:cstheme="minorHAnsi"/>
        </w:rPr>
        <w:t>Hannah</w:t>
      </w:r>
      <w:r w:rsidR="003A6D7C" w:rsidRPr="001F52A8">
        <w:rPr>
          <w:rFonts w:cstheme="minorHAnsi"/>
        </w:rPr>
        <w:t xml:space="preserve"> is not focusing on having someone to look after her in her old age. </w:t>
      </w:r>
      <w:r w:rsidR="008526E0">
        <w:rPr>
          <w:rFonts w:cstheme="minorHAnsi"/>
        </w:rPr>
        <w:t>Will</w:t>
      </w:r>
      <w:r w:rsidR="008526E0" w:rsidRPr="001F52A8">
        <w:rPr>
          <w:rFonts w:cstheme="minorHAnsi"/>
        </w:rPr>
        <w:t xml:space="preserve"> simpl</w:t>
      </w:r>
      <w:r w:rsidR="008526E0">
        <w:rPr>
          <w:rFonts w:cstheme="minorHAnsi"/>
        </w:rPr>
        <w:t>y</w:t>
      </w:r>
      <w:r w:rsidR="008526E0" w:rsidRPr="001F52A8">
        <w:rPr>
          <w:rFonts w:cstheme="minorHAnsi"/>
        </w:rPr>
        <w:t xml:space="preserve"> having a baby mean her humanly, womanly life </w:t>
      </w:r>
      <w:r w:rsidR="008526E0">
        <w:rPr>
          <w:rFonts w:cstheme="minorHAnsi"/>
        </w:rPr>
        <w:t>is</w:t>
      </w:r>
      <w:r w:rsidR="008526E0" w:rsidRPr="001F52A8">
        <w:rPr>
          <w:rFonts w:cstheme="minorHAnsi"/>
        </w:rPr>
        <w:t xml:space="preserve"> complete and her shame remove</w:t>
      </w:r>
      <w:r w:rsidR="00DC1F0F">
        <w:rPr>
          <w:rFonts w:cstheme="minorHAnsi"/>
        </w:rPr>
        <w:t>d</w:t>
      </w:r>
      <w:r w:rsidR="008526E0">
        <w:rPr>
          <w:rFonts w:cstheme="minorHAnsi"/>
        </w:rPr>
        <w:t>, so</w:t>
      </w:r>
      <w:r w:rsidR="008526E0" w:rsidRPr="001F52A8">
        <w:rPr>
          <w:rFonts w:cstheme="minorHAnsi"/>
        </w:rPr>
        <w:t xml:space="preserve"> she can then happily give him up</w:t>
      </w:r>
      <w:r w:rsidR="008526E0">
        <w:rPr>
          <w:rFonts w:cstheme="minorHAnsi"/>
        </w:rPr>
        <w:t xml:space="preserve">? </w:t>
      </w:r>
      <w:r w:rsidR="00C63D57">
        <w:rPr>
          <w:rFonts w:cstheme="minorHAnsi"/>
        </w:rPr>
        <w:t>Might</w:t>
      </w:r>
      <w:r w:rsidR="00C63D57" w:rsidRPr="001F52A8">
        <w:rPr>
          <w:rFonts w:cstheme="minorHAnsi"/>
        </w:rPr>
        <w:t xml:space="preserve"> she pray </w:t>
      </w:r>
      <w:r w:rsidR="00C63D57">
        <w:rPr>
          <w:rFonts w:cstheme="minorHAnsi"/>
        </w:rPr>
        <w:t xml:space="preserve">in </w:t>
      </w:r>
      <w:r w:rsidR="00C63D57" w:rsidRPr="001F52A8">
        <w:rPr>
          <w:rFonts w:cstheme="minorHAnsi"/>
        </w:rPr>
        <w:t>a way that Eli couldn</w:t>
      </w:r>
      <w:r w:rsidR="00C63D57">
        <w:rPr>
          <w:rFonts w:cstheme="minorHAnsi"/>
        </w:rPr>
        <w:t>’</w:t>
      </w:r>
      <w:r w:rsidR="00C63D57" w:rsidRPr="001F52A8">
        <w:rPr>
          <w:rFonts w:cstheme="minorHAnsi"/>
        </w:rPr>
        <w:t>t hear</w:t>
      </w:r>
      <w:r w:rsidR="00C63D57">
        <w:rPr>
          <w:rFonts w:cstheme="minorHAnsi"/>
        </w:rPr>
        <w:t xml:space="preserve"> because she</w:t>
      </w:r>
      <w:r w:rsidR="00C63D57">
        <w:rPr>
          <w:rFonts w:ascii="Calibri" w:hAnsi="Calibri" w:cs="Calibri"/>
        </w:rPr>
        <w:t xml:space="preserve"> wants</w:t>
      </w:r>
      <w:r w:rsidR="00C63D57" w:rsidRPr="001F52A8">
        <w:rPr>
          <w:rFonts w:cstheme="minorHAnsi"/>
        </w:rPr>
        <w:t xml:space="preserve"> a son in the service of Yahweh </w:t>
      </w:r>
      <w:r w:rsidR="00C63D57">
        <w:rPr>
          <w:rFonts w:cstheme="minorHAnsi"/>
        </w:rPr>
        <w:t>through whom</w:t>
      </w:r>
      <w:r w:rsidR="00C63D57" w:rsidRPr="001F52A8">
        <w:rPr>
          <w:rFonts w:cstheme="minorHAnsi"/>
        </w:rPr>
        <w:t xml:space="preserve"> she c</w:t>
      </w:r>
      <w:r w:rsidR="00C63D57">
        <w:rPr>
          <w:rFonts w:cstheme="minorHAnsi"/>
        </w:rPr>
        <w:t>an</w:t>
      </w:r>
      <w:r w:rsidR="00C63D57" w:rsidRPr="001F52A8">
        <w:rPr>
          <w:rFonts w:cstheme="minorHAnsi"/>
        </w:rPr>
        <w:t xml:space="preserve"> vicariously have the </w:t>
      </w:r>
      <w:r w:rsidR="00C63D57">
        <w:rPr>
          <w:rFonts w:cstheme="minorHAnsi"/>
        </w:rPr>
        <w:t xml:space="preserve">ministerial </w:t>
      </w:r>
      <w:r w:rsidR="00C63D57" w:rsidRPr="001F52A8">
        <w:rPr>
          <w:rFonts w:cstheme="minorHAnsi"/>
        </w:rPr>
        <w:t xml:space="preserve">position that </w:t>
      </w:r>
      <w:r w:rsidR="00C63D57">
        <w:rPr>
          <w:rFonts w:cstheme="minorHAnsi"/>
        </w:rPr>
        <w:t>is not</w:t>
      </w:r>
      <w:r w:rsidR="00C63D57" w:rsidRPr="001F52A8">
        <w:rPr>
          <w:rFonts w:cstheme="minorHAnsi"/>
        </w:rPr>
        <w:t xml:space="preserve"> open to her </w:t>
      </w:r>
      <w:r w:rsidR="00C63D57">
        <w:rPr>
          <w:rFonts w:cstheme="minorHAnsi"/>
        </w:rPr>
        <w:t>as</w:t>
      </w:r>
      <w:r w:rsidR="00C63D57" w:rsidRPr="001F52A8">
        <w:rPr>
          <w:rFonts w:cstheme="minorHAnsi"/>
        </w:rPr>
        <w:t xml:space="preserve"> a woman?</w:t>
      </w:r>
      <w:r w:rsidR="00950D0A">
        <w:rPr>
          <w:rFonts w:cstheme="minorHAnsi"/>
        </w:rPr>
        <w:t>!</w:t>
      </w:r>
      <w:r w:rsidR="00C63D57" w:rsidRPr="001F52A8">
        <w:rPr>
          <w:rStyle w:val="FootnoteReference"/>
        </w:rPr>
        <w:footnoteReference w:id="56"/>
      </w:r>
      <w:r w:rsidR="00C63D57">
        <w:rPr>
          <w:rFonts w:cstheme="minorHAnsi"/>
        </w:rPr>
        <w:t xml:space="preserve"> </w:t>
      </w:r>
      <w:r w:rsidR="00645AD5" w:rsidRPr="001F52A8">
        <w:rPr>
          <w:rFonts w:cstheme="minorHAnsi"/>
        </w:rPr>
        <w:t xml:space="preserve">But </w:t>
      </w:r>
      <w:r w:rsidR="00645AD5">
        <w:rPr>
          <w:rFonts w:cstheme="minorHAnsi"/>
        </w:rPr>
        <w:t>“offspring” (</w:t>
      </w:r>
      <w:r w:rsidR="00645AD5">
        <w:rPr>
          <w:rFonts w:cstheme="minorHAnsi"/>
          <w:i/>
          <w:iCs/>
        </w:rPr>
        <w:t>zera‘ ’ănāšîm</w:t>
      </w:r>
      <w:r w:rsidR="00645AD5">
        <w:rPr>
          <w:rFonts w:cstheme="minorHAnsi"/>
        </w:rPr>
        <w:t>)</w:t>
      </w:r>
      <w:r w:rsidR="00645AD5">
        <w:rPr>
          <w:rFonts w:cstheme="minorHAnsi"/>
          <w:i/>
          <w:iCs/>
        </w:rPr>
        <w:t xml:space="preserve"> </w:t>
      </w:r>
      <w:r w:rsidR="00645AD5" w:rsidRPr="001F52A8">
        <w:rPr>
          <w:rFonts w:cstheme="minorHAnsi"/>
        </w:rPr>
        <w:t xml:space="preserve">is literally </w:t>
      </w:r>
      <w:r w:rsidR="00645AD5" w:rsidRPr="001F52A8">
        <w:t xml:space="preserve">“seed of human beings,” which </w:t>
      </w:r>
      <w:r w:rsidR="002C03A5">
        <w:t>neither</w:t>
      </w:r>
      <w:r w:rsidR="00645AD5" w:rsidRPr="001F52A8">
        <w:t xml:space="preserve"> designate</w:t>
      </w:r>
      <w:r w:rsidR="002C03A5">
        <w:t>s</w:t>
      </w:r>
      <w:r w:rsidR="00645AD5" w:rsidRPr="001F52A8">
        <w:t xml:space="preserve"> the sex</w:t>
      </w:r>
      <w:r w:rsidR="00645AD5" w:rsidRPr="001F52A8">
        <w:rPr>
          <w:rStyle w:val="FootnoteReference"/>
          <w:rFonts w:cstheme="minorHAnsi"/>
        </w:rPr>
        <w:footnoteReference w:id="57"/>
      </w:r>
      <w:r w:rsidR="00645AD5" w:rsidRPr="001F52A8">
        <w:t xml:space="preserve"> nor limit</w:t>
      </w:r>
      <w:r w:rsidR="002C03A5">
        <w:t>s</w:t>
      </w:r>
      <w:r w:rsidR="00645AD5" w:rsidRPr="001F52A8">
        <w:t xml:space="preserve"> the offspring to one; “seed” </w:t>
      </w:r>
      <w:r w:rsidR="00645AD5">
        <w:t xml:space="preserve">has </w:t>
      </w:r>
      <w:r w:rsidR="00645AD5" w:rsidRPr="001F52A8">
        <w:t xml:space="preserve">plural </w:t>
      </w:r>
      <w:r w:rsidR="00645AD5">
        <w:t xml:space="preserve">reference </w:t>
      </w:r>
      <w:r w:rsidR="00645AD5" w:rsidRPr="001F52A8">
        <w:t xml:space="preserve">in 2:20 and </w:t>
      </w:r>
      <w:r w:rsidR="00645AD5">
        <w:t>mostly elsewhere</w:t>
      </w:r>
      <w:r w:rsidR="00645AD5" w:rsidRPr="001F52A8">
        <w:t xml:space="preserve">. </w:t>
      </w:r>
      <w:r w:rsidR="00645AD5">
        <w:t>I</w:t>
      </w:r>
      <w:r w:rsidR="00645AD5" w:rsidRPr="001F52A8">
        <w:t xml:space="preserve">t would make sense to assume she </w:t>
      </w:r>
      <w:r w:rsidR="005B31BE">
        <w:t>envisag</w:t>
      </w:r>
      <w:r w:rsidR="00696B08">
        <w:t>es</w:t>
      </w:r>
      <w:r w:rsidR="00645AD5" w:rsidRPr="001F52A8">
        <w:t xml:space="preserve"> her womb remain</w:t>
      </w:r>
      <w:r w:rsidR="005B31BE">
        <w:t>ing</w:t>
      </w:r>
      <w:r w:rsidR="00645AD5" w:rsidRPr="001F52A8">
        <w:t xml:space="preserve"> open, which is what happens (2:21), and envisage</w:t>
      </w:r>
      <w:r w:rsidR="00E1077E">
        <w:t>s</w:t>
      </w:r>
      <w:r w:rsidR="00645AD5" w:rsidRPr="001F52A8">
        <w:t xml:space="preserve"> </w:t>
      </w:r>
      <w:r w:rsidR="00645AD5">
        <w:t>surrender</w:t>
      </w:r>
      <w:r w:rsidR="00645AD5" w:rsidRPr="001F52A8">
        <w:t xml:space="preserve">ing her first child while </w:t>
      </w:r>
      <w:r w:rsidR="00645AD5">
        <w:t>expect</w:t>
      </w:r>
      <w:r w:rsidR="00645AD5" w:rsidRPr="001F52A8">
        <w:t xml:space="preserve">ing she would have more. </w:t>
      </w:r>
    </w:p>
    <w:p w14:paraId="286EF79C" w14:textId="4541AF96" w:rsidR="003A6D7C" w:rsidRPr="00555DB7" w:rsidRDefault="00F2430B" w:rsidP="00555DB7">
      <w:pPr>
        <w:rPr>
          <w:rFonts w:ascii="Calibri" w:hAnsi="Calibri" w:cs="Calibri"/>
        </w:rPr>
      </w:pPr>
      <w:r>
        <w:rPr>
          <w:rFonts w:cstheme="minorHAnsi"/>
        </w:rPr>
        <w:t>L</w:t>
      </w:r>
      <w:r w:rsidR="00CC10D7" w:rsidRPr="001F52A8">
        <w:rPr>
          <w:rFonts w:cstheme="minorHAnsi"/>
        </w:rPr>
        <w:t xml:space="preserve">etting one’s hair grow </w:t>
      </w:r>
      <w:r w:rsidR="005F4FAC">
        <w:rPr>
          <w:rFonts w:cstheme="minorHAnsi"/>
        </w:rPr>
        <w:t>can be a sign of</w:t>
      </w:r>
      <w:r w:rsidR="00D81D8A" w:rsidRPr="001F52A8">
        <w:rPr>
          <w:rFonts w:cstheme="minorHAnsi"/>
        </w:rPr>
        <w:t xml:space="preserve"> </w:t>
      </w:r>
      <w:r w:rsidR="003A6D7C" w:rsidRPr="001F52A8">
        <w:rPr>
          <w:rFonts w:cstheme="minorHAnsi"/>
        </w:rPr>
        <w:t>spend</w:t>
      </w:r>
      <w:r w:rsidR="00D81D8A" w:rsidRPr="001F52A8">
        <w:rPr>
          <w:rFonts w:cstheme="minorHAnsi"/>
        </w:rPr>
        <w:t>ing</w:t>
      </w:r>
      <w:r w:rsidR="003A6D7C" w:rsidRPr="001F52A8">
        <w:rPr>
          <w:rFonts w:cstheme="minorHAnsi"/>
        </w:rPr>
        <w:t xml:space="preserve"> a short period as someone “consecrated” (</w:t>
      </w:r>
      <w:r w:rsidR="003A6D7C" w:rsidRPr="001F52A8">
        <w:rPr>
          <w:rFonts w:cstheme="minorHAnsi"/>
          <w:i/>
          <w:iCs/>
        </w:rPr>
        <w:t>nāzîr</w:t>
      </w:r>
      <w:r w:rsidR="003A6D7C" w:rsidRPr="001F52A8">
        <w:rPr>
          <w:rFonts w:cstheme="minorHAnsi"/>
        </w:rPr>
        <w:t>)</w:t>
      </w:r>
      <w:r w:rsidR="001B5B27">
        <w:rPr>
          <w:rFonts w:cstheme="minorHAnsi"/>
        </w:rPr>
        <w:t xml:space="preserve">: so in </w:t>
      </w:r>
      <w:r w:rsidR="005F4FAC" w:rsidRPr="001F52A8">
        <w:rPr>
          <w:rFonts w:cstheme="minorHAnsi"/>
        </w:rPr>
        <w:t>Number</w:t>
      </w:r>
      <w:r w:rsidR="005F4FAC">
        <w:rPr>
          <w:rFonts w:cstheme="minorHAnsi"/>
        </w:rPr>
        <w:t>s</w:t>
      </w:r>
      <w:r w:rsidR="005F4FAC" w:rsidRPr="001F52A8">
        <w:rPr>
          <w:rFonts w:cstheme="minorHAnsi"/>
        </w:rPr>
        <w:t xml:space="preserve"> 6</w:t>
      </w:r>
      <w:r w:rsidR="003A6D7C" w:rsidRPr="001F52A8">
        <w:rPr>
          <w:rFonts w:cstheme="minorHAnsi"/>
        </w:rPr>
        <w:t xml:space="preserve">, </w:t>
      </w:r>
      <w:r w:rsidR="00E1077E">
        <w:rPr>
          <w:rFonts w:cstheme="minorHAnsi"/>
        </w:rPr>
        <w:t>with no</w:t>
      </w:r>
      <w:r w:rsidR="003A6D7C" w:rsidRPr="001F52A8">
        <w:rPr>
          <w:rFonts w:cstheme="minorHAnsi"/>
        </w:rPr>
        <w:t xml:space="preserve"> expla</w:t>
      </w:r>
      <w:r w:rsidR="00E1077E">
        <w:rPr>
          <w:rFonts w:cstheme="minorHAnsi"/>
        </w:rPr>
        <w:t>nation</w:t>
      </w:r>
      <w:r w:rsidR="003A6D7C" w:rsidRPr="001F52A8">
        <w:rPr>
          <w:rFonts w:cstheme="minorHAnsi"/>
        </w:rPr>
        <w:t xml:space="preserve"> of the practice</w:t>
      </w:r>
      <w:r w:rsidR="001B1D17">
        <w:rPr>
          <w:rFonts w:cstheme="minorHAnsi"/>
        </w:rPr>
        <w:t>, though that</w:t>
      </w:r>
      <w:r w:rsidR="00D81D8A" w:rsidRPr="001F52A8">
        <w:rPr>
          <w:rFonts w:cstheme="minorHAnsi"/>
        </w:rPr>
        <w:t xml:space="preserve"> consecration also involves </w:t>
      </w:r>
      <w:r w:rsidR="003A6D7C" w:rsidRPr="001F52A8">
        <w:rPr>
          <w:rFonts w:cstheme="minorHAnsi"/>
        </w:rPr>
        <w:t xml:space="preserve">abstaining from alcohol and avoiding defilement through contact with a corpse. Hannah’s promise is that that her son will have a lifelong obligation </w:t>
      </w:r>
      <w:r w:rsidR="00E2732C">
        <w:rPr>
          <w:rFonts w:cstheme="minorHAnsi"/>
        </w:rPr>
        <w:t xml:space="preserve">just </w:t>
      </w:r>
      <w:r w:rsidR="003A6D7C" w:rsidRPr="001F52A8">
        <w:rPr>
          <w:rFonts w:cstheme="minorHAnsi"/>
        </w:rPr>
        <w:t xml:space="preserve">to </w:t>
      </w:r>
      <w:r w:rsidR="00E2732C">
        <w:rPr>
          <w:rFonts w:cstheme="minorHAnsi"/>
        </w:rPr>
        <w:t xml:space="preserve">the </w:t>
      </w:r>
      <w:r w:rsidR="003A6D7C" w:rsidRPr="001F52A8">
        <w:rPr>
          <w:rFonts w:cstheme="minorHAnsi"/>
        </w:rPr>
        <w:t>commitment</w:t>
      </w:r>
      <w:r w:rsidR="001E1045">
        <w:rPr>
          <w:rFonts w:cstheme="minorHAnsi"/>
        </w:rPr>
        <w:t xml:space="preserve"> about hair</w:t>
      </w:r>
      <w:r w:rsidR="003A6D7C" w:rsidRPr="001F52A8">
        <w:rPr>
          <w:rFonts w:cstheme="minorHAnsi"/>
        </w:rPr>
        <w:t>.</w:t>
      </w:r>
      <w:r w:rsidR="003A6D7C" w:rsidRPr="001F52A8">
        <w:rPr>
          <w:rStyle w:val="FootnoteReference"/>
          <w:rFonts w:cstheme="minorHAnsi"/>
        </w:rPr>
        <w:footnoteReference w:id="58"/>
      </w:r>
    </w:p>
    <w:p w14:paraId="3A36C266" w14:textId="7A2DE36A" w:rsidR="00CE0C86" w:rsidRDefault="003A6D7C" w:rsidP="00CE0C86">
      <w:pPr>
        <w:rPr>
          <w:rFonts w:cstheme="minorHAnsi"/>
        </w:rPr>
      </w:pPr>
      <w:r w:rsidRPr="001F52A8">
        <w:t xml:space="preserve">An amusing hiccup follows. </w:t>
      </w:r>
      <w:r w:rsidR="00040123" w:rsidRPr="001F52A8">
        <w:rPr>
          <w:rFonts w:cstheme="minorHAnsi"/>
        </w:rPr>
        <w:t xml:space="preserve">John Chrysostom encourages members of his congregation, </w:t>
      </w:r>
      <w:r w:rsidR="00040123" w:rsidRPr="001F52A8">
        <w:t>“You, then, woman, . . . appeal to the priest to join in making intercession for you.,”</w:t>
      </w:r>
      <w:r w:rsidR="00040123" w:rsidRPr="001F52A8">
        <w:rPr>
          <w:rStyle w:val="FootnoteReference"/>
        </w:rPr>
        <w:footnoteReference w:id="59"/>
      </w:r>
      <w:r w:rsidR="00040123" w:rsidRPr="001F52A8">
        <w:t xml:space="preserve"> </w:t>
      </w:r>
      <w:r w:rsidR="00CB2D00">
        <w:t>but</w:t>
      </w:r>
      <w:r w:rsidR="00040123" w:rsidRPr="001F52A8">
        <w:t xml:space="preserve"> he also notes the pathos of th</w:t>
      </w:r>
      <w:r w:rsidR="007E4C64">
        <w:t>is</w:t>
      </w:r>
      <w:r w:rsidR="00040123" w:rsidRPr="001F52A8">
        <w:t xml:space="preserve"> scene: </w:t>
      </w:r>
      <w:r w:rsidR="00040123" w:rsidRPr="001F52A8">
        <w:rPr>
          <w:rFonts w:ascii="Calibri" w:hAnsi="Calibri" w:cs="Calibri"/>
        </w:rPr>
        <w:t>“at home her rival mocked her. She went into the temple, . . . and the priest upbraided her. She fled the storm at home, entered port and still ran into turbulence.”</w:t>
      </w:r>
      <w:r w:rsidR="00040123" w:rsidRPr="001F52A8">
        <w:rPr>
          <w:rStyle w:val="FootnoteReference"/>
          <w:rFonts w:ascii="Calibri" w:hAnsi="Calibri" w:cs="Calibri"/>
        </w:rPr>
        <w:footnoteReference w:id="60"/>
      </w:r>
      <w:r w:rsidR="002D551D">
        <w:t xml:space="preserve"> </w:t>
      </w:r>
      <w:r w:rsidR="00D9057C">
        <w:t>Eli</w:t>
      </w:r>
      <w:r w:rsidRPr="001F52A8">
        <w:t xml:space="preserve"> is a tragically ambiguous figure</w:t>
      </w:r>
      <w:r w:rsidR="009354BC">
        <w:t xml:space="preserve">, and here </w:t>
      </w:r>
      <w:r w:rsidR="009354BC">
        <w:rPr>
          <w:rFonts w:cstheme="minorHAnsi"/>
        </w:rPr>
        <w:t>“w</w:t>
      </w:r>
      <w:r w:rsidR="009354BC" w:rsidRPr="00CE0C86">
        <w:rPr>
          <w:rFonts w:cstheme="minorHAnsi"/>
        </w:rPr>
        <w:t>e are already alerted that this is a priesthood</w:t>
      </w:r>
      <w:r w:rsidR="009354BC">
        <w:rPr>
          <w:rFonts w:cstheme="minorHAnsi"/>
        </w:rPr>
        <w:t xml:space="preserve"> </w:t>
      </w:r>
      <w:r w:rsidR="009354BC" w:rsidRPr="00CE0C86">
        <w:rPr>
          <w:rFonts w:cstheme="minorHAnsi"/>
        </w:rPr>
        <w:t>in decline</w:t>
      </w:r>
      <w:r w:rsidR="009354BC">
        <w:rPr>
          <w:rFonts w:cstheme="minorHAnsi"/>
        </w:rPr>
        <w:t>.”</w:t>
      </w:r>
      <w:r w:rsidR="009354BC">
        <w:rPr>
          <w:rStyle w:val="FootnoteReference"/>
        </w:rPr>
        <w:footnoteReference w:id="61"/>
      </w:r>
      <w:r w:rsidR="009354BC">
        <w:rPr>
          <w:rFonts w:cstheme="minorHAnsi"/>
        </w:rPr>
        <w:t xml:space="preserve"> </w:t>
      </w:r>
      <w:r w:rsidRPr="001F52A8">
        <w:t xml:space="preserve">Hannah is beside herself and he takes her for a drunk, not an unlikely inference at the festival when the wine </w:t>
      </w:r>
      <w:r w:rsidRPr="001F52A8">
        <w:lastRenderedPageBreak/>
        <w:t>flow</w:t>
      </w:r>
      <w:r w:rsidR="00094E9C">
        <w:t>s</w:t>
      </w:r>
      <w:r w:rsidR="00B946BA" w:rsidRPr="001F52A8">
        <w:t xml:space="preserve">. </w:t>
      </w:r>
      <w:r w:rsidR="0057033C" w:rsidRPr="001F52A8">
        <w:t xml:space="preserve">And she does go to the sanctuary “after the eating </w:t>
      </w:r>
      <w:r w:rsidR="00406C2D" w:rsidRPr="001F52A8">
        <w:t xml:space="preserve">at Shiloh </w:t>
      </w:r>
      <w:r w:rsidR="0057033C" w:rsidRPr="001F52A8">
        <w:t xml:space="preserve">and </w:t>
      </w:r>
      <w:r w:rsidR="00406C2D" w:rsidRPr="001F52A8">
        <w:t xml:space="preserve">after the </w:t>
      </w:r>
      <w:r w:rsidR="0057033C" w:rsidRPr="001F52A8">
        <w:t>drinking</w:t>
      </w:r>
      <w:r w:rsidR="00406C2D" w:rsidRPr="001F52A8">
        <w:t>” (</w:t>
      </w:r>
      <w:r w:rsidR="008F4D9F" w:rsidRPr="001F52A8">
        <w:t xml:space="preserve">1:9), but </w:t>
      </w:r>
      <w:r w:rsidRPr="001F52A8">
        <w:t>she had</w:t>
      </w:r>
      <w:r w:rsidR="000B7EAC" w:rsidRPr="001F52A8">
        <w:t>n’t</w:t>
      </w:r>
      <w:r w:rsidRPr="001F52A8">
        <w:t xml:space="preserve"> been drinkin</w:t>
      </w:r>
      <w:r w:rsidR="005C2B16">
        <w:t>g</w:t>
      </w:r>
      <w:r w:rsidRPr="001F52A8">
        <w:t xml:space="preserve">. </w:t>
      </w:r>
      <w:r w:rsidR="001415B9" w:rsidRPr="001F52A8">
        <w:rPr>
          <w:rFonts w:cstheme="minorHAnsi"/>
        </w:rPr>
        <w:t xml:space="preserve">She’s not a </w:t>
      </w:r>
      <w:r w:rsidR="00DC2B4D">
        <w:rPr>
          <w:rFonts w:cstheme="minorHAnsi"/>
        </w:rPr>
        <w:t xml:space="preserve">“daughter of </w:t>
      </w:r>
      <w:r w:rsidR="00BD21E9">
        <w:rPr>
          <w:rFonts w:cstheme="minorHAnsi"/>
        </w:rPr>
        <w:t>Belial,” which might etymologically s</w:t>
      </w:r>
      <w:r w:rsidR="00E76360">
        <w:rPr>
          <w:rFonts w:cstheme="minorHAnsi"/>
        </w:rPr>
        <w:t>u</w:t>
      </w:r>
      <w:r w:rsidR="00BD21E9">
        <w:rPr>
          <w:rFonts w:cstheme="minorHAnsi"/>
        </w:rPr>
        <w:t xml:space="preserve">ggest a </w:t>
      </w:r>
      <w:r w:rsidR="001415B9" w:rsidRPr="001F52A8">
        <w:rPr>
          <w:rFonts w:cstheme="minorHAnsi"/>
        </w:rPr>
        <w:t>worthless woman</w:t>
      </w:r>
      <w:r w:rsidR="00E76360">
        <w:rPr>
          <w:rFonts w:cstheme="minorHAnsi"/>
        </w:rPr>
        <w:t>,</w:t>
      </w:r>
      <w:r w:rsidR="001415B9" w:rsidRPr="001F52A8">
        <w:rPr>
          <w:rFonts w:cstheme="minorHAnsi"/>
        </w:rPr>
        <w:t xml:space="preserve"> </w:t>
      </w:r>
      <w:r w:rsidR="00B24C6E">
        <w:rPr>
          <w:rFonts w:cstheme="minorHAnsi"/>
        </w:rPr>
        <w:t>comparable to</w:t>
      </w:r>
      <w:r w:rsidR="001415B9" w:rsidRPr="001F52A8">
        <w:rPr>
          <w:rFonts w:cstheme="minorHAnsi"/>
        </w:rPr>
        <w:t xml:space="preserve"> some people close to Eli (2:12) and some people opposed </w:t>
      </w:r>
      <w:r w:rsidR="00825386">
        <w:rPr>
          <w:rFonts w:cstheme="minorHAnsi"/>
        </w:rPr>
        <w:t xml:space="preserve">to </w:t>
      </w:r>
      <w:r w:rsidR="001415B9" w:rsidRPr="001F52A8">
        <w:rPr>
          <w:rFonts w:cstheme="minorHAnsi"/>
        </w:rPr>
        <w:t>Saul’s designation as king (10:27) and someone who later tried to oust David (2 Sam 20:1).</w:t>
      </w:r>
    </w:p>
    <w:p w14:paraId="7D208F60" w14:textId="7A867281" w:rsidR="003A6D7C" w:rsidRPr="001F52A8" w:rsidRDefault="004306C3" w:rsidP="00C44BAC">
      <w:pPr>
        <w:rPr>
          <w:rFonts w:cstheme="minorHAnsi"/>
        </w:rPr>
      </w:pPr>
      <w:r>
        <w:t xml:space="preserve">Eli’s </w:t>
      </w:r>
      <w:r w:rsidR="003A6D7C" w:rsidRPr="001F52A8">
        <w:t xml:space="preserve">misjudgment and </w:t>
      </w:r>
      <w:r>
        <w:t>Hannah’s</w:t>
      </w:r>
      <w:r w:rsidR="003A6D7C" w:rsidRPr="001F52A8">
        <w:t xml:space="preserve"> response </w:t>
      </w:r>
      <w:r w:rsidR="00C44BAC" w:rsidRPr="001F52A8">
        <w:t xml:space="preserve">further </w:t>
      </w:r>
      <w:r w:rsidR="003A6D7C" w:rsidRPr="001F52A8">
        <w:t xml:space="preserve">highlight </w:t>
      </w:r>
      <w:r w:rsidR="000160E9">
        <w:t>her</w:t>
      </w:r>
      <w:r w:rsidR="003A6D7C" w:rsidRPr="001F52A8">
        <w:t xml:space="preserve"> model</w:t>
      </w:r>
      <w:r w:rsidR="000160E9">
        <w:t>ing</w:t>
      </w:r>
      <w:r w:rsidR="003A6D7C" w:rsidRPr="001F52A8">
        <w:t xml:space="preserve"> the nature of a relationship with Yahweh. The positive side to Eli is that he can see where he needs to change his mind, and </w:t>
      </w:r>
      <w:r w:rsidR="00681430">
        <w:t>his</w:t>
      </w:r>
      <w:r w:rsidR="003A6D7C" w:rsidRPr="001F52A8">
        <w:t xml:space="preserve"> respon</w:t>
      </w:r>
      <w:r w:rsidR="00681430">
        <w:t>se</w:t>
      </w:r>
      <w:r w:rsidR="003A6D7C" w:rsidRPr="001F52A8">
        <w:t xml:space="preserve"> to Hannah models what it means to be a priest. </w:t>
      </w:r>
      <w:r w:rsidR="0044501E">
        <w:t>While t</w:t>
      </w:r>
      <w:r w:rsidR="0044501E" w:rsidRPr="001F52A8">
        <w:t xml:space="preserve">he narrative </w:t>
      </w:r>
      <w:r w:rsidR="0044501E">
        <w:t>presupposes</w:t>
      </w:r>
      <w:r w:rsidR="0044501E" w:rsidRPr="001F52A8">
        <w:t xml:space="preserve"> </w:t>
      </w:r>
      <w:r w:rsidR="0044501E" w:rsidRPr="001F52A8">
        <w:rPr>
          <w:rFonts w:cstheme="minorHAnsi"/>
        </w:rPr>
        <w:t xml:space="preserve">that </w:t>
      </w:r>
      <w:r w:rsidR="0044501E">
        <w:rPr>
          <w:rFonts w:cstheme="minorHAnsi"/>
        </w:rPr>
        <w:t>Hannah</w:t>
      </w:r>
      <w:r w:rsidR="0044501E" w:rsidRPr="001F52A8">
        <w:rPr>
          <w:rFonts w:cstheme="minorHAnsi"/>
        </w:rPr>
        <w:t xml:space="preserve"> </w:t>
      </w:r>
      <w:r w:rsidR="0044501E">
        <w:rPr>
          <w:rFonts w:cstheme="minorHAnsi"/>
        </w:rPr>
        <w:t xml:space="preserve">can go straight </w:t>
      </w:r>
      <w:r w:rsidR="0044501E" w:rsidRPr="001F52A8">
        <w:rPr>
          <w:rFonts w:cstheme="minorHAnsi"/>
        </w:rPr>
        <w:t xml:space="preserve">to God </w:t>
      </w:r>
      <w:r w:rsidR="0044501E">
        <w:rPr>
          <w:rFonts w:cstheme="minorHAnsi"/>
        </w:rPr>
        <w:t>without going via</w:t>
      </w:r>
      <w:r w:rsidR="0044501E" w:rsidRPr="001F52A8">
        <w:rPr>
          <w:rFonts w:cstheme="minorHAnsi"/>
        </w:rPr>
        <w:t xml:space="preserve"> a priest</w:t>
      </w:r>
      <w:r w:rsidR="0044501E">
        <w:rPr>
          <w:rFonts w:cstheme="minorHAnsi"/>
        </w:rPr>
        <w:t xml:space="preserve">, </w:t>
      </w:r>
      <w:r w:rsidR="0044501E" w:rsidRPr="001F52A8">
        <w:rPr>
          <w:rFonts w:cstheme="minorHAnsi"/>
        </w:rPr>
        <w:t>it rejoice</w:t>
      </w:r>
      <w:r w:rsidR="0044501E">
        <w:rPr>
          <w:rFonts w:cstheme="minorHAnsi"/>
        </w:rPr>
        <w:t>s</w:t>
      </w:r>
      <w:r w:rsidR="0044501E" w:rsidRPr="001F52A8">
        <w:rPr>
          <w:rFonts w:cstheme="minorHAnsi"/>
        </w:rPr>
        <w:t xml:space="preserve"> in Eli</w:t>
      </w:r>
      <w:r w:rsidR="0044501E">
        <w:rPr>
          <w:rFonts w:cstheme="minorHAnsi"/>
        </w:rPr>
        <w:t>’s</w:t>
      </w:r>
      <w:r w:rsidR="0044501E" w:rsidRPr="001F52A8">
        <w:rPr>
          <w:rFonts w:cstheme="minorHAnsi"/>
        </w:rPr>
        <w:t xml:space="preserve"> eventually support</w:t>
      </w:r>
      <w:r w:rsidR="0044501E">
        <w:rPr>
          <w:rFonts w:cstheme="minorHAnsi"/>
        </w:rPr>
        <w:t>ing</w:t>
      </w:r>
      <w:r w:rsidR="0044501E" w:rsidRPr="001F52A8">
        <w:rPr>
          <w:rFonts w:cstheme="minorHAnsi"/>
        </w:rPr>
        <w:t xml:space="preserve"> </w:t>
      </w:r>
      <w:r w:rsidR="0044501E">
        <w:rPr>
          <w:rFonts w:cstheme="minorHAnsi"/>
        </w:rPr>
        <w:t>her</w:t>
      </w:r>
      <w:r w:rsidR="0044501E" w:rsidRPr="001F52A8">
        <w:rPr>
          <w:rFonts w:cstheme="minorHAnsi"/>
        </w:rPr>
        <w:t xml:space="preserve">. </w:t>
      </w:r>
      <w:r w:rsidR="003A6D7C" w:rsidRPr="001F52A8">
        <w:t>“Go, with things being well,</w:t>
      </w:r>
      <w:r w:rsidR="00DF440E">
        <w:t>”</w:t>
      </w:r>
      <w:r w:rsidR="003A6D7C" w:rsidRPr="001F52A8">
        <w:t xml:space="preserve"> he says, </w:t>
      </w:r>
      <w:r w:rsidR="003A6D7C" w:rsidRPr="001F52A8">
        <w:rPr>
          <w:i/>
          <w:iCs/>
        </w:rPr>
        <w:t>l</w:t>
      </w:r>
      <w:r w:rsidR="003A6D7C" w:rsidRPr="001F52A8">
        <w:rPr>
          <w:rFonts w:cstheme="minorHAnsi"/>
          <w:i/>
          <w:iCs/>
        </w:rPr>
        <w:t xml:space="preserve">əkî ləšālôm </w:t>
      </w:r>
      <w:r w:rsidR="003A6D7C" w:rsidRPr="001F52A8">
        <w:rPr>
          <w:rFonts w:cstheme="minorHAnsi"/>
        </w:rPr>
        <w:t>(1:17)</w:t>
      </w:r>
      <w:r w:rsidR="003A6D7C" w:rsidRPr="001F52A8">
        <w:t xml:space="preserve">. He hardly means “go in peace” in the sense of going home with a sense of peace; </w:t>
      </w:r>
      <w:r w:rsidR="003A6D7C" w:rsidRPr="001F52A8">
        <w:rPr>
          <w:rFonts w:cstheme="minorHAnsi"/>
          <w:i/>
          <w:iCs/>
        </w:rPr>
        <w:t>šālôm</w:t>
      </w:r>
      <w:r w:rsidR="003A6D7C" w:rsidRPr="001F52A8">
        <w:rPr>
          <w:rFonts w:cstheme="minorHAnsi"/>
        </w:rPr>
        <w:t xml:space="preserve"> does not imply peacefulness</w:t>
      </w:r>
      <w:r w:rsidR="003E00C0">
        <w:rPr>
          <w:rFonts w:cstheme="minorHAnsi"/>
        </w:rPr>
        <w:t xml:space="preserve"> but</w:t>
      </w:r>
      <w:r w:rsidR="003A6D7C" w:rsidRPr="001F52A8">
        <w:rPr>
          <w:rFonts w:cstheme="minorHAnsi"/>
        </w:rPr>
        <w:t xml:space="preserve"> well-being</w:t>
      </w:r>
      <w:r w:rsidR="009503F3">
        <w:rPr>
          <w:rFonts w:cstheme="minorHAnsi"/>
        </w:rPr>
        <w:t>. T</w:t>
      </w:r>
      <w:r w:rsidR="003A6D7C" w:rsidRPr="001F52A8">
        <w:rPr>
          <w:rFonts w:cstheme="minorHAnsi"/>
        </w:rPr>
        <w:t xml:space="preserve">hat meaning especially fits when Eli literally urges Hannah to go </w:t>
      </w:r>
      <w:r w:rsidR="003A6D7C" w:rsidRPr="001F52A8">
        <w:rPr>
          <w:rFonts w:cstheme="minorHAnsi"/>
          <w:i/>
          <w:iCs/>
        </w:rPr>
        <w:t>into</w:t>
      </w:r>
      <w:r w:rsidR="003A6D7C" w:rsidRPr="001F52A8">
        <w:rPr>
          <w:rFonts w:cstheme="minorHAnsi"/>
        </w:rPr>
        <w:t xml:space="preserve"> well-being, which sounds more dynamic than going </w:t>
      </w:r>
      <w:r w:rsidR="003A6D7C" w:rsidRPr="001F52A8">
        <w:rPr>
          <w:rFonts w:cstheme="minorHAnsi"/>
          <w:i/>
          <w:iCs/>
        </w:rPr>
        <w:t>in</w:t>
      </w:r>
      <w:r w:rsidR="003A6D7C" w:rsidRPr="001F52A8">
        <w:rPr>
          <w:rFonts w:cstheme="minorHAnsi"/>
        </w:rPr>
        <w:t xml:space="preserve"> well-being. The birth of a </w:t>
      </w:r>
      <w:r w:rsidR="009503F3">
        <w:rPr>
          <w:rFonts w:cstheme="minorHAnsi"/>
        </w:rPr>
        <w:t>baby</w:t>
      </w:r>
      <w:r w:rsidR="003A6D7C" w:rsidRPr="001F52A8">
        <w:rPr>
          <w:rFonts w:cstheme="minorHAnsi"/>
        </w:rPr>
        <w:t xml:space="preserve"> will mean things indeed </w:t>
      </w:r>
      <w:r w:rsidR="009503F3">
        <w:rPr>
          <w:rFonts w:cstheme="minorHAnsi"/>
        </w:rPr>
        <w:t xml:space="preserve">being </w:t>
      </w:r>
      <w:r w:rsidR="003A6D7C" w:rsidRPr="001F52A8">
        <w:rPr>
          <w:rFonts w:cstheme="minorHAnsi"/>
        </w:rPr>
        <w:t>good for her.</w:t>
      </w:r>
      <w:r w:rsidR="00A2479B">
        <w:rPr>
          <w:rFonts w:cstheme="minorHAnsi"/>
        </w:rPr>
        <w:t xml:space="preserve"> Eli</w:t>
      </w:r>
      <w:r w:rsidR="003A6D7C" w:rsidRPr="001F52A8">
        <w:rPr>
          <w:rFonts w:cstheme="minorHAnsi"/>
        </w:rPr>
        <w:t xml:space="preserve"> spells out the implications when he adds, </w:t>
      </w:r>
      <w:r w:rsidR="003A6D7C" w:rsidRPr="001F52A8">
        <w:t>“The God of Israel – he will give you</w:t>
      </w:r>
      <w:r w:rsidR="00782CCE">
        <w:t xml:space="preserve"> [or may he give you]</w:t>
      </w:r>
      <w:r w:rsidR="003A6D7C" w:rsidRPr="001F52A8">
        <w:rPr>
          <w:rStyle w:val="FootnoteReference"/>
        </w:rPr>
        <w:footnoteReference w:id="62"/>
      </w:r>
      <w:r w:rsidR="003A6D7C" w:rsidRPr="001F52A8">
        <w:t xml:space="preserve"> what you asked of him.” </w:t>
      </w:r>
      <w:r w:rsidR="00CF00DE">
        <w:t>H</w:t>
      </w:r>
      <w:r w:rsidR="003A6D7C" w:rsidRPr="001F52A8">
        <w:t xml:space="preserve">ow </w:t>
      </w:r>
      <w:r w:rsidR="00CF00DE">
        <w:t xml:space="preserve">did </w:t>
      </w:r>
      <w:r w:rsidR="00A2479B">
        <w:t>Eli</w:t>
      </w:r>
      <w:r w:rsidR="003A6D7C" w:rsidRPr="001F52A8">
        <w:t xml:space="preserve"> know</w:t>
      </w:r>
      <w:r w:rsidR="00CF00DE">
        <w:t xml:space="preserve"> (</w:t>
      </w:r>
      <w:r w:rsidR="00673707" w:rsidRPr="001F52A8">
        <w:t xml:space="preserve">or how </w:t>
      </w:r>
      <w:r w:rsidR="00CF00DE">
        <w:t xml:space="preserve">did </w:t>
      </w:r>
      <w:r w:rsidR="00673707" w:rsidRPr="001F52A8">
        <w:t xml:space="preserve">he know that a wish </w:t>
      </w:r>
      <w:r w:rsidR="00CF00DE">
        <w:t>was</w:t>
      </w:r>
      <w:r w:rsidR="00673707" w:rsidRPr="001F52A8">
        <w:t xml:space="preserve"> appropriate</w:t>
      </w:r>
      <w:r w:rsidR="005F6D17">
        <w:t>,</w:t>
      </w:r>
      <w:r w:rsidR="00673707" w:rsidRPr="001F52A8">
        <w:t xml:space="preserve"> </w:t>
      </w:r>
      <w:r w:rsidR="00D11B49" w:rsidRPr="001F52A8">
        <w:t>if that alternative understanding of his words is right</w:t>
      </w:r>
      <w:r w:rsidR="005F6D17">
        <w:t>)</w:t>
      </w:r>
      <w:r w:rsidR="00CF00DE">
        <w:t>?</w:t>
      </w:r>
      <w:r w:rsidR="00D11B49" w:rsidRPr="001F52A8">
        <w:t xml:space="preserve"> </w:t>
      </w:r>
      <w:r w:rsidR="007236D3" w:rsidRPr="001F52A8">
        <w:t>Perhaps it is simply a priest</w:t>
      </w:r>
      <w:r w:rsidR="00CA2F2A" w:rsidRPr="001F52A8">
        <w:t>’</w:t>
      </w:r>
      <w:r w:rsidR="007236D3" w:rsidRPr="001F52A8">
        <w:t>s job to know what Yahweh is saying to a suppliant</w:t>
      </w:r>
      <w:r w:rsidR="00CA2F2A" w:rsidRPr="001F52A8">
        <w:t xml:space="preserve">; the Psalms may again imply as much. </w:t>
      </w:r>
      <w:r w:rsidR="00C663F9" w:rsidRPr="001F52A8">
        <w:t xml:space="preserve">Perhaps a priest has to have prophetic gifts as well as </w:t>
      </w:r>
      <w:r w:rsidR="00B958FE" w:rsidRPr="001F52A8">
        <w:t xml:space="preserve">the authority that comes from </w:t>
      </w:r>
      <w:r w:rsidR="00C06807" w:rsidRPr="001F52A8">
        <w:t>heredity and ordination.</w:t>
      </w:r>
    </w:p>
    <w:p w14:paraId="17BEF413" w14:textId="14414B14" w:rsidR="000E0CB9" w:rsidRPr="001F52A8" w:rsidRDefault="003A6D7C" w:rsidP="00AB11E2">
      <w:r w:rsidRPr="001F52A8">
        <w:t>The dynamics of what follows again match those implied by the Psalms</w:t>
      </w:r>
      <w:r w:rsidR="00BA408A">
        <w:t>. They</w:t>
      </w:r>
      <w:r w:rsidR="00C06807" w:rsidRPr="001F52A8">
        <w:t xml:space="preserve"> pre</w:t>
      </w:r>
      <w:r w:rsidRPr="001F52A8">
        <w:t>suppose two stages to the answering of prayer. Stage One is Yahweh saying</w:t>
      </w:r>
      <w:r w:rsidR="00BA7D1A">
        <w:t>,</w:t>
      </w:r>
      <w:r w:rsidRPr="001F52A8">
        <w:t xml:space="preserve"> “I have heard, I will do as you say.” Stage Two is Yahweh doing it. The expression of thanks and trust that often closes a protest psalm (e.g., Ps 22) forms a response to </w:t>
      </w:r>
      <w:r w:rsidR="00BA7D1A">
        <w:t>an</w:t>
      </w:r>
      <w:r w:rsidRPr="001F52A8">
        <w:t xml:space="preserve"> awareness </w:t>
      </w:r>
      <w:r w:rsidR="00BA7D1A">
        <w:t>of</w:t>
      </w:r>
      <w:r w:rsidRPr="001F52A8">
        <w:t xml:space="preserve"> the Stage One </w:t>
      </w:r>
      <w:r w:rsidR="00BA7D1A">
        <w:t>answer</w:t>
      </w:r>
      <w:r w:rsidRPr="001F52A8">
        <w:t xml:space="preserve">; after the Stage Two </w:t>
      </w:r>
      <w:r w:rsidR="00BA7D1A">
        <w:t>answer</w:t>
      </w:r>
      <w:r w:rsidRPr="001F52A8">
        <w:t xml:space="preserve">, a thanksgiving/testimony psalm is appropriate. Here, </w:t>
      </w:r>
      <w:r w:rsidR="00A063EE">
        <w:t xml:space="preserve">having </w:t>
      </w:r>
      <w:r w:rsidRPr="001F52A8">
        <w:t>receiv</w:t>
      </w:r>
      <w:r w:rsidR="00A063EE">
        <w:t>ed</w:t>
      </w:r>
      <w:r w:rsidRPr="001F52A8">
        <w:t xml:space="preserve"> the Stage One </w:t>
      </w:r>
      <w:r w:rsidR="005F5AC8">
        <w:t>answer</w:t>
      </w:r>
      <w:r w:rsidR="0071700D">
        <w:t>,</w:t>
      </w:r>
      <w:r w:rsidRPr="001F52A8">
        <w:t xml:space="preserve"> </w:t>
      </w:r>
      <w:r w:rsidR="0071700D">
        <w:t>Hannah</w:t>
      </w:r>
      <w:r w:rsidR="00311D23">
        <w:t xml:space="preserve"> </w:t>
      </w:r>
      <w:r w:rsidR="0071700D">
        <w:t>went</w:t>
      </w:r>
      <w:r w:rsidRPr="001F52A8">
        <w:t xml:space="preserve"> </w:t>
      </w:r>
      <w:r w:rsidR="00323307" w:rsidRPr="001F52A8">
        <w:t>back</w:t>
      </w:r>
      <w:r w:rsidR="002F67BF" w:rsidRPr="001F52A8">
        <w:t xml:space="preserve"> to </w:t>
      </w:r>
      <w:r w:rsidR="00060826">
        <w:t>the family</w:t>
      </w:r>
      <w:r w:rsidR="0063352B">
        <w:t>,</w:t>
      </w:r>
      <w:r w:rsidR="002F67BF" w:rsidRPr="001F52A8">
        <w:t xml:space="preserve"> </w:t>
      </w:r>
      <w:r w:rsidRPr="001F52A8">
        <w:t>ha</w:t>
      </w:r>
      <w:r w:rsidR="0071700D">
        <w:t>d</w:t>
      </w:r>
      <w:r w:rsidRPr="001F52A8">
        <w:t xml:space="preserve"> something to eat, “and her face was no more” (no more distraught, presumably, as LXX</w:t>
      </w:r>
      <w:r w:rsidR="007801C3">
        <w:t>, Tg</w:t>
      </w:r>
      <w:r w:rsidRPr="001F52A8">
        <w:t xml:space="preserve"> make explicit). The family go home, Elqanah and Hannah make love</w:t>
      </w:r>
      <w:r w:rsidR="00AB11E2" w:rsidRPr="001F52A8">
        <w:t xml:space="preserve"> (the other infertility stories don’t have th</w:t>
      </w:r>
      <w:r w:rsidR="008427F5">
        <w:t>is feature</w:t>
      </w:r>
      <w:r w:rsidR="00AB11E2" w:rsidRPr="001F52A8">
        <w:t>)</w:t>
      </w:r>
      <w:r w:rsidR="00272ED2">
        <w:t>.</w:t>
      </w:r>
      <w:r w:rsidRPr="001F52A8">
        <w:t xml:space="preserve"> Yahweh is mindful of Hannah</w:t>
      </w:r>
      <w:r w:rsidR="00272ED2">
        <w:t xml:space="preserve"> and s</w:t>
      </w:r>
      <w:r w:rsidRPr="001F52A8">
        <w:t xml:space="preserve">he </w:t>
      </w:r>
      <w:r w:rsidR="00F303E1">
        <w:t>gets</w:t>
      </w:r>
      <w:r w:rsidRPr="001F52A8">
        <w:t xml:space="preserve"> pregnant and give</w:t>
      </w:r>
      <w:r w:rsidR="00F303E1">
        <w:t>s</w:t>
      </w:r>
      <w:r w:rsidRPr="001F52A8">
        <w:t xml:space="preserve"> birth</w:t>
      </w:r>
      <w:r w:rsidR="00B802EA">
        <w:t>, and thus</w:t>
      </w:r>
      <w:r w:rsidR="00C6672E">
        <w:t xml:space="preserve"> receive</w:t>
      </w:r>
      <w:r w:rsidR="00F303E1">
        <w:t>s</w:t>
      </w:r>
      <w:r w:rsidR="00C6672E">
        <w:t xml:space="preserve"> the Stage Two answer</w:t>
      </w:r>
      <w:r w:rsidR="004E5679">
        <w:t xml:space="preserve"> (</w:t>
      </w:r>
      <w:r w:rsidR="00412919">
        <w:t xml:space="preserve">1 Sam </w:t>
      </w:r>
      <w:r w:rsidR="004E5679">
        <w:t>1:19-20)</w:t>
      </w:r>
      <w:r w:rsidRPr="001F52A8">
        <w:t xml:space="preserve">. If the festival was Sukkot, it </w:t>
      </w:r>
      <w:r w:rsidR="00BA16DA">
        <w:t>mark</w:t>
      </w:r>
      <w:r w:rsidR="001B55B8">
        <w:t>ed</w:t>
      </w:r>
      <w:r w:rsidRPr="001F52A8">
        <w:t xml:space="preserve"> the end of </w:t>
      </w:r>
      <w:r w:rsidR="00BA16DA">
        <w:t>a</w:t>
      </w:r>
      <w:r w:rsidRPr="001F52A8">
        <w:t xml:space="preserve"> year</w:t>
      </w:r>
      <w:r w:rsidR="00EB17FB">
        <w:t xml:space="preserve">, </w:t>
      </w:r>
      <w:r w:rsidR="00180D82">
        <w:t>and</w:t>
      </w:r>
      <w:r w:rsidRPr="001F52A8">
        <w:t xml:space="preserve"> she gi</w:t>
      </w:r>
      <w:r w:rsidR="00180D82">
        <w:t>ves</w:t>
      </w:r>
      <w:r w:rsidRPr="001F52A8">
        <w:t xml:space="preserve"> birth </w:t>
      </w:r>
      <w:r w:rsidR="00B802EA">
        <w:t>toward</w:t>
      </w:r>
      <w:r w:rsidR="00F303E1">
        <w:t>s the end of</w:t>
      </w:r>
      <w:r w:rsidRPr="001F52A8">
        <w:t xml:space="preserve"> </w:t>
      </w:r>
      <w:r w:rsidR="00D853CB">
        <w:t>the next</w:t>
      </w:r>
      <w:r w:rsidRPr="001F52A8">
        <w:t xml:space="preserve"> year</w:t>
      </w:r>
      <w:r w:rsidR="00245B2B" w:rsidRPr="001F52A8">
        <w:t>.</w:t>
      </w:r>
      <w:r w:rsidRPr="001F52A8">
        <w:t xml:space="preserve"> </w:t>
      </w:r>
      <w:r w:rsidR="00245B2B" w:rsidRPr="001F52A8">
        <w:t>W</w:t>
      </w:r>
      <w:r w:rsidRPr="001F52A8">
        <w:t>hen the family go up to Shiloh for the festival this time</w:t>
      </w:r>
      <w:r w:rsidR="005173FB" w:rsidRPr="001F52A8">
        <w:t xml:space="preserve">, </w:t>
      </w:r>
      <w:r w:rsidR="00245B2B" w:rsidRPr="001F52A8">
        <w:t>she and her newborn do not go</w:t>
      </w:r>
      <w:r w:rsidR="00210066" w:rsidRPr="001F52A8">
        <w:t>, but the family go and Elqanah fulfills its promise</w:t>
      </w:r>
      <w:r w:rsidR="00ED298F">
        <w:t xml:space="preserve">, and in due course she goes. </w:t>
      </w:r>
    </w:p>
    <w:p w14:paraId="184D9C76" w14:textId="0F995FB4" w:rsidR="008B690E" w:rsidRPr="001F52A8" w:rsidRDefault="008B690E" w:rsidP="008B690E">
      <w:pPr>
        <w:rPr>
          <w:rFonts w:cstheme="minorHAnsi"/>
        </w:rPr>
      </w:pPr>
      <w:r w:rsidRPr="001F52A8">
        <w:t>Hannah call</w:t>
      </w:r>
      <w:r w:rsidR="00AC7754">
        <w:t>s</w:t>
      </w:r>
      <w:r w:rsidRPr="001F52A8">
        <w:t xml:space="preserve"> her baby Samuel (</w:t>
      </w:r>
      <w:r w:rsidRPr="001F52A8">
        <w:rPr>
          <w:rFonts w:cstheme="minorHAnsi"/>
        </w:rPr>
        <w:t>1:20)</w:t>
      </w:r>
      <w:r w:rsidR="00A07219">
        <w:rPr>
          <w:rFonts w:cstheme="minorHAnsi"/>
        </w:rPr>
        <w:t>.</w:t>
      </w:r>
      <w:r>
        <w:rPr>
          <w:rFonts w:cstheme="minorHAnsi"/>
        </w:rPr>
        <w:t xml:space="preserve"> </w:t>
      </w:r>
      <w:r w:rsidR="00A07219">
        <w:rPr>
          <w:rFonts w:cstheme="minorHAnsi"/>
        </w:rPr>
        <w:t>T</w:t>
      </w:r>
      <w:r w:rsidRPr="001F52A8">
        <w:rPr>
          <w:rFonts w:cstheme="minorHAnsi"/>
        </w:rPr>
        <w:t>he explanation is puzzling</w:t>
      </w:r>
      <w:r>
        <w:rPr>
          <w:rFonts w:cstheme="minorHAnsi"/>
        </w:rPr>
        <w:t>. T</w:t>
      </w:r>
      <w:r w:rsidRPr="001F52A8">
        <w:rPr>
          <w:rFonts w:cstheme="minorHAnsi"/>
        </w:rPr>
        <w:t xml:space="preserve">he name </w:t>
      </w:r>
      <w:r w:rsidRPr="001F52A8">
        <w:t>(</w:t>
      </w:r>
      <w:r w:rsidRPr="001F52A8">
        <w:rPr>
          <w:rFonts w:cstheme="minorHAnsi"/>
          <w:i/>
          <w:iCs/>
        </w:rPr>
        <w:t>šəmû’ēl</w:t>
      </w:r>
      <w:r w:rsidRPr="001F52A8">
        <w:rPr>
          <w:rFonts w:cstheme="minorHAnsi"/>
        </w:rPr>
        <w:t xml:space="preserve">) sounds like a cross between something like “Heard by El” and “His </w:t>
      </w:r>
      <w:r w:rsidR="00A07219">
        <w:rPr>
          <w:rFonts w:cstheme="minorHAnsi"/>
        </w:rPr>
        <w:t>N</w:t>
      </w:r>
      <w:r w:rsidRPr="001F52A8">
        <w:rPr>
          <w:rFonts w:cstheme="minorHAnsi"/>
        </w:rPr>
        <w:t>ame is El” or “The Name of El.</w:t>
      </w:r>
      <w:r>
        <w:rPr>
          <w:rFonts w:cstheme="minorHAnsi"/>
        </w:rPr>
        <w:t>”</w:t>
      </w:r>
      <w:r w:rsidRPr="001F52A8">
        <w:rPr>
          <w:rFonts w:cstheme="minorHAnsi"/>
        </w:rPr>
        <w:t xml:space="preserve"> But Hannah says she called him Samuel because “it was from Yahweh that I asked for him” (</w:t>
      </w:r>
      <w:r w:rsidRPr="001F52A8">
        <w:rPr>
          <w:rFonts w:cstheme="minorHAnsi"/>
          <w:i/>
          <w:iCs/>
        </w:rPr>
        <w:t>myhwh šā’altîw</w:t>
      </w:r>
      <w:r w:rsidRPr="001F52A8">
        <w:rPr>
          <w:rFonts w:cstheme="minorHAnsi"/>
        </w:rPr>
        <w:t xml:space="preserve">). </w:t>
      </w:r>
      <w:r w:rsidR="000713DB">
        <w:rPr>
          <w:rFonts w:cstheme="minorHAnsi"/>
        </w:rPr>
        <w:t>E</w:t>
      </w:r>
      <w:r>
        <w:rPr>
          <w:rFonts w:cstheme="minorHAnsi"/>
        </w:rPr>
        <w:t xml:space="preserve">xplanations of </w:t>
      </w:r>
      <w:r w:rsidRPr="001F52A8">
        <w:rPr>
          <w:rFonts w:cstheme="minorHAnsi"/>
        </w:rPr>
        <w:t>name</w:t>
      </w:r>
      <w:r>
        <w:rPr>
          <w:rFonts w:cstheme="minorHAnsi"/>
        </w:rPr>
        <w:t>s</w:t>
      </w:r>
      <w:r w:rsidRPr="001F52A8">
        <w:rPr>
          <w:rFonts w:cstheme="minorHAnsi"/>
        </w:rPr>
        <w:t xml:space="preserve"> </w:t>
      </w:r>
      <w:r>
        <w:rPr>
          <w:rFonts w:cstheme="minorHAnsi"/>
        </w:rPr>
        <w:t xml:space="preserve">often </w:t>
      </w:r>
      <w:r w:rsidRPr="001F52A8">
        <w:rPr>
          <w:rFonts w:cstheme="minorHAnsi"/>
        </w:rPr>
        <w:t>involv</w:t>
      </w:r>
      <w:r>
        <w:rPr>
          <w:rFonts w:cstheme="minorHAnsi"/>
        </w:rPr>
        <w:t>e</w:t>
      </w:r>
      <w:r w:rsidRPr="001F52A8">
        <w:rPr>
          <w:rFonts w:cstheme="minorHAnsi"/>
        </w:rPr>
        <w:t xml:space="preserve"> paronomasia </w:t>
      </w:r>
      <w:r>
        <w:rPr>
          <w:rFonts w:cstheme="minorHAnsi"/>
        </w:rPr>
        <w:t xml:space="preserve">rather </w:t>
      </w:r>
      <w:r w:rsidRPr="001F52A8">
        <w:rPr>
          <w:rFonts w:cstheme="minorHAnsi"/>
        </w:rPr>
        <w:t>than etymology; “Abraham” does not mean “father of a multitude”</w:t>
      </w:r>
      <w:r w:rsidR="0065686F">
        <w:rPr>
          <w:rFonts w:cstheme="minorHAnsi"/>
        </w:rPr>
        <w:t xml:space="preserve"> (Gen 17:4)</w:t>
      </w:r>
      <w:r w:rsidRPr="001F52A8">
        <w:rPr>
          <w:rFonts w:cstheme="minorHAnsi"/>
        </w:rPr>
        <w:t xml:space="preserve"> but it </w:t>
      </w:r>
      <w:r w:rsidR="00491DAE">
        <w:rPr>
          <w:rFonts w:cstheme="minorHAnsi"/>
        </w:rPr>
        <w:t>could</w:t>
      </w:r>
      <w:r>
        <w:rPr>
          <w:rFonts w:cstheme="minorHAnsi"/>
        </w:rPr>
        <w:t xml:space="preserve"> </w:t>
      </w:r>
      <w:r w:rsidRPr="001F52A8">
        <w:rPr>
          <w:rFonts w:cstheme="minorHAnsi"/>
        </w:rPr>
        <w:t xml:space="preserve">sound like an expression with that meaning. Here, Eli has already </w:t>
      </w:r>
      <w:r>
        <w:rPr>
          <w:rFonts w:cstheme="minorHAnsi"/>
        </w:rPr>
        <w:t>spoken of</w:t>
      </w:r>
      <w:r w:rsidRPr="001F52A8">
        <w:rPr>
          <w:rFonts w:cstheme="minorHAnsi"/>
        </w:rPr>
        <w:t xml:space="preserve"> Yahweh </w:t>
      </w:r>
      <w:r>
        <w:rPr>
          <w:rFonts w:cstheme="minorHAnsi"/>
        </w:rPr>
        <w:t>giving</w:t>
      </w:r>
      <w:r w:rsidRPr="001F52A8">
        <w:rPr>
          <w:rFonts w:cstheme="minorHAnsi"/>
        </w:rPr>
        <w:t xml:space="preserve"> Hannah “the asking that she asked” (1:17)</w:t>
      </w:r>
      <w:r w:rsidR="00491DAE">
        <w:rPr>
          <w:rFonts w:cstheme="minorHAnsi"/>
        </w:rPr>
        <w:t>.</w:t>
      </w:r>
      <w:r w:rsidRPr="001F52A8">
        <w:rPr>
          <w:rFonts w:cstheme="minorHAnsi"/>
        </w:rPr>
        <w:t xml:space="preserve"> Hannah emphasize</w:t>
      </w:r>
      <w:r w:rsidR="00280A0C">
        <w:rPr>
          <w:rFonts w:cstheme="minorHAnsi"/>
        </w:rPr>
        <w:t>s</w:t>
      </w:r>
      <w:r w:rsidRPr="001F52A8">
        <w:rPr>
          <w:rFonts w:cstheme="minorHAnsi"/>
        </w:rPr>
        <w:t xml:space="preserve"> the point when she takes Samuel to Shiloh: “Yahweh gave me the asking that I asked” (1:27). Eli take</w:t>
      </w:r>
      <w:r w:rsidR="00280A0C">
        <w:rPr>
          <w:rFonts w:cstheme="minorHAnsi"/>
        </w:rPr>
        <w:t>s</w:t>
      </w:r>
      <w:r w:rsidRPr="001F52A8">
        <w:rPr>
          <w:rFonts w:cstheme="minorHAnsi"/>
        </w:rPr>
        <w:t xml:space="preserve"> up th</w:t>
      </w:r>
      <w:r w:rsidR="00522F72">
        <w:rPr>
          <w:rFonts w:cstheme="minorHAnsi"/>
        </w:rPr>
        <w:t>at</w:t>
      </w:r>
      <w:r w:rsidRPr="001F52A8">
        <w:rPr>
          <w:rFonts w:cstheme="minorHAnsi"/>
        </w:rPr>
        <w:t xml:space="preserve"> phrase again later (2:20); it occurs only three other times in the First Testament. Hannah further develops the point</w:t>
      </w:r>
      <w:r w:rsidR="00522F72">
        <w:rPr>
          <w:rFonts w:cstheme="minorHAnsi"/>
        </w:rPr>
        <w:t xml:space="preserve"> in</w:t>
      </w:r>
      <w:r w:rsidRPr="001F52A8">
        <w:rPr>
          <w:rFonts w:cstheme="minorHAnsi"/>
        </w:rPr>
        <w:t xml:space="preserve"> us</w:t>
      </w:r>
      <w:r w:rsidR="00522F72">
        <w:rPr>
          <w:rFonts w:cstheme="minorHAnsi"/>
        </w:rPr>
        <w:t>ing</w:t>
      </w:r>
      <w:r w:rsidRPr="001F52A8">
        <w:rPr>
          <w:rFonts w:cstheme="minorHAnsi"/>
        </w:rPr>
        <w:t xml:space="preserve"> the same verb in a</w:t>
      </w:r>
      <w:r>
        <w:rPr>
          <w:rFonts w:cstheme="minorHAnsi"/>
        </w:rPr>
        <w:t>n unusual</w:t>
      </w:r>
      <w:r w:rsidRPr="001F52A8">
        <w:rPr>
          <w:rFonts w:cstheme="minorHAnsi"/>
        </w:rPr>
        <w:t xml:space="preserve"> way</w:t>
      </w:r>
      <w:r w:rsidR="00FB6992">
        <w:rPr>
          <w:rFonts w:cstheme="minorHAnsi"/>
        </w:rPr>
        <w:t>:</w:t>
      </w:r>
      <w:r w:rsidRPr="001F52A8">
        <w:rPr>
          <w:rFonts w:cstheme="minorHAnsi"/>
        </w:rPr>
        <w:t xml:space="preserve"> she is giving Samuel back to Yahweh as something she asked for</w:t>
      </w:r>
      <w:r>
        <w:rPr>
          <w:rFonts w:cstheme="minorHAnsi"/>
        </w:rPr>
        <w:t>,</w:t>
      </w:r>
      <w:r w:rsidRPr="001F52A8">
        <w:rPr>
          <w:rFonts w:cstheme="minorHAnsi"/>
        </w:rPr>
        <w:t xml:space="preserve"> or as if it were something he asked for (</w:t>
      </w:r>
      <w:r w:rsidRPr="001F52A8">
        <w:rPr>
          <w:rFonts w:cstheme="minorHAnsi"/>
          <w:i/>
          <w:iCs/>
        </w:rPr>
        <w:t>hiš’iltihû</w:t>
      </w:r>
      <w:r w:rsidRPr="001F52A8">
        <w:rPr>
          <w:rFonts w:cstheme="minorHAnsi"/>
        </w:rPr>
        <w:t>), and it is because he is “asked in connection with Yahweh” (</w:t>
      </w:r>
      <w:r w:rsidRPr="001F52A8">
        <w:rPr>
          <w:rFonts w:cstheme="minorHAnsi"/>
          <w:i/>
          <w:iCs/>
        </w:rPr>
        <w:t>šā’ûl</w:t>
      </w:r>
      <w:r w:rsidRPr="001F52A8">
        <w:rPr>
          <w:rFonts w:cstheme="minorHAnsi"/>
        </w:rPr>
        <w:t xml:space="preserve"> </w:t>
      </w:r>
      <w:r w:rsidRPr="001F52A8">
        <w:rPr>
          <w:rFonts w:cstheme="minorHAnsi"/>
          <w:i/>
          <w:iCs/>
        </w:rPr>
        <w:t>lyhwh</w:t>
      </w:r>
      <w:r w:rsidRPr="001F52A8">
        <w:rPr>
          <w:rFonts w:cstheme="minorHAnsi"/>
        </w:rPr>
        <w:t>; 1:28).</w:t>
      </w:r>
      <w:r w:rsidRPr="001F52A8">
        <w:rPr>
          <w:rStyle w:val="FootnoteReference"/>
          <w:rFonts w:cstheme="minorHAnsi"/>
        </w:rPr>
        <w:footnoteReference w:id="63"/>
      </w:r>
      <w:r w:rsidRPr="001F52A8">
        <w:rPr>
          <w:rFonts w:cstheme="minorHAnsi"/>
        </w:rPr>
        <w:t xml:space="preserve"> There is thus subtlety there, because </w:t>
      </w:r>
      <w:r w:rsidRPr="001F52A8">
        <w:rPr>
          <w:rFonts w:cstheme="minorHAnsi"/>
          <w:i/>
          <w:iCs/>
        </w:rPr>
        <w:t>šā’ûl</w:t>
      </w:r>
      <w:r w:rsidRPr="001F52A8">
        <w:rPr>
          <w:rFonts w:cstheme="minorHAnsi"/>
        </w:rPr>
        <w:t xml:space="preserve"> is the name of the king whom Samuel will anoint</w:t>
      </w:r>
      <w:r>
        <w:rPr>
          <w:rFonts w:cstheme="minorHAnsi"/>
        </w:rPr>
        <w:t xml:space="preserve"> </w:t>
      </w:r>
      <w:r w:rsidRPr="001F52A8">
        <w:rPr>
          <w:rFonts w:cstheme="minorHAnsi"/>
        </w:rPr>
        <w:t xml:space="preserve">when the people “ask” for a king and “ask” who it should be (8:10; 10:22; then acerbically, 12:13, 17, 19). </w:t>
      </w:r>
      <w:r>
        <w:rPr>
          <w:rFonts w:cstheme="minorHAnsi"/>
        </w:rPr>
        <w:t>L</w:t>
      </w:r>
      <w:r w:rsidRPr="001F52A8">
        <w:rPr>
          <w:rFonts w:cstheme="minorHAnsi"/>
        </w:rPr>
        <w:t xml:space="preserve">ooking back to Hannah’s words after </w:t>
      </w:r>
      <w:r w:rsidR="004D223D">
        <w:rPr>
          <w:rFonts w:cstheme="minorHAnsi"/>
        </w:rPr>
        <w:t>Saul’s</w:t>
      </w:r>
      <w:r w:rsidRPr="001F52A8">
        <w:rPr>
          <w:rFonts w:cstheme="minorHAnsi"/>
        </w:rPr>
        <w:t xml:space="preserve"> designation reveals </w:t>
      </w:r>
      <w:r w:rsidRPr="001F52A8">
        <w:rPr>
          <w:rFonts w:cstheme="minorHAnsi"/>
        </w:rPr>
        <w:lastRenderedPageBreak/>
        <w:t>th</w:t>
      </w:r>
      <w:r w:rsidR="004D223D">
        <w:rPr>
          <w:rFonts w:cstheme="minorHAnsi"/>
        </w:rPr>
        <w:t>eir</w:t>
      </w:r>
      <w:r w:rsidRPr="001F52A8">
        <w:rPr>
          <w:rFonts w:cstheme="minorHAnsi"/>
        </w:rPr>
        <w:t xml:space="preserve"> hint</w:t>
      </w:r>
      <w:r>
        <w:rPr>
          <w:rFonts w:cstheme="minorHAnsi"/>
        </w:rPr>
        <w:t xml:space="preserve"> that</w:t>
      </w:r>
      <w:r w:rsidRPr="001F52A8">
        <w:rPr>
          <w:rFonts w:cstheme="minorHAnsi"/>
        </w:rPr>
        <w:t xml:space="preserve"> the family story and the woman’s story </w:t>
      </w:r>
      <w:r>
        <w:rPr>
          <w:rFonts w:cstheme="minorHAnsi"/>
        </w:rPr>
        <w:t>are</w:t>
      </w:r>
      <w:r w:rsidRPr="001F52A8">
        <w:rPr>
          <w:rFonts w:cstheme="minorHAnsi"/>
        </w:rPr>
        <w:t xml:space="preserve"> also a story about the origin of the monarchy. In asking for Samuel, Hannah has asked for the prophet who will be Yahweh’s means of designating Saul</w:t>
      </w:r>
      <w:r>
        <w:rPr>
          <w:rFonts w:cstheme="minorHAnsi"/>
        </w:rPr>
        <w:t>.</w:t>
      </w:r>
      <w:r w:rsidRPr="001F52A8">
        <w:rPr>
          <w:rFonts w:cstheme="minorHAnsi"/>
        </w:rPr>
        <w:t xml:space="preserve"> </w:t>
      </w:r>
      <w:r w:rsidR="00D67CEE">
        <w:rPr>
          <w:rFonts w:cstheme="minorHAnsi"/>
        </w:rPr>
        <w:t>Unwittingly</w:t>
      </w:r>
      <w:r w:rsidRPr="001F52A8">
        <w:rPr>
          <w:rFonts w:cstheme="minorHAnsi"/>
        </w:rPr>
        <w:t xml:space="preserve"> she has asked for Saul, who will be the one for whom people ask. Notwithstanding the unhappy way Saul’s story will unfold, Hannah wasn’t drunk in asking for Saul.</w:t>
      </w:r>
    </w:p>
    <w:p w14:paraId="79F1687D" w14:textId="77777777" w:rsidR="00382700" w:rsidRPr="001F52A8" w:rsidRDefault="00382700" w:rsidP="000B0A0F">
      <w:pPr>
        <w:pStyle w:val="Heading2"/>
      </w:pPr>
      <w:r w:rsidRPr="001F52A8">
        <w:t>Ministry</w:t>
      </w:r>
    </w:p>
    <w:p w14:paraId="1F906F9F" w14:textId="3F3E351D" w:rsidR="009473AD" w:rsidRPr="001F52A8" w:rsidRDefault="00C33B17" w:rsidP="009473AD">
      <w:pPr>
        <w:pStyle w:val="Default"/>
        <w:ind w:firstLine="720"/>
        <w:rPr>
          <w:rFonts w:asciiTheme="minorHAnsi" w:hAnsiTheme="minorHAnsi" w:cstheme="minorHAnsi"/>
          <w:color w:val="auto"/>
          <w:sz w:val="22"/>
          <w:szCs w:val="22"/>
        </w:rPr>
      </w:pPr>
      <w:r w:rsidRPr="001F52A8">
        <w:rPr>
          <w:rFonts w:asciiTheme="minorHAnsi" w:hAnsiTheme="minorHAnsi" w:cstheme="minorHAnsi"/>
          <w:color w:val="auto"/>
          <w:sz w:val="22"/>
          <w:szCs w:val="22"/>
        </w:rPr>
        <w:t>Accompa</w:t>
      </w:r>
      <w:r w:rsidR="00F11C47" w:rsidRPr="001F52A8">
        <w:rPr>
          <w:rFonts w:asciiTheme="minorHAnsi" w:hAnsiTheme="minorHAnsi" w:cstheme="minorHAnsi"/>
          <w:color w:val="auto"/>
          <w:sz w:val="22"/>
          <w:szCs w:val="22"/>
        </w:rPr>
        <w:t>nying t</w:t>
      </w:r>
      <w:r w:rsidR="0008541C" w:rsidRPr="001F52A8">
        <w:rPr>
          <w:rFonts w:asciiTheme="minorHAnsi" w:hAnsiTheme="minorHAnsi" w:cstheme="minorHAnsi"/>
          <w:color w:val="auto"/>
          <w:sz w:val="22"/>
          <w:szCs w:val="22"/>
        </w:rPr>
        <w:t xml:space="preserve">he transition </w:t>
      </w:r>
      <w:r w:rsidR="00315605" w:rsidRPr="001F52A8">
        <w:rPr>
          <w:rFonts w:asciiTheme="minorHAnsi" w:hAnsiTheme="minorHAnsi" w:cstheme="minorHAnsi"/>
          <w:color w:val="auto"/>
          <w:sz w:val="22"/>
          <w:szCs w:val="22"/>
        </w:rPr>
        <w:t>to being a settled people</w:t>
      </w:r>
      <w:r w:rsidR="009A5BB3" w:rsidRPr="001F52A8">
        <w:rPr>
          <w:rFonts w:asciiTheme="minorHAnsi" w:hAnsiTheme="minorHAnsi" w:cstheme="minorHAnsi"/>
          <w:color w:val="auto"/>
          <w:sz w:val="22"/>
          <w:szCs w:val="22"/>
        </w:rPr>
        <w:t xml:space="preserve"> with God having a more settled home in their midst</w:t>
      </w:r>
      <w:r w:rsidRPr="001F52A8">
        <w:rPr>
          <w:rFonts w:asciiTheme="minorHAnsi" w:hAnsiTheme="minorHAnsi" w:cstheme="minorHAnsi"/>
          <w:color w:val="auto"/>
          <w:sz w:val="22"/>
          <w:szCs w:val="22"/>
        </w:rPr>
        <w:t xml:space="preserve"> </w:t>
      </w:r>
      <w:r w:rsidR="00F11C47" w:rsidRPr="001F52A8">
        <w:rPr>
          <w:rFonts w:asciiTheme="minorHAnsi" w:hAnsiTheme="minorHAnsi" w:cstheme="minorHAnsi"/>
          <w:color w:val="auto"/>
          <w:sz w:val="22"/>
          <w:szCs w:val="22"/>
        </w:rPr>
        <w:t xml:space="preserve">was a transition to having </w:t>
      </w:r>
      <w:r w:rsidR="008C2CC0" w:rsidRPr="001F52A8">
        <w:rPr>
          <w:rFonts w:asciiTheme="minorHAnsi" w:hAnsiTheme="minorHAnsi" w:cstheme="minorHAnsi"/>
          <w:color w:val="auto"/>
          <w:sz w:val="22"/>
          <w:szCs w:val="22"/>
        </w:rPr>
        <w:t xml:space="preserve">a body of </w:t>
      </w:r>
      <w:r w:rsidR="00AE3513" w:rsidRPr="001F52A8">
        <w:rPr>
          <w:rFonts w:asciiTheme="minorHAnsi" w:hAnsiTheme="minorHAnsi" w:cstheme="minorHAnsi"/>
          <w:color w:val="auto"/>
          <w:sz w:val="22"/>
          <w:szCs w:val="22"/>
        </w:rPr>
        <w:t xml:space="preserve">ministers who worked </w:t>
      </w:r>
      <w:r w:rsidR="00453F6C" w:rsidRPr="001F52A8">
        <w:rPr>
          <w:rFonts w:asciiTheme="minorHAnsi" w:hAnsiTheme="minorHAnsi" w:cstheme="minorHAnsi"/>
          <w:color w:val="auto"/>
          <w:sz w:val="22"/>
          <w:szCs w:val="22"/>
        </w:rPr>
        <w:t xml:space="preserve">at that </w:t>
      </w:r>
      <w:r w:rsidR="00730103">
        <w:rPr>
          <w:rFonts w:asciiTheme="minorHAnsi" w:hAnsiTheme="minorHAnsi" w:cstheme="minorHAnsi"/>
          <w:color w:val="auto"/>
          <w:sz w:val="22"/>
          <w:szCs w:val="22"/>
        </w:rPr>
        <w:t xml:space="preserve">more </w:t>
      </w:r>
      <w:r w:rsidR="00453F6C" w:rsidRPr="001F52A8">
        <w:rPr>
          <w:rFonts w:asciiTheme="minorHAnsi" w:hAnsiTheme="minorHAnsi" w:cstheme="minorHAnsi"/>
          <w:color w:val="auto"/>
          <w:sz w:val="22"/>
          <w:szCs w:val="22"/>
        </w:rPr>
        <w:t>settled</w:t>
      </w:r>
      <w:r w:rsidR="00FB3795">
        <w:rPr>
          <w:rFonts w:asciiTheme="minorHAnsi" w:hAnsiTheme="minorHAnsi" w:cstheme="minorHAnsi"/>
          <w:color w:val="auto"/>
          <w:sz w:val="22"/>
          <w:szCs w:val="22"/>
        </w:rPr>
        <w:t xml:space="preserve"> </w:t>
      </w:r>
      <w:r w:rsidR="00453F6C" w:rsidRPr="001F52A8">
        <w:rPr>
          <w:rFonts w:asciiTheme="minorHAnsi" w:hAnsiTheme="minorHAnsi" w:cstheme="minorHAnsi"/>
          <w:color w:val="auto"/>
          <w:sz w:val="22"/>
          <w:szCs w:val="22"/>
        </w:rPr>
        <w:t>home</w:t>
      </w:r>
      <w:r w:rsidR="007D6A80" w:rsidRPr="001F52A8">
        <w:rPr>
          <w:rFonts w:asciiTheme="minorHAnsi" w:hAnsiTheme="minorHAnsi" w:cstheme="minorHAnsi"/>
          <w:color w:val="auto"/>
          <w:sz w:val="22"/>
          <w:szCs w:val="22"/>
        </w:rPr>
        <w:t xml:space="preserve">. To judge from the Torah and the Jerusalem temple, it would have </w:t>
      </w:r>
      <w:r w:rsidR="000B59F4" w:rsidRPr="001F52A8">
        <w:rPr>
          <w:rFonts w:asciiTheme="minorHAnsi" w:hAnsiTheme="minorHAnsi" w:cstheme="minorHAnsi"/>
          <w:color w:val="auto"/>
          <w:sz w:val="22"/>
          <w:szCs w:val="22"/>
        </w:rPr>
        <w:t xml:space="preserve">a regular </w:t>
      </w:r>
      <w:r w:rsidR="00112408" w:rsidRPr="001F52A8">
        <w:rPr>
          <w:rFonts w:asciiTheme="minorHAnsi" w:hAnsiTheme="minorHAnsi" w:cstheme="minorHAnsi"/>
          <w:color w:val="auto"/>
          <w:sz w:val="22"/>
          <w:szCs w:val="22"/>
        </w:rPr>
        <w:t xml:space="preserve">daily </w:t>
      </w:r>
      <w:r w:rsidR="00F521C6" w:rsidRPr="001F52A8">
        <w:rPr>
          <w:rFonts w:asciiTheme="minorHAnsi" w:hAnsiTheme="minorHAnsi" w:cstheme="minorHAnsi"/>
          <w:color w:val="auto"/>
          <w:sz w:val="22"/>
          <w:szCs w:val="22"/>
        </w:rPr>
        <w:t>worship program</w:t>
      </w:r>
      <w:r w:rsidR="00894234" w:rsidRPr="001F52A8">
        <w:rPr>
          <w:rFonts w:asciiTheme="minorHAnsi" w:hAnsiTheme="minorHAnsi" w:cstheme="minorHAnsi"/>
          <w:color w:val="auto"/>
          <w:sz w:val="22"/>
          <w:szCs w:val="22"/>
        </w:rPr>
        <w:t>,</w:t>
      </w:r>
      <w:r w:rsidR="00FE6C70" w:rsidRPr="001F52A8">
        <w:rPr>
          <w:rFonts w:asciiTheme="minorHAnsi" w:hAnsiTheme="minorHAnsi" w:cstheme="minorHAnsi"/>
          <w:color w:val="auto"/>
          <w:sz w:val="22"/>
          <w:szCs w:val="22"/>
        </w:rPr>
        <w:t xml:space="preserve"> </w:t>
      </w:r>
      <w:r w:rsidR="00973705">
        <w:rPr>
          <w:rFonts w:asciiTheme="minorHAnsi" w:hAnsiTheme="minorHAnsi" w:cstheme="minorHAnsi"/>
          <w:color w:val="auto"/>
          <w:sz w:val="22"/>
          <w:szCs w:val="22"/>
        </w:rPr>
        <w:t>while</w:t>
      </w:r>
      <w:r w:rsidR="00E14D0C" w:rsidRPr="001F52A8">
        <w:rPr>
          <w:rFonts w:asciiTheme="minorHAnsi" w:hAnsiTheme="minorHAnsi" w:cstheme="minorHAnsi"/>
          <w:color w:val="auto"/>
          <w:sz w:val="22"/>
          <w:szCs w:val="22"/>
        </w:rPr>
        <w:t xml:space="preserve"> </w:t>
      </w:r>
      <w:r w:rsidR="00FA59B9" w:rsidRPr="001F52A8">
        <w:rPr>
          <w:rFonts w:asciiTheme="minorHAnsi" w:hAnsiTheme="minorHAnsi" w:cstheme="minorHAnsi"/>
          <w:color w:val="auto"/>
          <w:sz w:val="22"/>
          <w:szCs w:val="22"/>
        </w:rPr>
        <w:t xml:space="preserve">the </w:t>
      </w:r>
      <w:r w:rsidR="00380F44">
        <w:rPr>
          <w:rFonts w:asciiTheme="minorHAnsi" w:hAnsiTheme="minorHAnsi" w:cstheme="minorHAnsi"/>
          <w:color w:val="auto"/>
          <w:sz w:val="22"/>
          <w:szCs w:val="22"/>
        </w:rPr>
        <w:t xml:space="preserve">Hannah </w:t>
      </w:r>
      <w:r w:rsidR="00FA59B9" w:rsidRPr="001F52A8">
        <w:rPr>
          <w:rFonts w:asciiTheme="minorHAnsi" w:hAnsiTheme="minorHAnsi" w:cstheme="minorHAnsi"/>
          <w:color w:val="auto"/>
          <w:sz w:val="22"/>
          <w:szCs w:val="22"/>
        </w:rPr>
        <w:t xml:space="preserve">story indicates </w:t>
      </w:r>
      <w:r w:rsidR="00BD4FD1" w:rsidRPr="001F52A8">
        <w:rPr>
          <w:rFonts w:asciiTheme="minorHAnsi" w:hAnsiTheme="minorHAnsi" w:cstheme="minorHAnsi"/>
          <w:color w:val="auto"/>
          <w:sz w:val="22"/>
          <w:szCs w:val="22"/>
        </w:rPr>
        <w:t xml:space="preserve">that it </w:t>
      </w:r>
      <w:r w:rsidR="00B20048" w:rsidRPr="001F52A8">
        <w:rPr>
          <w:rFonts w:asciiTheme="minorHAnsi" w:hAnsiTheme="minorHAnsi" w:cstheme="minorHAnsi"/>
          <w:color w:val="auto"/>
          <w:sz w:val="22"/>
          <w:szCs w:val="22"/>
        </w:rPr>
        <w:t xml:space="preserve">would </w:t>
      </w:r>
      <w:r w:rsidR="00E14D0C" w:rsidRPr="001F52A8">
        <w:rPr>
          <w:rFonts w:asciiTheme="minorHAnsi" w:hAnsiTheme="minorHAnsi" w:cstheme="minorHAnsi"/>
          <w:color w:val="auto"/>
          <w:sz w:val="22"/>
          <w:szCs w:val="22"/>
        </w:rPr>
        <w:t>host</w:t>
      </w:r>
      <w:r w:rsidR="00FE6C70" w:rsidRPr="001F52A8">
        <w:rPr>
          <w:rFonts w:asciiTheme="minorHAnsi" w:hAnsiTheme="minorHAnsi" w:cstheme="minorHAnsi"/>
          <w:color w:val="auto"/>
          <w:sz w:val="22"/>
          <w:szCs w:val="22"/>
        </w:rPr>
        <w:t xml:space="preserve"> the</w:t>
      </w:r>
      <w:r w:rsidR="00E14D0C" w:rsidRPr="001F52A8">
        <w:rPr>
          <w:rFonts w:asciiTheme="minorHAnsi" w:hAnsiTheme="minorHAnsi" w:cstheme="minorHAnsi"/>
          <w:color w:val="auto"/>
          <w:sz w:val="22"/>
          <w:szCs w:val="22"/>
        </w:rPr>
        <w:t xml:space="preserve"> annual </w:t>
      </w:r>
      <w:r w:rsidR="00FE6C70" w:rsidRPr="001F52A8">
        <w:rPr>
          <w:rFonts w:asciiTheme="minorHAnsi" w:hAnsiTheme="minorHAnsi" w:cstheme="minorHAnsi"/>
          <w:color w:val="auto"/>
          <w:sz w:val="22"/>
          <w:szCs w:val="22"/>
        </w:rPr>
        <w:t>festivals</w:t>
      </w:r>
      <w:r w:rsidR="00BD4FD1" w:rsidRPr="001F52A8">
        <w:rPr>
          <w:rFonts w:asciiTheme="minorHAnsi" w:hAnsiTheme="minorHAnsi" w:cstheme="minorHAnsi"/>
          <w:color w:val="auto"/>
          <w:sz w:val="22"/>
          <w:szCs w:val="22"/>
        </w:rPr>
        <w:t xml:space="preserve"> and</w:t>
      </w:r>
      <w:r w:rsidR="002A4726" w:rsidRPr="001F52A8">
        <w:rPr>
          <w:rFonts w:asciiTheme="minorHAnsi" w:hAnsiTheme="minorHAnsi" w:cstheme="minorHAnsi"/>
          <w:color w:val="auto"/>
          <w:sz w:val="22"/>
          <w:szCs w:val="22"/>
        </w:rPr>
        <w:t xml:space="preserve"> visits fr</w:t>
      </w:r>
      <w:r w:rsidR="00112408" w:rsidRPr="001F52A8">
        <w:rPr>
          <w:rFonts w:asciiTheme="minorHAnsi" w:hAnsiTheme="minorHAnsi" w:cstheme="minorHAnsi"/>
          <w:color w:val="auto"/>
          <w:sz w:val="22"/>
          <w:szCs w:val="22"/>
        </w:rPr>
        <w:t>o</w:t>
      </w:r>
      <w:r w:rsidR="002A4726" w:rsidRPr="001F52A8">
        <w:rPr>
          <w:rFonts w:asciiTheme="minorHAnsi" w:hAnsiTheme="minorHAnsi" w:cstheme="minorHAnsi"/>
          <w:color w:val="auto"/>
          <w:sz w:val="22"/>
          <w:szCs w:val="22"/>
        </w:rPr>
        <w:t xml:space="preserve">m people </w:t>
      </w:r>
      <w:r w:rsidR="00380F44">
        <w:rPr>
          <w:rFonts w:asciiTheme="minorHAnsi" w:hAnsiTheme="minorHAnsi" w:cstheme="minorHAnsi"/>
          <w:color w:val="auto"/>
          <w:sz w:val="22"/>
          <w:szCs w:val="22"/>
        </w:rPr>
        <w:t>bringing</w:t>
      </w:r>
      <w:r w:rsidR="002A4726" w:rsidRPr="001F52A8">
        <w:rPr>
          <w:rFonts w:asciiTheme="minorHAnsi" w:hAnsiTheme="minorHAnsi" w:cstheme="minorHAnsi"/>
          <w:color w:val="auto"/>
          <w:sz w:val="22"/>
          <w:szCs w:val="22"/>
        </w:rPr>
        <w:t xml:space="preserve"> sacrifices for personal reasons – </w:t>
      </w:r>
      <w:r w:rsidR="00C74CA3" w:rsidRPr="001F52A8">
        <w:rPr>
          <w:rFonts w:asciiTheme="minorHAnsi" w:hAnsiTheme="minorHAnsi" w:cstheme="minorHAnsi"/>
          <w:color w:val="auto"/>
          <w:sz w:val="22"/>
          <w:szCs w:val="22"/>
        </w:rPr>
        <w:t xml:space="preserve">for instance, in connection with prayers for healing or for a baby, or thanksgiving for healing or </w:t>
      </w:r>
      <w:r w:rsidR="007908A0">
        <w:rPr>
          <w:rFonts w:asciiTheme="minorHAnsi" w:hAnsiTheme="minorHAnsi" w:cstheme="minorHAnsi"/>
          <w:color w:val="auto"/>
          <w:sz w:val="22"/>
          <w:szCs w:val="22"/>
        </w:rPr>
        <w:t>a</w:t>
      </w:r>
      <w:r w:rsidR="00C74CA3" w:rsidRPr="001F52A8">
        <w:rPr>
          <w:rFonts w:asciiTheme="minorHAnsi" w:hAnsiTheme="minorHAnsi" w:cstheme="minorHAnsi"/>
          <w:color w:val="auto"/>
          <w:sz w:val="22"/>
          <w:szCs w:val="22"/>
        </w:rPr>
        <w:t xml:space="preserve"> birth. </w:t>
      </w:r>
      <w:r w:rsidR="00C947C8">
        <w:rPr>
          <w:rFonts w:asciiTheme="minorHAnsi" w:hAnsiTheme="minorHAnsi" w:cstheme="minorHAnsi"/>
          <w:color w:val="auto"/>
          <w:sz w:val="22"/>
          <w:szCs w:val="22"/>
        </w:rPr>
        <w:t>Portions of such</w:t>
      </w:r>
      <w:r w:rsidR="001A085F" w:rsidRPr="001F52A8">
        <w:rPr>
          <w:rFonts w:asciiTheme="minorHAnsi" w:hAnsiTheme="minorHAnsi" w:cstheme="minorHAnsi"/>
          <w:color w:val="auto"/>
          <w:sz w:val="22"/>
          <w:szCs w:val="22"/>
        </w:rPr>
        <w:t xml:space="preserve"> offerings</w:t>
      </w:r>
      <w:r w:rsidR="00BA6D64" w:rsidRPr="001F52A8">
        <w:rPr>
          <w:rFonts w:asciiTheme="minorHAnsi" w:hAnsiTheme="minorHAnsi" w:cstheme="minorHAnsi"/>
          <w:color w:val="auto"/>
          <w:sz w:val="22"/>
          <w:szCs w:val="22"/>
        </w:rPr>
        <w:t xml:space="preserve"> w</w:t>
      </w:r>
      <w:r w:rsidR="004246CA">
        <w:rPr>
          <w:rFonts w:asciiTheme="minorHAnsi" w:hAnsiTheme="minorHAnsi" w:cstheme="minorHAnsi"/>
          <w:color w:val="auto"/>
          <w:sz w:val="22"/>
          <w:szCs w:val="22"/>
        </w:rPr>
        <w:t>ould be</w:t>
      </w:r>
      <w:r w:rsidR="00BA6D64" w:rsidRPr="001F52A8">
        <w:rPr>
          <w:rFonts w:asciiTheme="minorHAnsi" w:hAnsiTheme="minorHAnsi" w:cstheme="minorHAnsi"/>
          <w:color w:val="auto"/>
          <w:sz w:val="22"/>
          <w:szCs w:val="22"/>
        </w:rPr>
        <w:t xml:space="preserve"> given to Yahweh (that is, burned), p</w:t>
      </w:r>
      <w:r w:rsidR="000C104E">
        <w:rPr>
          <w:rFonts w:asciiTheme="minorHAnsi" w:hAnsiTheme="minorHAnsi" w:cstheme="minorHAnsi"/>
          <w:color w:val="auto"/>
          <w:sz w:val="22"/>
          <w:szCs w:val="22"/>
        </w:rPr>
        <w:t>ortions</w:t>
      </w:r>
      <w:r w:rsidR="00BA6D64" w:rsidRPr="001F52A8">
        <w:rPr>
          <w:rFonts w:asciiTheme="minorHAnsi" w:hAnsiTheme="minorHAnsi" w:cstheme="minorHAnsi"/>
          <w:color w:val="auto"/>
          <w:sz w:val="22"/>
          <w:szCs w:val="22"/>
        </w:rPr>
        <w:t xml:space="preserve"> shared by the family</w:t>
      </w:r>
      <w:r w:rsidR="002016B1" w:rsidRPr="001F52A8">
        <w:rPr>
          <w:rFonts w:asciiTheme="minorHAnsi" w:hAnsiTheme="minorHAnsi" w:cstheme="minorHAnsi"/>
          <w:color w:val="auto"/>
          <w:sz w:val="22"/>
          <w:szCs w:val="22"/>
        </w:rPr>
        <w:t>, and p</w:t>
      </w:r>
      <w:r w:rsidR="000C104E">
        <w:rPr>
          <w:rFonts w:asciiTheme="minorHAnsi" w:hAnsiTheme="minorHAnsi" w:cstheme="minorHAnsi"/>
          <w:color w:val="auto"/>
          <w:sz w:val="22"/>
          <w:szCs w:val="22"/>
        </w:rPr>
        <w:t>ortions</w:t>
      </w:r>
      <w:r w:rsidR="002016B1" w:rsidRPr="001F52A8">
        <w:rPr>
          <w:rFonts w:asciiTheme="minorHAnsi" w:hAnsiTheme="minorHAnsi" w:cstheme="minorHAnsi"/>
          <w:color w:val="auto"/>
          <w:sz w:val="22"/>
          <w:szCs w:val="22"/>
        </w:rPr>
        <w:t xml:space="preserve"> shared with the priests</w:t>
      </w:r>
      <w:r w:rsidR="00992146" w:rsidRPr="001F52A8">
        <w:rPr>
          <w:rFonts w:asciiTheme="minorHAnsi" w:hAnsiTheme="minorHAnsi" w:cstheme="minorHAnsi"/>
          <w:color w:val="auto"/>
          <w:sz w:val="22"/>
          <w:szCs w:val="22"/>
        </w:rPr>
        <w:t xml:space="preserve"> for whom it was </w:t>
      </w:r>
      <w:r w:rsidR="00487129" w:rsidRPr="001F52A8">
        <w:rPr>
          <w:rFonts w:asciiTheme="minorHAnsi" w:hAnsiTheme="minorHAnsi" w:cstheme="minorHAnsi"/>
          <w:color w:val="auto"/>
          <w:sz w:val="22"/>
          <w:szCs w:val="22"/>
        </w:rPr>
        <w:t xml:space="preserve">part of </w:t>
      </w:r>
      <w:r w:rsidR="00FE2AC4">
        <w:rPr>
          <w:rFonts w:asciiTheme="minorHAnsi" w:hAnsiTheme="minorHAnsi" w:cstheme="minorHAnsi"/>
          <w:color w:val="auto"/>
          <w:sz w:val="22"/>
          <w:szCs w:val="22"/>
        </w:rPr>
        <w:t>the</w:t>
      </w:r>
      <w:r w:rsidR="002A5B96">
        <w:rPr>
          <w:rFonts w:asciiTheme="minorHAnsi" w:hAnsiTheme="minorHAnsi" w:cstheme="minorHAnsi"/>
          <w:color w:val="auto"/>
          <w:sz w:val="22"/>
          <w:szCs w:val="22"/>
        </w:rPr>
        <w:t>ir livelihood,</w:t>
      </w:r>
      <w:r w:rsidR="00FE2AC4">
        <w:rPr>
          <w:rFonts w:asciiTheme="minorHAnsi" w:hAnsiTheme="minorHAnsi" w:cstheme="minorHAnsi"/>
          <w:color w:val="auto"/>
          <w:sz w:val="22"/>
          <w:szCs w:val="22"/>
        </w:rPr>
        <w:t xml:space="preserve"> for them</w:t>
      </w:r>
      <w:r w:rsidR="002A5B96">
        <w:rPr>
          <w:rFonts w:asciiTheme="minorHAnsi" w:hAnsiTheme="minorHAnsi" w:cstheme="minorHAnsi"/>
          <w:color w:val="auto"/>
          <w:sz w:val="22"/>
          <w:szCs w:val="22"/>
        </w:rPr>
        <w:t>selves</w:t>
      </w:r>
      <w:r w:rsidR="002016B1" w:rsidRPr="001F52A8">
        <w:rPr>
          <w:rFonts w:asciiTheme="minorHAnsi" w:hAnsiTheme="minorHAnsi" w:cstheme="minorHAnsi"/>
          <w:color w:val="auto"/>
          <w:sz w:val="22"/>
          <w:szCs w:val="22"/>
        </w:rPr>
        <w:t xml:space="preserve"> and their famil</w:t>
      </w:r>
      <w:r w:rsidR="00FE2AC4">
        <w:rPr>
          <w:rFonts w:asciiTheme="minorHAnsi" w:hAnsiTheme="minorHAnsi" w:cstheme="minorHAnsi"/>
          <w:color w:val="auto"/>
          <w:sz w:val="22"/>
          <w:szCs w:val="22"/>
        </w:rPr>
        <w:t>y.</w:t>
      </w:r>
      <w:r w:rsidR="001A085F" w:rsidRPr="001F52A8">
        <w:rPr>
          <w:rFonts w:asciiTheme="minorHAnsi" w:hAnsiTheme="minorHAnsi" w:cstheme="minorHAnsi"/>
          <w:color w:val="auto"/>
          <w:sz w:val="22"/>
          <w:szCs w:val="22"/>
        </w:rPr>
        <w:t xml:space="preserve"> </w:t>
      </w:r>
      <w:r w:rsidR="009473AD" w:rsidRPr="001F52A8">
        <w:rPr>
          <w:rFonts w:asciiTheme="minorHAnsi" w:hAnsiTheme="minorHAnsi" w:cstheme="minorHAnsi"/>
          <w:color w:val="auto"/>
          <w:sz w:val="22"/>
          <w:szCs w:val="22"/>
        </w:rPr>
        <w:t xml:space="preserve">Leviticus incorporates rules for </w:t>
      </w:r>
      <w:r w:rsidR="00181857">
        <w:rPr>
          <w:rFonts w:asciiTheme="minorHAnsi" w:hAnsiTheme="minorHAnsi" w:cstheme="minorHAnsi"/>
          <w:color w:val="auto"/>
          <w:sz w:val="22"/>
          <w:szCs w:val="22"/>
        </w:rPr>
        <w:t xml:space="preserve">sharing out the </w:t>
      </w:r>
      <w:r w:rsidR="009473AD" w:rsidRPr="001F52A8">
        <w:rPr>
          <w:rFonts w:asciiTheme="minorHAnsi" w:hAnsiTheme="minorHAnsi" w:cstheme="minorHAnsi"/>
          <w:color w:val="auto"/>
          <w:sz w:val="22"/>
          <w:szCs w:val="22"/>
        </w:rPr>
        <w:t>offerings</w:t>
      </w:r>
      <w:r w:rsidR="007E08BC" w:rsidRPr="001F52A8">
        <w:rPr>
          <w:rFonts w:asciiTheme="minorHAnsi" w:hAnsiTheme="minorHAnsi" w:cstheme="minorHAnsi"/>
          <w:color w:val="auto"/>
          <w:sz w:val="22"/>
          <w:szCs w:val="22"/>
        </w:rPr>
        <w:t>, though</w:t>
      </w:r>
      <w:r w:rsidR="00DD18C6" w:rsidRPr="001F52A8">
        <w:rPr>
          <w:rFonts w:asciiTheme="minorHAnsi" w:hAnsiTheme="minorHAnsi" w:cstheme="minorHAnsi"/>
          <w:color w:val="auto"/>
          <w:sz w:val="22"/>
          <w:szCs w:val="22"/>
        </w:rPr>
        <w:t xml:space="preserve"> one cannot </w:t>
      </w:r>
      <w:r w:rsidR="00410785">
        <w:rPr>
          <w:rFonts w:asciiTheme="minorHAnsi" w:hAnsiTheme="minorHAnsi" w:cstheme="minorHAnsi"/>
          <w:color w:val="auto"/>
          <w:sz w:val="22"/>
          <w:szCs w:val="22"/>
        </w:rPr>
        <w:t xml:space="preserve">infer </w:t>
      </w:r>
      <w:r w:rsidR="00DD18C6" w:rsidRPr="001F52A8">
        <w:rPr>
          <w:rFonts w:asciiTheme="minorHAnsi" w:hAnsiTheme="minorHAnsi" w:cstheme="minorHAnsi"/>
          <w:color w:val="auto"/>
          <w:sz w:val="22"/>
          <w:szCs w:val="22"/>
        </w:rPr>
        <w:t xml:space="preserve">from them </w:t>
      </w:r>
      <w:r w:rsidR="00717E90" w:rsidRPr="001F52A8">
        <w:rPr>
          <w:rFonts w:asciiTheme="minorHAnsi" w:hAnsiTheme="minorHAnsi" w:cstheme="minorHAnsi"/>
          <w:color w:val="auto"/>
          <w:sz w:val="22"/>
          <w:szCs w:val="22"/>
        </w:rPr>
        <w:t>the rules that would apply at Shiloh in theory or in practice</w:t>
      </w:r>
      <w:r w:rsidR="004502A2" w:rsidRPr="001F52A8">
        <w:rPr>
          <w:rFonts w:asciiTheme="minorHAnsi" w:hAnsiTheme="minorHAnsi" w:cstheme="minorHAnsi"/>
          <w:color w:val="auto"/>
          <w:sz w:val="22"/>
          <w:szCs w:val="22"/>
        </w:rPr>
        <w:t>.</w:t>
      </w:r>
    </w:p>
    <w:p w14:paraId="54232DD2" w14:textId="77777777" w:rsidR="00B804FF" w:rsidRDefault="00360A5D" w:rsidP="00B804FF">
      <w:pPr>
        <w:pStyle w:val="Default"/>
        <w:ind w:firstLine="720"/>
        <w:rPr>
          <w:rFonts w:asciiTheme="minorHAnsi" w:hAnsiTheme="minorHAnsi" w:cstheme="minorHAnsi"/>
          <w:color w:val="auto"/>
          <w:sz w:val="22"/>
          <w:szCs w:val="22"/>
        </w:rPr>
      </w:pPr>
      <w:r>
        <w:rPr>
          <w:rFonts w:asciiTheme="minorHAnsi" w:hAnsiTheme="minorHAnsi" w:cstheme="minorHAnsi"/>
          <w:color w:val="auto"/>
          <w:sz w:val="22"/>
          <w:szCs w:val="22"/>
        </w:rPr>
        <w:t xml:space="preserve">Many </w:t>
      </w:r>
      <w:r w:rsidR="00485D71">
        <w:rPr>
          <w:rFonts w:asciiTheme="minorHAnsi" w:hAnsiTheme="minorHAnsi" w:cstheme="minorHAnsi"/>
          <w:color w:val="auto"/>
          <w:sz w:val="22"/>
          <w:szCs w:val="22"/>
        </w:rPr>
        <w:t xml:space="preserve">modern and traditional </w:t>
      </w:r>
      <w:r>
        <w:rPr>
          <w:rFonts w:asciiTheme="minorHAnsi" w:hAnsiTheme="minorHAnsi" w:cstheme="minorHAnsi"/>
          <w:color w:val="auto"/>
          <w:sz w:val="22"/>
          <w:szCs w:val="22"/>
        </w:rPr>
        <w:t xml:space="preserve">cultures </w:t>
      </w:r>
      <w:r w:rsidR="000A0F8A">
        <w:rPr>
          <w:rFonts w:asciiTheme="minorHAnsi" w:hAnsiTheme="minorHAnsi" w:cstheme="minorHAnsi"/>
          <w:color w:val="auto"/>
          <w:sz w:val="22"/>
          <w:szCs w:val="22"/>
        </w:rPr>
        <w:t>assume the practice</w:t>
      </w:r>
      <w:r>
        <w:rPr>
          <w:rFonts w:asciiTheme="minorHAnsi" w:hAnsiTheme="minorHAnsi" w:cstheme="minorHAnsi"/>
          <w:color w:val="auto"/>
          <w:sz w:val="22"/>
          <w:szCs w:val="22"/>
        </w:rPr>
        <w:t xml:space="preserve"> </w:t>
      </w:r>
      <w:r w:rsidR="009F39AE" w:rsidRPr="001F52A8">
        <w:rPr>
          <w:rFonts w:asciiTheme="minorHAnsi" w:hAnsiTheme="minorHAnsi" w:cstheme="minorHAnsi"/>
          <w:color w:val="auto"/>
          <w:sz w:val="22"/>
          <w:szCs w:val="22"/>
        </w:rPr>
        <w:t xml:space="preserve">of </w:t>
      </w:r>
      <w:r w:rsidR="00327A23">
        <w:rPr>
          <w:rFonts w:asciiTheme="minorHAnsi" w:hAnsiTheme="minorHAnsi" w:cstheme="minorHAnsi"/>
          <w:color w:val="auto"/>
          <w:sz w:val="22"/>
          <w:szCs w:val="22"/>
        </w:rPr>
        <w:t>hav</w:t>
      </w:r>
      <w:r w:rsidR="009F39AE" w:rsidRPr="001F52A8">
        <w:rPr>
          <w:rFonts w:asciiTheme="minorHAnsi" w:hAnsiTheme="minorHAnsi" w:cstheme="minorHAnsi"/>
          <w:color w:val="auto"/>
          <w:sz w:val="22"/>
          <w:szCs w:val="22"/>
        </w:rPr>
        <w:t xml:space="preserve">ing people whose full-time occupation is caring for the community’s religious life. </w:t>
      </w:r>
      <w:r w:rsidR="0040488E" w:rsidRPr="001F52A8">
        <w:rPr>
          <w:rFonts w:asciiTheme="minorHAnsi" w:hAnsiTheme="minorHAnsi" w:cstheme="minorHAnsi"/>
          <w:color w:val="auto"/>
          <w:sz w:val="22"/>
          <w:szCs w:val="22"/>
        </w:rPr>
        <w:t>I</w:t>
      </w:r>
      <w:r w:rsidR="009F39AE" w:rsidRPr="001F52A8">
        <w:rPr>
          <w:rFonts w:asciiTheme="minorHAnsi" w:hAnsiTheme="minorHAnsi" w:cstheme="minorHAnsi"/>
          <w:color w:val="auto"/>
          <w:sz w:val="22"/>
          <w:szCs w:val="22"/>
        </w:rPr>
        <w:t xml:space="preserve">t </w:t>
      </w:r>
      <w:r w:rsidR="009825EE">
        <w:rPr>
          <w:rFonts w:asciiTheme="minorHAnsi" w:hAnsiTheme="minorHAnsi" w:cstheme="minorHAnsi"/>
          <w:color w:val="auto"/>
          <w:sz w:val="22"/>
          <w:szCs w:val="22"/>
        </w:rPr>
        <w:t>wa</w:t>
      </w:r>
      <w:r w:rsidR="009F39AE" w:rsidRPr="001F52A8">
        <w:rPr>
          <w:rFonts w:asciiTheme="minorHAnsi" w:hAnsiTheme="minorHAnsi" w:cstheme="minorHAnsi"/>
          <w:color w:val="auto"/>
          <w:sz w:val="22"/>
          <w:szCs w:val="22"/>
        </w:rPr>
        <w:t>sn’t an aspect of Israel’s ancestors</w:t>
      </w:r>
      <w:r w:rsidR="00327A23">
        <w:rPr>
          <w:rFonts w:asciiTheme="minorHAnsi" w:hAnsiTheme="minorHAnsi" w:cstheme="minorHAnsi"/>
          <w:color w:val="auto"/>
          <w:sz w:val="22"/>
          <w:szCs w:val="22"/>
        </w:rPr>
        <w:t>’ life</w:t>
      </w:r>
      <w:r w:rsidR="009F39AE" w:rsidRPr="001F52A8">
        <w:rPr>
          <w:rFonts w:asciiTheme="minorHAnsi" w:hAnsiTheme="minorHAnsi" w:cstheme="minorHAnsi"/>
          <w:color w:val="auto"/>
          <w:sz w:val="22"/>
          <w:szCs w:val="22"/>
        </w:rPr>
        <w:t xml:space="preserve"> as Genesis describes it</w:t>
      </w:r>
      <w:r w:rsidR="00C273A3">
        <w:rPr>
          <w:rFonts w:asciiTheme="minorHAnsi" w:hAnsiTheme="minorHAnsi" w:cstheme="minorHAnsi"/>
          <w:color w:val="auto"/>
          <w:sz w:val="22"/>
          <w:szCs w:val="22"/>
        </w:rPr>
        <w:t>. F</w:t>
      </w:r>
      <w:r w:rsidR="0001717F" w:rsidRPr="001F52A8">
        <w:rPr>
          <w:rFonts w:asciiTheme="minorHAnsi" w:hAnsiTheme="minorHAnsi" w:cstheme="minorHAnsi"/>
          <w:color w:val="auto"/>
          <w:sz w:val="22"/>
          <w:szCs w:val="22"/>
        </w:rPr>
        <w:t xml:space="preserve">or </w:t>
      </w:r>
      <w:r w:rsidR="00C273A3">
        <w:rPr>
          <w:rFonts w:asciiTheme="minorHAnsi" w:hAnsiTheme="minorHAnsi" w:cstheme="minorHAnsi"/>
          <w:color w:val="auto"/>
          <w:sz w:val="22"/>
          <w:szCs w:val="22"/>
        </w:rPr>
        <w:t>the</w:t>
      </w:r>
      <w:r w:rsidR="0081017C">
        <w:rPr>
          <w:rFonts w:asciiTheme="minorHAnsi" w:hAnsiTheme="minorHAnsi" w:cstheme="minorHAnsi"/>
          <w:color w:val="auto"/>
          <w:sz w:val="22"/>
          <w:szCs w:val="22"/>
        </w:rPr>
        <w:t>m</w:t>
      </w:r>
      <w:r w:rsidR="00C273A3">
        <w:rPr>
          <w:rFonts w:asciiTheme="minorHAnsi" w:hAnsiTheme="minorHAnsi" w:cstheme="minorHAnsi"/>
          <w:color w:val="auto"/>
          <w:sz w:val="22"/>
          <w:szCs w:val="22"/>
        </w:rPr>
        <w:t>,</w:t>
      </w:r>
      <w:r w:rsidR="00F90E79" w:rsidRPr="001F52A8">
        <w:rPr>
          <w:rFonts w:asciiTheme="minorHAnsi" w:hAnsiTheme="minorHAnsi" w:cstheme="minorHAnsi"/>
          <w:color w:val="auto"/>
          <w:sz w:val="22"/>
          <w:szCs w:val="22"/>
        </w:rPr>
        <w:t xml:space="preserve"> the </w:t>
      </w:r>
      <w:r w:rsidR="00DF265D">
        <w:rPr>
          <w:rFonts w:asciiTheme="minorHAnsi" w:hAnsiTheme="minorHAnsi" w:cstheme="minorHAnsi"/>
          <w:color w:val="auto"/>
          <w:sz w:val="22"/>
          <w:szCs w:val="22"/>
        </w:rPr>
        <w:t xml:space="preserve">family’s </w:t>
      </w:r>
      <w:r w:rsidR="00F90E79" w:rsidRPr="001F52A8">
        <w:rPr>
          <w:rFonts w:asciiTheme="minorHAnsi" w:hAnsiTheme="minorHAnsi" w:cstheme="minorHAnsi"/>
          <w:color w:val="auto"/>
          <w:sz w:val="22"/>
          <w:szCs w:val="22"/>
        </w:rPr>
        <w:t>father figure functions as its priest</w:t>
      </w:r>
      <w:r w:rsidR="00C273A3">
        <w:rPr>
          <w:rFonts w:asciiTheme="minorHAnsi" w:hAnsiTheme="minorHAnsi" w:cstheme="minorHAnsi"/>
          <w:color w:val="auto"/>
          <w:sz w:val="22"/>
          <w:szCs w:val="22"/>
        </w:rPr>
        <w:t xml:space="preserve">, </w:t>
      </w:r>
      <w:r w:rsidR="003203DE">
        <w:rPr>
          <w:rFonts w:asciiTheme="minorHAnsi" w:hAnsiTheme="minorHAnsi" w:cstheme="minorHAnsi"/>
          <w:color w:val="auto"/>
          <w:sz w:val="22"/>
          <w:szCs w:val="22"/>
        </w:rPr>
        <w:t>though</w:t>
      </w:r>
      <w:r w:rsidR="00574625" w:rsidRPr="001F52A8">
        <w:rPr>
          <w:rFonts w:asciiTheme="minorHAnsi" w:hAnsiTheme="minorHAnsi" w:cstheme="minorHAnsi"/>
          <w:color w:val="auto"/>
          <w:sz w:val="22"/>
          <w:szCs w:val="22"/>
        </w:rPr>
        <w:t xml:space="preserve"> o</w:t>
      </w:r>
      <w:r w:rsidR="00F13874" w:rsidRPr="001F52A8">
        <w:rPr>
          <w:rFonts w:asciiTheme="minorHAnsi" w:hAnsiTheme="minorHAnsi" w:cstheme="minorHAnsi"/>
          <w:color w:val="auto"/>
          <w:sz w:val="22"/>
          <w:szCs w:val="22"/>
        </w:rPr>
        <w:t xml:space="preserve">rdinary individuals such as Abraham’s servant or </w:t>
      </w:r>
      <w:r w:rsidR="00FF425A" w:rsidRPr="001F52A8">
        <w:rPr>
          <w:rFonts w:asciiTheme="minorHAnsi" w:hAnsiTheme="minorHAnsi" w:cstheme="minorHAnsi"/>
          <w:color w:val="auto"/>
          <w:sz w:val="22"/>
          <w:szCs w:val="22"/>
        </w:rPr>
        <w:t xml:space="preserve">Rebekah can </w:t>
      </w:r>
      <w:r w:rsidR="003D476A">
        <w:rPr>
          <w:rFonts w:asciiTheme="minorHAnsi" w:hAnsiTheme="minorHAnsi" w:cstheme="minorHAnsi"/>
          <w:color w:val="auto"/>
          <w:sz w:val="22"/>
          <w:szCs w:val="22"/>
        </w:rPr>
        <w:t xml:space="preserve">also </w:t>
      </w:r>
      <w:r w:rsidR="005D30D6" w:rsidRPr="001F52A8">
        <w:rPr>
          <w:rFonts w:asciiTheme="minorHAnsi" w:hAnsiTheme="minorHAnsi" w:cstheme="minorHAnsi"/>
          <w:color w:val="auto"/>
          <w:sz w:val="22"/>
          <w:szCs w:val="22"/>
        </w:rPr>
        <w:t>take the initiative in approaching God about questions that ma</w:t>
      </w:r>
      <w:r w:rsidR="00F65C7F" w:rsidRPr="001F52A8">
        <w:rPr>
          <w:rFonts w:asciiTheme="minorHAnsi" w:hAnsiTheme="minorHAnsi" w:cstheme="minorHAnsi"/>
          <w:color w:val="auto"/>
          <w:sz w:val="22"/>
          <w:szCs w:val="22"/>
        </w:rPr>
        <w:t>tt</w:t>
      </w:r>
      <w:r w:rsidR="005D30D6" w:rsidRPr="001F52A8">
        <w:rPr>
          <w:rFonts w:asciiTheme="minorHAnsi" w:hAnsiTheme="minorHAnsi" w:cstheme="minorHAnsi"/>
          <w:color w:val="auto"/>
          <w:sz w:val="22"/>
          <w:szCs w:val="22"/>
        </w:rPr>
        <w:t>er to them (Gen 24:</w:t>
      </w:r>
      <w:r w:rsidR="009F2BCB" w:rsidRPr="001F52A8">
        <w:rPr>
          <w:rFonts w:asciiTheme="minorHAnsi" w:hAnsiTheme="minorHAnsi" w:cstheme="minorHAnsi"/>
          <w:color w:val="auto"/>
          <w:sz w:val="22"/>
          <w:szCs w:val="22"/>
        </w:rPr>
        <w:t>12</w:t>
      </w:r>
      <w:r w:rsidR="00582BD5" w:rsidRPr="001F52A8">
        <w:rPr>
          <w:rFonts w:asciiTheme="minorHAnsi" w:hAnsiTheme="minorHAnsi" w:cstheme="minorHAnsi"/>
          <w:color w:val="auto"/>
          <w:sz w:val="22"/>
          <w:szCs w:val="22"/>
        </w:rPr>
        <w:t>; 25:22)</w:t>
      </w:r>
      <w:r w:rsidR="00F90E79" w:rsidRPr="001F52A8">
        <w:rPr>
          <w:rFonts w:asciiTheme="minorHAnsi" w:hAnsiTheme="minorHAnsi" w:cstheme="minorHAnsi"/>
          <w:color w:val="auto"/>
          <w:sz w:val="22"/>
          <w:szCs w:val="22"/>
        </w:rPr>
        <w:t xml:space="preserve">. </w:t>
      </w:r>
      <w:r w:rsidR="00F65C7F" w:rsidRPr="001F52A8">
        <w:rPr>
          <w:rFonts w:asciiTheme="minorHAnsi" w:hAnsiTheme="minorHAnsi" w:cstheme="minorHAnsi"/>
          <w:color w:val="auto"/>
          <w:sz w:val="22"/>
          <w:szCs w:val="22"/>
        </w:rPr>
        <w:t>One could say</w:t>
      </w:r>
      <w:r w:rsidR="009C3CBF" w:rsidRPr="001F52A8">
        <w:rPr>
          <w:rFonts w:asciiTheme="minorHAnsi" w:hAnsiTheme="minorHAnsi" w:cstheme="minorHAnsi"/>
          <w:color w:val="auto"/>
          <w:sz w:val="22"/>
          <w:szCs w:val="22"/>
        </w:rPr>
        <w:t xml:space="preserve"> </w:t>
      </w:r>
      <w:r w:rsidR="00F65C7F" w:rsidRPr="001F52A8">
        <w:rPr>
          <w:rFonts w:asciiTheme="minorHAnsi" w:hAnsiTheme="minorHAnsi" w:cstheme="minorHAnsi"/>
          <w:color w:val="auto"/>
          <w:sz w:val="22"/>
          <w:szCs w:val="22"/>
        </w:rPr>
        <w:t xml:space="preserve">that </w:t>
      </w:r>
      <w:r w:rsidR="009C3CBF" w:rsidRPr="001F52A8">
        <w:rPr>
          <w:rFonts w:asciiTheme="minorHAnsi" w:hAnsiTheme="minorHAnsi" w:cstheme="minorHAnsi"/>
          <w:color w:val="auto"/>
          <w:sz w:val="22"/>
          <w:szCs w:val="22"/>
        </w:rPr>
        <w:t>t</w:t>
      </w:r>
      <w:r w:rsidR="00F90E79" w:rsidRPr="001F52A8">
        <w:rPr>
          <w:rFonts w:asciiTheme="minorHAnsi" w:hAnsiTheme="minorHAnsi" w:cstheme="minorHAnsi"/>
          <w:color w:val="auto"/>
          <w:sz w:val="22"/>
          <w:szCs w:val="22"/>
        </w:rPr>
        <w:t>he entire people is a priestly kingdom, a holy nation (Exod 19:6). But the chapter mak</w:t>
      </w:r>
      <w:r w:rsidR="009C3CBF" w:rsidRPr="001F52A8">
        <w:rPr>
          <w:rFonts w:asciiTheme="minorHAnsi" w:hAnsiTheme="minorHAnsi" w:cstheme="minorHAnsi"/>
          <w:color w:val="auto"/>
          <w:sz w:val="22"/>
          <w:szCs w:val="22"/>
        </w:rPr>
        <w:t>ing</w:t>
      </w:r>
      <w:r w:rsidR="00F90E79" w:rsidRPr="001F52A8">
        <w:rPr>
          <w:rFonts w:asciiTheme="minorHAnsi" w:hAnsiTheme="minorHAnsi" w:cstheme="minorHAnsi"/>
          <w:color w:val="auto"/>
          <w:sz w:val="22"/>
          <w:szCs w:val="22"/>
        </w:rPr>
        <w:t xml:space="preserve"> that affirmation also presupposes the presence of priests among the people (Exod 19:22, 24) and the Torah lay</w:t>
      </w:r>
      <w:r w:rsidR="009C3CBF" w:rsidRPr="001F52A8">
        <w:rPr>
          <w:rFonts w:asciiTheme="minorHAnsi" w:hAnsiTheme="minorHAnsi" w:cstheme="minorHAnsi"/>
          <w:color w:val="auto"/>
          <w:sz w:val="22"/>
          <w:szCs w:val="22"/>
        </w:rPr>
        <w:t>s</w:t>
      </w:r>
      <w:r w:rsidR="00F90E79" w:rsidRPr="001F52A8">
        <w:rPr>
          <w:rFonts w:asciiTheme="minorHAnsi" w:hAnsiTheme="minorHAnsi" w:cstheme="minorHAnsi"/>
          <w:color w:val="auto"/>
          <w:sz w:val="22"/>
          <w:szCs w:val="22"/>
        </w:rPr>
        <w:t xml:space="preserve"> down copious rules for their work.</w:t>
      </w:r>
      <w:r w:rsidR="005C685A" w:rsidRPr="001F52A8">
        <w:rPr>
          <w:rFonts w:asciiTheme="minorHAnsi" w:hAnsiTheme="minorHAnsi" w:cstheme="minorHAnsi"/>
          <w:color w:val="auto"/>
          <w:sz w:val="22"/>
          <w:szCs w:val="22"/>
        </w:rPr>
        <w:t xml:space="preserve"> Perhaps </w:t>
      </w:r>
      <w:r w:rsidR="00A23C66" w:rsidRPr="001F52A8">
        <w:rPr>
          <w:rFonts w:asciiTheme="minorHAnsi" w:hAnsiTheme="minorHAnsi" w:cstheme="minorHAnsi"/>
          <w:color w:val="auto"/>
          <w:sz w:val="22"/>
          <w:szCs w:val="22"/>
        </w:rPr>
        <w:t>p</w:t>
      </w:r>
      <w:r w:rsidR="005C685A" w:rsidRPr="001F52A8">
        <w:rPr>
          <w:rFonts w:asciiTheme="minorHAnsi" w:hAnsiTheme="minorHAnsi" w:cstheme="minorHAnsi"/>
          <w:color w:val="auto"/>
          <w:sz w:val="22"/>
          <w:szCs w:val="22"/>
        </w:rPr>
        <w:t xml:space="preserve">riesthood, </w:t>
      </w:r>
      <w:r w:rsidR="009F39AE" w:rsidRPr="001F52A8">
        <w:rPr>
          <w:rFonts w:asciiTheme="minorHAnsi" w:hAnsiTheme="minorHAnsi" w:cstheme="minorHAnsi"/>
          <w:color w:val="auto"/>
          <w:sz w:val="22"/>
          <w:szCs w:val="22"/>
        </w:rPr>
        <w:t>like kingship</w:t>
      </w:r>
      <w:r w:rsidR="005C685A" w:rsidRPr="001F52A8">
        <w:rPr>
          <w:rFonts w:asciiTheme="minorHAnsi" w:hAnsiTheme="minorHAnsi" w:cstheme="minorHAnsi"/>
          <w:color w:val="auto"/>
          <w:sz w:val="22"/>
          <w:szCs w:val="22"/>
        </w:rPr>
        <w:t>,</w:t>
      </w:r>
      <w:r w:rsidR="009F39AE" w:rsidRPr="001F52A8">
        <w:rPr>
          <w:rFonts w:asciiTheme="minorHAnsi" w:hAnsiTheme="minorHAnsi" w:cstheme="minorHAnsi"/>
          <w:color w:val="auto"/>
          <w:sz w:val="22"/>
          <w:szCs w:val="22"/>
        </w:rPr>
        <w:t xml:space="preserve"> </w:t>
      </w:r>
      <w:r w:rsidR="00A23C66" w:rsidRPr="001F52A8">
        <w:rPr>
          <w:rFonts w:asciiTheme="minorHAnsi" w:hAnsiTheme="minorHAnsi" w:cstheme="minorHAnsi"/>
          <w:color w:val="auto"/>
          <w:sz w:val="22"/>
          <w:szCs w:val="22"/>
        </w:rPr>
        <w:t>i</w:t>
      </w:r>
      <w:r w:rsidR="009F39AE" w:rsidRPr="001F52A8">
        <w:rPr>
          <w:rFonts w:asciiTheme="minorHAnsi" w:hAnsiTheme="minorHAnsi" w:cstheme="minorHAnsi"/>
          <w:color w:val="auto"/>
          <w:sz w:val="22"/>
          <w:szCs w:val="22"/>
        </w:rPr>
        <w:t xml:space="preserve">s </w:t>
      </w:r>
      <w:r w:rsidR="00156BD4" w:rsidRPr="001F52A8">
        <w:rPr>
          <w:rFonts w:asciiTheme="minorHAnsi" w:hAnsiTheme="minorHAnsi" w:cstheme="minorHAnsi"/>
          <w:color w:val="auto"/>
          <w:sz w:val="22"/>
          <w:szCs w:val="22"/>
        </w:rPr>
        <w:t>an institution</w:t>
      </w:r>
      <w:r w:rsidR="009F39AE" w:rsidRPr="001F52A8">
        <w:rPr>
          <w:rFonts w:asciiTheme="minorHAnsi" w:hAnsiTheme="minorHAnsi" w:cstheme="minorHAnsi"/>
          <w:color w:val="auto"/>
          <w:sz w:val="22"/>
          <w:szCs w:val="22"/>
        </w:rPr>
        <w:t xml:space="preserve"> that Yahweh </w:t>
      </w:r>
      <w:r w:rsidR="0040488E" w:rsidRPr="001F52A8">
        <w:rPr>
          <w:rFonts w:asciiTheme="minorHAnsi" w:hAnsiTheme="minorHAnsi" w:cstheme="minorHAnsi"/>
          <w:color w:val="auto"/>
          <w:sz w:val="22"/>
          <w:szCs w:val="22"/>
        </w:rPr>
        <w:t xml:space="preserve">eventually </w:t>
      </w:r>
      <w:r w:rsidR="009F39AE" w:rsidRPr="001F52A8">
        <w:rPr>
          <w:rFonts w:asciiTheme="minorHAnsi" w:hAnsiTheme="minorHAnsi" w:cstheme="minorHAnsi"/>
          <w:color w:val="auto"/>
          <w:sz w:val="22"/>
          <w:szCs w:val="22"/>
        </w:rPr>
        <w:t>ad</w:t>
      </w:r>
      <w:r w:rsidR="00A23C66" w:rsidRPr="001F52A8">
        <w:rPr>
          <w:rFonts w:asciiTheme="minorHAnsi" w:hAnsiTheme="minorHAnsi" w:cstheme="minorHAnsi"/>
          <w:color w:val="auto"/>
          <w:sz w:val="22"/>
          <w:szCs w:val="22"/>
        </w:rPr>
        <w:t>o</w:t>
      </w:r>
      <w:r w:rsidR="009F39AE" w:rsidRPr="001F52A8">
        <w:rPr>
          <w:rFonts w:asciiTheme="minorHAnsi" w:hAnsiTheme="minorHAnsi" w:cstheme="minorHAnsi"/>
          <w:color w:val="auto"/>
          <w:sz w:val="22"/>
          <w:szCs w:val="22"/>
        </w:rPr>
        <w:t>pts because it corresponds to a human instinct</w:t>
      </w:r>
      <w:r w:rsidR="00990E45">
        <w:rPr>
          <w:rFonts w:asciiTheme="minorHAnsi" w:hAnsiTheme="minorHAnsi" w:cstheme="minorHAnsi"/>
          <w:color w:val="auto"/>
          <w:sz w:val="22"/>
          <w:szCs w:val="22"/>
        </w:rPr>
        <w:t>,</w:t>
      </w:r>
      <w:r w:rsidR="003F4E21">
        <w:rPr>
          <w:rFonts w:asciiTheme="minorHAnsi" w:hAnsiTheme="minorHAnsi" w:cstheme="minorHAnsi"/>
          <w:color w:val="auto"/>
          <w:sz w:val="22"/>
          <w:szCs w:val="22"/>
        </w:rPr>
        <w:t xml:space="preserve"> and/or it is</w:t>
      </w:r>
      <w:r w:rsidR="00040B56" w:rsidRPr="001F52A8">
        <w:rPr>
          <w:rFonts w:asciiTheme="minorHAnsi" w:hAnsiTheme="minorHAnsi" w:cstheme="minorHAnsi"/>
          <w:color w:val="auto"/>
          <w:sz w:val="22"/>
          <w:szCs w:val="22"/>
        </w:rPr>
        <w:t xml:space="preserve"> </w:t>
      </w:r>
      <w:r w:rsidR="00772726">
        <w:rPr>
          <w:rFonts w:asciiTheme="minorHAnsi" w:hAnsiTheme="minorHAnsi" w:cstheme="minorHAnsi"/>
          <w:color w:val="auto"/>
          <w:sz w:val="22"/>
          <w:szCs w:val="22"/>
        </w:rPr>
        <w:t>a gift of</w:t>
      </w:r>
      <w:r w:rsidR="00040B56" w:rsidRPr="001F52A8">
        <w:rPr>
          <w:rFonts w:asciiTheme="minorHAnsi" w:hAnsiTheme="minorHAnsi" w:cstheme="minorHAnsi"/>
          <w:color w:val="auto"/>
          <w:sz w:val="22"/>
          <w:szCs w:val="22"/>
        </w:rPr>
        <w:t xml:space="preserve"> God to humanity as a whole</w:t>
      </w:r>
      <w:r w:rsidR="0051085B" w:rsidRPr="001F52A8">
        <w:rPr>
          <w:rFonts w:asciiTheme="minorHAnsi" w:hAnsiTheme="minorHAnsi" w:cstheme="minorHAnsi"/>
          <w:color w:val="auto"/>
          <w:sz w:val="22"/>
          <w:szCs w:val="22"/>
        </w:rPr>
        <w:t xml:space="preserve"> that </w:t>
      </w:r>
      <w:r w:rsidR="00772726">
        <w:rPr>
          <w:rFonts w:asciiTheme="minorHAnsi" w:hAnsiTheme="minorHAnsi" w:cstheme="minorHAnsi"/>
          <w:color w:val="auto"/>
          <w:sz w:val="22"/>
          <w:szCs w:val="22"/>
        </w:rPr>
        <w:t xml:space="preserve">he </w:t>
      </w:r>
      <w:r w:rsidR="0051085B" w:rsidRPr="001F52A8">
        <w:rPr>
          <w:rFonts w:asciiTheme="minorHAnsi" w:hAnsiTheme="minorHAnsi" w:cstheme="minorHAnsi"/>
          <w:color w:val="auto"/>
          <w:sz w:val="22"/>
          <w:szCs w:val="22"/>
        </w:rPr>
        <w:t>then also</w:t>
      </w:r>
      <w:r w:rsidR="00170971" w:rsidRPr="001F52A8">
        <w:rPr>
          <w:rFonts w:asciiTheme="minorHAnsi" w:hAnsiTheme="minorHAnsi" w:cstheme="minorHAnsi"/>
          <w:color w:val="auto"/>
          <w:sz w:val="22"/>
          <w:szCs w:val="22"/>
        </w:rPr>
        <w:t xml:space="preserve"> gives to Israel. </w:t>
      </w:r>
      <w:r w:rsidR="00772726">
        <w:rPr>
          <w:rFonts w:asciiTheme="minorHAnsi" w:hAnsiTheme="minorHAnsi" w:cstheme="minorHAnsi"/>
          <w:color w:val="auto"/>
          <w:sz w:val="22"/>
          <w:szCs w:val="22"/>
        </w:rPr>
        <w:t>But l</w:t>
      </w:r>
      <w:r w:rsidR="009F39AE" w:rsidRPr="001F52A8">
        <w:rPr>
          <w:rFonts w:asciiTheme="minorHAnsi" w:hAnsiTheme="minorHAnsi" w:cstheme="minorHAnsi"/>
          <w:color w:val="auto"/>
          <w:sz w:val="22"/>
          <w:szCs w:val="22"/>
        </w:rPr>
        <w:t>ike kingship (and for tha</w:t>
      </w:r>
      <w:r w:rsidR="001573BF">
        <w:rPr>
          <w:rFonts w:asciiTheme="minorHAnsi" w:hAnsiTheme="minorHAnsi" w:cstheme="minorHAnsi"/>
          <w:color w:val="auto"/>
          <w:sz w:val="22"/>
          <w:szCs w:val="22"/>
        </w:rPr>
        <w:t xml:space="preserve">t matter </w:t>
      </w:r>
      <w:r w:rsidR="009F39AE" w:rsidRPr="001F52A8">
        <w:rPr>
          <w:rFonts w:asciiTheme="minorHAnsi" w:hAnsiTheme="minorHAnsi" w:cstheme="minorHAnsi"/>
          <w:color w:val="auto"/>
          <w:sz w:val="22"/>
          <w:szCs w:val="22"/>
        </w:rPr>
        <w:t xml:space="preserve">prophecy), </w:t>
      </w:r>
      <w:r w:rsidR="00A23C66" w:rsidRPr="001F52A8">
        <w:rPr>
          <w:rFonts w:asciiTheme="minorHAnsi" w:hAnsiTheme="minorHAnsi" w:cstheme="minorHAnsi"/>
          <w:color w:val="auto"/>
          <w:sz w:val="22"/>
          <w:szCs w:val="22"/>
        </w:rPr>
        <w:t>priesthood</w:t>
      </w:r>
      <w:r w:rsidR="009F39AE" w:rsidRPr="001F52A8">
        <w:rPr>
          <w:rFonts w:asciiTheme="minorHAnsi" w:hAnsiTheme="minorHAnsi" w:cstheme="minorHAnsi"/>
          <w:color w:val="auto"/>
          <w:sz w:val="22"/>
          <w:szCs w:val="22"/>
        </w:rPr>
        <w:t xml:space="preserve"> works out with some ambiguity.</w:t>
      </w:r>
    </w:p>
    <w:p w14:paraId="197F6305" w14:textId="77777777" w:rsidR="00B248F9" w:rsidRDefault="00B804FF" w:rsidP="006C6C28">
      <w:pPr>
        <w:pStyle w:val="Default"/>
        <w:ind w:firstLine="720"/>
        <w:rPr>
          <w:rFonts w:ascii="Calibri" w:hAnsi="Calibri" w:cs="Calibri"/>
          <w:color w:val="auto"/>
          <w:sz w:val="22"/>
          <w:szCs w:val="22"/>
        </w:rPr>
      </w:pPr>
      <w:r w:rsidRPr="006C6C28">
        <w:rPr>
          <w:rFonts w:ascii="Calibri" w:hAnsi="Calibri" w:cs="Calibri"/>
          <w:color w:val="auto"/>
          <w:sz w:val="22"/>
          <w:szCs w:val="22"/>
        </w:rPr>
        <w:t>The p</w:t>
      </w:r>
      <w:r w:rsidR="00927027" w:rsidRPr="006C6C28">
        <w:rPr>
          <w:rFonts w:ascii="Calibri" w:hAnsi="Calibri" w:cs="Calibri"/>
          <w:color w:val="auto"/>
          <w:sz w:val="22"/>
          <w:szCs w:val="22"/>
        </w:rPr>
        <w:t xml:space="preserve">riests have two roles. </w:t>
      </w:r>
      <w:r w:rsidR="00B95E1E" w:rsidRPr="006C6C28">
        <w:rPr>
          <w:rFonts w:ascii="Calibri" w:hAnsi="Calibri" w:cs="Calibri"/>
          <w:color w:val="auto"/>
          <w:sz w:val="22"/>
          <w:szCs w:val="22"/>
        </w:rPr>
        <w:t>Eli’s sons offer sacrifices and facilitat</w:t>
      </w:r>
      <w:r w:rsidR="00427355" w:rsidRPr="006C6C28">
        <w:rPr>
          <w:rFonts w:ascii="Calibri" w:hAnsi="Calibri" w:cs="Calibri"/>
          <w:color w:val="auto"/>
          <w:sz w:val="22"/>
          <w:szCs w:val="22"/>
        </w:rPr>
        <w:t>e</w:t>
      </w:r>
      <w:r w:rsidR="00B95E1E" w:rsidRPr="006C6C28">
        <w:rPr>
          <w:rFonts w:ascii="Calibri" w:hAnsi="Calibri" w:cs="Calibri"/>
          <w:color w:val="auto"/>
          <w:sz w:val="22"/>
          <w:szCs w:val="22"/>
        </w:rPr>
        <w:t xml:space="preserve"> people making their own sacrifices (2:28). It </w:t>
      </w:r>
      <w:r w:rsidR="00BE297B" w:rsidRPr="006C6C28">
        <w:rPr>
          <w:rFonts w:ascii="Calibri" w:hAnsi="Calibri" w:cs="Calibri"/>
          <w:color w:val="auto"/>
          <w:sz w:val="22"/>
          <w:szCs w:val="22"/>
        </w:rPr>
        <w:t>would be</w:t>
      </w:r>
      <w:r w:rsidR="00B95E1E" w:rsidRPr="006C6C28">
        <w:rPr>
          <w:rFonts w:ascii="Calibri" w:hAnsi="Calibri" w:cs="Calibri"/>
          <w:color w:val="auto"/>
          <w:sz w:val="22"/>
          <w:szCs w:val="22"/>
        </w:rPr>
        <w:t xml:space="preserve"> </w:t>
      </w:r>
      <w:r w:rsidR="00BE297B" w:rsidRPr="006C6C28">
        <w:rPr>
          <w:rFonts w:ascii="Calibri" w:hAnsi="Calibri" w:cs="Calibri"/>
          <w:color w:val="auto"/>
          <w:sz w:val="22"/>
          <w:szCs w:val="22"/>
        </w:rPr>
        <w:t xml:space="preserve">physically </w:t>
      </w:r>
      <w:r w:rsidR="00B95E1E" w:rsidRPr="006C6C28">
        <w:rPr>
          <w:rFonts w:ascii="Calibri" w:hAnsi="Calibri" w:cs="Calibri"/>
          <w:color w:val="auto"/>
          <w:sz w:val="22"/>
          <w:szCs w:val="22"/>
        </w:rPr>
        <w:t>toug</w:t>
      </w:r>
      <w:r w:rsidR="00BE297B" w:rsidRPr="006C6C28">
        <w:rPr>
          <w:rFonts w:ascii="Calibri" w:hAnsi="Calibri" w:cs="Calibri"/>
          <w:color w:val="auto"/>
          <w:sz w:val="22"/>
          <w:szCs w:val="22"/>
        </w:rPr>
        <w:t>h</w:t>
      </w:r>
      <w:r w:rsidR="00B95E1E" w:rsidRPr="006C6C28">
        <w:rPr>
          <w:rFonts w:ascii="Calibri" w:hAnsi="Calibri" w:cs="Calibri"/>
          <w:color w:val="auto"/>
          <w:sz w:val="22"/>
          <w:szCs w:val="22"/>
        </w:rPr>
        <w:t xml:space="preserve"> but straightforward work that might be</w:t>
      </w:r>
      <w:r w:rsidR="00BE297B" w:rsidRPr="006C6C28">
        <w:rPr>
          <w:rFonts w:ascii="Calibri" w:hAnsi="Calibri" w:cs="Calibri"/>
          <w:color w:val="auto"/>
          <w:sz w:val="22"/>
          <w:szCs w:val="22"/>
        </w:rPr>
        <w:t xml:space="preserve"> </w:t>
      </w:r>
      <w:r w:rsidR="00B95E1E" w:rsidRPr="006C6C28">
        <w:rPr>
          <w:rFonts w:ascii="Calibri" w:hAnsi="Calibri" w:cs="Calibri"/>
          <w:color w:val="auto"/>
          <w:sz w:val="22"/>
          <w:szCs w:val="22"/>
        </w:rPr>
        <w:t xml:space="preserve">appropriate for younger men, which could link with the rule that men should retire from regular priestly service when they were fifty (e.g., Num 4). </w:t>
      </w:r>
      <w:r w:rsidR="0075317E" w:rsidRPr="006C6C28">
        <w:rPr>
          <w:rFonts w:ascii="Calibri" w:hAnsi="Calibri" w:cs="Calibri"/>
          <w:color w:val="auto"/>
          <w:sz w:val="22"/>
          <w:szCs w:val="22"/>
        </w:rPr>
        <w:t>The problem is that while Eli was evidently capable of failing in his work, his sons were comprehensively wayward in theirs.</w:t>
      </w:r>
      <w:r w:rsidR="006C6C28" w:rsidRPr="006C6C28">
        <w:rPr>
          <w:rFonts w:ascii="Calibri" w:hAnsi="Calibri" w:cs="Calibri"/>
          <w:color w:val="auto"/>
          <w:sz w:val="22"/>
          <w:szCs w:val="22"/>
        </w:rPr>
        <w:t xml:space="preserve"> </w:t>
      </w:r>
    </w:p>
    <w:p w14:paraId="4BD7EA8F" w14:textId="3BB8C50F" w:rsidR="00D20762" w:rsidRPr="006C6C28" w:rsidRDefault="00927027" w:rsidP="006C6C28">
      <w:pPr>
        <w:pStyle w:val="Default"/>
        <w:ind w:firstLine="720"/>
        <w:rPr>
          <w:rFonts w:ascii="Calibri" w:hAnsi="Calibri" w:cs="Calibri"/>
          <w:sz w:val="22"/>
          <w:szCs w:val="22"/>
        </w:rPr>
      </w:pPr>
      <w:r w:rsidRPr="006C6C28">
        <w:rPr>
          <w:rFonts w:ascii="Calibri" w:hAnsi="Calibri" w:cs="Calibri"/>
          <w:sz w:val="22"/>
          <w:szCs w:val="22"/>
        </w:rPr>
        <w:t>Eli</w:t>
      </w:r>
      <w:r w:rsidR="00517E2A" w:rsidRPr="006C6C28">
        <w:rPr>
          <w:rFonts w:ascii="Calibri" w:hAnsi="Calibri" w:cs="Calibri"/>
          <w:sz w:val="22"/>
          <w:szCs w:val="22"/>
        </w:rPr>
        <w:t xml:space="preserve"> himself is engaged in keeping </w:t>
      </w:r>
      <w:r w:rsidR="008868EF" w:rsidRPr="006C6C28">
        <w:rPr>
          <w:rFonts w:ascii="Calibri" w:hAnsi="Calibri" w:cs="Calibri"/>
          <w:sz w:val="22"/>
          <w:szCs w:val="22"/>
        </w:rPr>
        <w:t xml:space="preserve">watch at the sanctuary, sitting on a throne </w:t>
      </w:r>
      <w:r w:rsidR="00DC43FB" w:rsidRPr="006C6C28">
        <w:rPr>
          <w:rFonts w:ascii="Calibri" w:hAnsi="Calibri" w:cs="Calibri"/>
          <w:sz w:val="22"/>
          <w:szCs w:val="22"/>
        </w:rPr>
        <w:t>outside</w:t>
      </w:r>
      <w:r w:rsidR="00FB2FCC" w:rsidRPr="006C6C28">
        <w:rPr>
          <w:rFonts w:ascii="Calibri" w:hAnsi="Calibri" w:cs="Calibri"/>
          <w:sz w:val="22"/>
          <w:szCs w:val="22"/>
        </w:rPr>
        <w:t xml:space="preserve"> Yah</w:t>
      </w:r>
      <w:r w:rsidR="00656A93" w:rsidRPr="006C6C28">
        <w:rPr>
          <w:rFonts w:ascii="Calibri" w:hAnsi="Calibri" w:cs="Calibri"/>
          <w:sz w:val="22"/>
          <w:szCs w:val="22"/>
        </w:rPr>
        <w:t>w</w:t>
      </w:r>
      <w:r w:rsidR="00FB2FCC" w:rsidRPr="006C6C28">
        <w:rPr>
          <w:rFonts w:ascii="Calibri" w:hAnsi="Calibri" w:cs="Calibri"/>
          <w:sz w:val="22"/>
          <w:szCs w:val="22"/>
        </w:rPr>
        <w:t>eh’s palace</w:t>
      </w:r>
      <w:r w:rsidR="00DC43FB" w:rsidRPr="006C6C28">
        <w:rPr>
          <w:rFonts w:ascii="Calibri" w:hAnsi="Calibri" w:cs="Calibri"/>
          <w:sz w:val="22"/>
          <w:szCs w:val="22"/>
        </w:rPr>
        <w:t xml:space="preserve"> (English translations have him sitting on a “seat,” but there are virtually no other places where </w:t>
      </w:r>
      <w:r w:rsidR="00DC43FB" w:rsidRPr="006C6C28">
        <w:rPr>
          <w:rFonts w:ascii="Calibri" w:hAnsi="Calibri" w:cs="Calibri"/>
          <w:i/>
          <w:iCs/>
          <w:sz w:val="22"/>
          <w:szCs w:val="22"/>
        </w:rPr>
        <w:t>kissē’</w:t>
      </w:r>
      <w:r w:rsidR="00DC43FB" w:rsidRPr="006C6C28">
        <w:rPr>
          <w:rFonts w:ascii="Calibri" w:hAnsi="Calibri" w:cs="Calibri"/>
          <w:sz w:val="22"/>
          <w:szCs w:val="22"/>
        </w:rPr>
        <w:t xml:space="preserve"> refers to an ordinary seat; cf. 2:8). </w:t>
      </w:r>
      <w:r w:rsidR="000E2FC0" w:rsidRPr="006C6C28">
        <w:rPr>
          <w:rFonts w:ascii="Calibri" w:hAnsi="Calibri" w:cs="Calibri"/>
          <w:sz w:val="22"/>
          <w:szCs w:val="22"/>
        </w:rPr>
        <w:t>Eli</w:t>
      </w:r>
      <w:r w:rsidR="00583AE2" w:rsidRPr="006C6C28">
        <w:rPr>
          <w:rFonts w:ascii="Calibri" w:hAnsi="Calibri" w:cs="Calibri"/>
          <w:sz w:val="22"/>
          <w:szCs w:val="22"/>
        </w:rPr>
        <w:t xml:space="preserve"> is</w:t>
      </w:r>
      <w:r w:rsidR="00C27142" w:rsidRPr="006C6C28">
        <w:rPr>
          <w:rFonts w:ascii="Calibri" w:hAnsi="Calibri" w:cs="Calibri"/>
          <w:sz w:val="22"/>
          <w:szCs w:val="22"/>
        </w:rPr>
        <w:t xml:space="preserve"> </w:t>
      </w:r>
      <w:r w:rsidR="00E46415" w:rsidRPr="006C6C28">
        <w:rPr>
          <w:rFonts w:ascii="Calibri" w:hAnsi="Calibri" w:cs="Calibri"/>
          <w:sz w:val="22"/>
          <w:szCs w:val="22"/>
        </w:rPr>
        <w:t xml:space="preserve">in effect the </w:t>
      </w:r>
      <w:r w:rsidR="00D831E2" w:rsidRPr="006C6C28">
        <w:rPr>
          <w:rFonts w:ascii="Calibri" w:hAnsi="Calibri" w:cs="Calibri"/>
          <w:sz w:val="22"/>
          <w:szCs w:val="22"/>
        </w:rPr>
        <w:t>next-to-</w:t>
      </w:r>
      <w:r w:rsidR="00E46415" w:rsidRPr="006C6C28">
        <w:rPr>
          <w:rFonts w:ascii="Calibri" w:hAnsi="Calibri" w:cs="Calibri"/>
          <w:sz w:val="22"/>
          <w:szCs w:val="22"/>
        </w:rPr>
        <w:t>last of the “judges” (cf. 4:</w:t>
      </w:r>
      <w:r w:rsidR="00E26246" w:rsidRPr="006C6C28">
        <w:rPr>
          <w:rFonts w:ascii="Calibri" w:hAnsi="Calibri" w:cs="Calibri"/>
          <w:sz w:val="22"/>
          <w:szCs w:val="22"/>
        </w:rPr>
        <w:t xml:space="preserve">18), the nearest thing to an authority figure. He is </w:t>
      </w:r>
      <w:r w:rsidR="00C27142" w:rsidRPr="006C6C28">
        <w:rPr>
          <w:rFonts w:ascii="Calibri" w:hAnsi="Calibri" w:cs="Calibri"/>
          <w:sz w:val="22"/>
          <w:szCs w:val="22"/>
        </w:rPr>
        <w:t xml:space="preserve">the first Israelite </w:t>
      </w:r>
      <w:r w:rsidR="007A1ADC" w:rsidRPr="006C6C28">
        <w:rPr>
          <w:rFonts w:ascii="Calibri" w:hAnsi="Calibri" w:cs="Calibri"/>
          <w:sz w:val="22"/>
          <w:szCs w:val="22"/>
        </w:rPr>
        <w:t xml:space="preserve">ever to sit on a </w:t>
      </w:r>
      <w:r w:rsidR="00C27142" w:rsidRPr="006C6C28">
        <w:rPr>
          <w:rFonts w:ascii="Calibri" w:hAnsi="Calibri" w:cs="Calibri"/>
          <w:sz w:val="22"/>
          <w:szCs w:val="22"/>
        </w:rPr>
        <w:t>throne</w:t>
      </w:r>
      <w:r w:rsidR="00E26246" w:rsidRPr="006C6C28">
        <w:rPr>
          <w:rFonts w:ascii="Calibri" w:hAnsi="Calibri" w:cs="Calibri"/>
          <w:sz w:val="22"/>
          <w:szCs w:val="22"/>
        </w:rPr>
        <w:t>, b</w:t>
      </w:r>
      <w:r w:rsidR="00C27142" w:rsidRPr="006C6C28">
        <w:rPr>
          <w:rFonts w:ascii="Calibri" w:hAnsi="Calibri" w:cs="Calibri"/>
          <w:sz w:val="22"/>
          <w:szCs w:val="22"/>
        </w:rPr>
        <w:t>ut he will soon fall off it (4:13, 18).</w:t>
      </w:r>
      <w:r w:rsidR="00841058" w:rsidRPr="006C6C28">
        <w:rPr>
          <w:rFonts w:ascii="Calibri" w:hAnsi="Calibri" w:cs="Calibri"/>
          <w:sz w:val="22"/>
          <w:szCs w:val="22"/>
        </w:rPr>
        <w:t xml:space="preserve"> </w:t>
      </w:r>
      <w:r w:rsidR="00DC43FB" w:rsidRPr="006C6C28">
        <w:rPr>
          <w:rFonts w:ascii="Calibri" w:hAnsi="Calibri" w:cs="Calibri"/>
          <w:sz w:val="22"/>
          <w:szCs w:val="22"/>
        </w:rPr>
        <w:t xml:space="preserve">He </w:t>
      </w:r>
      <w:r w:rsidR="00F000FA" w:rsidRPr="006C6C28">
        <w:rPr>
          <w:rFonts w:ascii="Calibri" w:hAnsi="Calibri" w:cs="Calibri"/>
          <w:sz w:val="22"/>
          <w:szCs w:val="22"/>
        </w:rPr>
        <w:t>i</w:t>
      </w:r>
      <w:r w:rsidR="00D321C2" w:rsidRPr="006C6C28">
        <w:rPr>
          <w:rFonts w:ascii="Calibri" w:hAnsi="Calibri" w:cs="Calibri"/>
          <w:sz w:val="22"/>
          <w:szCs w:val="22"/>
        </w:rPr>
        <w:t xml:space="preserve">s in a position of authority </w:t>
      </w:r>
      <w:r w:rsidR="008868EF" w:rsidRPr="006C6C28">
        <w:rPr>
          <w:rFonts w:ascii="Calibri" w:hAnsi="Calibri" w:cs="Calibri"/>
          <w:sz w:val="22"/>
          <w:szCs w:val="22"/>
        </w:rPr>
        <w:t xml:space="preserve">in the courtyard of the meeting tent </w:t>
      </w:r>
      <w:r w:rsidR="00E429AF" w:rsidRPr="006C6C28">
        <w:rPr>
          <w:rFonts w:ascii="Calibri" w:hAnsi="Calibri" w:cs="Calibri"/>
          <w:sz w:val="22"/>
          <w:szCs w:val="22"/>
        </w:rPr>
        <w:t>watching for</w:t>
      </w:r>
      <w:r w:rsidR="0005401C" w:rsidRPr="006C6C28">
        <w:rPr>
          <w:rFonts w:ascii="Calibri" w:hAnsi="Calibri" w:cs="Calibri"/>
          <w:sz w:val="22"/>
          <w:szCs w:val="22"/>
        </w:rPr>
        <w:t xml:space="preserve"> people who shouldn</w:t>
      </w:r>
      <w:r w:rsidR="005F1B3C">
        <w:rPr>
          <w:rFonts w:ascii="Calibri" w:hAnsi="Calibri" w:cs="Calibri"/>
          <w:sz w:val="22"/>
          <w:szCs w:val="22"/>
        </w:rPr>
        <w:t>’</w:t>
      </w:r>
      <w:r w:rsidR="0005401C" w:rsidRPr="006C6C28">
        <w:rPr>
          <w:rFonts w:ascii="Calibri" w:hAnsi="Calibri" w:cs="Calibri"/>
          <w:sz w:val="22"/>
          <w:szCs w:val="22"/>
        </w:rPr>
        <w:t>t come too near</w:t>
      </w:r>
      <w:r w:rsidR="00E429AF" w:rsidRPr="006C6C28">
        <w:rPr>
          <w:rFonts w:ascii="Calibri" w:hAnsi="Calibri" w:cs="Calibri"/>
          <w:sz w:val="22"/>
          <w:szCs w:val="22"/>
        </w:rPr>
        <w:t xml:space="preserve"> – for instance, because they are having too good a time at festival parties. </w:t>
      </w:r>
      <w:r w:rsidR="00285D66">
        <w:rPr>
          <w:rFonts w:ascii="Calibri" w:hAnsi="Calibri" w:cs="Calibri"/>
          <w:sz w:val="22"/>
          <w:szCs w:val="22"/>
        </w:rPr>
        <w:t>P</w:t>
      </w:r>
      <w:r w:rsidR="00E776B0" w:rsidRPr="006C6C28">
        <w:rPr>
          <w:rFonts w:ascii="Calibri" w:hAnsi="Calibri" w:cs="Calibri"/>
          <w:sz w:val="22"/>
          <w:szCs w:val="22"/>
        </w:rPr>
        <w:t>riest</w:t>
      </w:r>
      <w:r w:rsidR="00370A46" w:rsidRPr="006C6C28">
        <w:rPr>
          <w:rFonts w:ascii="Calibri" w:hAnsi="Calibri" w:cs="Calibri"/>
          <w:sz w:val="22"/>
          <w:szCs w:val="22"/>
        </w:rPr>
        <w:t>s</w:t>
      </w:r>
      <w:r w:rsidR="00E776B0" w:rsidRPr="006C6C28">
        <w:rPr>
          <w:rFonts w:ascii="Calibri" w:hAnsi="Calibri" w:cs="Calibri"/>
          <w:sz w:val="22"/>
          <w:szCs w:val="22"/>
        </w:rPr>
        <w:t xml:space="preserve"> on this duty might </w:t>
      </w:r>
      <w:r w:rsidR="00285D66">
        <w:rPr>
          <w:rFonts w:ascii="Calibri" w:hAnsi="Calibri" w:cs="Calibri"/>
          <w:sz w:val="22"/>
          <w:szCs w:val="22"/>
        </w:rPr>
        <w:t xml:space="preserve">also </w:t>
      </w:r>
      <w:r w:rsidR="000C27A5" w:rsidRPr="006C6C28">
        <w:rPr>
          <w:rFonts w:ascii="Calibri" w:hAnsi="Calibri" w:cs="Calibri"/>
          <w:sz w:val="22"/>
          <w:szCs w:val="22"/>
        </w:rPr>
        <w:t>advise people on whether they should come to the sanctuary if they might have skin disease or be otherwise unclean</w:t>
      </w:r>
      <w:r w:rsidR="00A713D3" w:rsidRPr="006C6C28">
        <w:rPr>
          <w:rFonts w:ascii="Calibri" w:hAnsi="Calibri" w:cs="Calibri"/>
          <w:sz w:val="22"/>
          <w:szCs w:val="22"/>
        </w:rPr>
        <w:t xml:space="preserve">. In other words, </w:t>
      </w:r>
      <w:r w:rsidR="008E34E0">
        <w:rPr>
          <w:rFonts w:ascii="Calibri" w:hAnsi="Calibri" w:cs="Calibri"/>
          <w:sz w:val="22"/>
          <w:szCs w:val="22"/>
        </w:rPr>
        <w:t>they</w:t>
      </w:r>
      <w:r w:rsidR="00A713D3" w:rsidRPr="006C6C28">
        <w:rPr>
          <w:rFonts w:ascii="Calibri" w:hAnsi="Calibri" w:cs="Calibri"/>
          <w:sz w:val="22"/>
          <w:szCs w:val="22"/>
        </w:rPr>
        <w:t xml:space="preserve"> needed to be able to make proper</w:t>
      </w:r>
      <w:r w:rsidR="00F11BE2" w:rsidRPr="006C6C28">
        <w:rPr>
          <w:rFonts w:ascii="Calibri" w:hAnsi="Calibri" w:cs="Calibri"/>
          <w:sz w:val="22"/>
          <w:szCs w:val="22"/>
        </w:rPr>
        <w:t xml:space="preserve"> distinctions between holy and common and between clean and unclean</w:t>
      </w:r>
      <w:r w:rsidR="00370A46" w:rsidRPr="006C6C28">
        <w:rPr>
          <w:rFonts w:ascii="Calibri" w:hAnsi="Calibri" w:cs="Calibri"/>
          <w:sz w:val="22"/>
          <w:szCs w:val="22"/>
        </w:rPr>
        <w:t>,</w:t>
      </w:r>
      <w:r w:rsidR="00A713D3" w:rsidRPr="006C6C28">
        <w:rPr>
          <w:rFonts w:ascii="Calibri" w:hAnsi="Calibri" w:cs="Calibri"/>
          <w:sz w:val="22"/>
          <w:szCs w:val="22"/>
        </w:rPr>
        <w:t xml:space="preserve"> and</w:t>
      </w:r>
      <w:r w:rsidR="00E20BE6" w:rsidRPr="006C6C28">
        <w:rPr>
          <w:rFonts w:ascii="Calibri" w:hAnsi="Calibri" w:cs="Calibri"/>
          <w:sz w:val="22"/>
          <w:szCs w:val="22"/>
        </w:rPr>
        <w:t xml:space="preserve"> to</w:t>
      </w:r>
      <w:r w:rsidR="00F11BE2" w:rsidRPr="006C6C28">
        <w:rPr>
          <w:rFonts w:ascii="Calibri" w:hAnsi="Calibri" w:cs="Calibri"/>
          <w:sz w:val="22"/>
          <w:szCs w:val="22"/>
        </w:rPr>
        <w:t xml:space="preserve"> teach people about proprieties related to worship and other aspects of life</w:t>
      </w:r>
      <w:r w:rsidR="00E20BE6" w:rsidRPr="006C6C28">
        <w:rPr>
          <w:rFonts w:ascii="Calibri" w:hAnsi="Calibri" w:cs="Calibri"/>
          <w:sz w:val="22"/>
          <w:szCs w:val="22"/>
        </w:rPr>
        <w:t xml:space="preserve"> (Lev 10:</w:t>
      </w:r>
      <w:r w:rsidR="00C34237" w:rsidRPr="006C6C28">
        <w:rPr>
          <w:rFonts w:ascii="Calibri" w:hAnsi="Calibri" w:cs="Calibri"/>
          <w:sz w:val="22"/>
          <w:szCs w:val="22"/>
        </w:rPr>
        <w:t>10</w:t>
      </w:r>
      <w:r w:rsidR="00DB7B03" w:rsidRPr="006C6C28">
        <w:rPr>
          <w:rFonts w:ascii="Calibri" w:hAnsi="Calibri" w:cs="Calibri"/>
          <w:sz w:val="22"/>
          <w:szCs w:val="22"/>
        </w:rPr>
        <w:t>-</w:t>
      </w:r>
      <w:r w:rsidR="00C34237" w:rsidRPr="006C6C28">
        <w:rPr>
          <w:rFonts w:ascii="Calibri" w:hAnsi="Calibri" w:cs="Calibri"/>
          <w:sz w:val="22"/>
          <w:szCs w:val="22"/>
        </w:rPr>
        <w:t>11). Eli’s</w:t>
      </w:r>
      <w:r w:rsidR="00E429AF" w:rsidRPr="006C6C28">
        <w:rPr>
          <w:rFonts w:ascii="Calibri" w:hAnsi="Calibri" w:cs="Calibri"/>
          <w:sz w:val="22"/>
          <w:szCs w:val="22"/>
        </w:rPr>
        <w:t xml:space="preserve"> misjudgment of Hannah </w:t>
      </w:r>
      <w:r w:rsidR="00B227FA" w:rsidRPr="006C6C28">
        <w:rPr>
          <w:rFonts w:ascii="Calibri" w:hAnsi="Calibri" w:cs="Calibri"/>
          <w:sz w:val="22"/>
          <w:szCs w:val="22"/>
        </w:rPr>
        <w:t xml:space="preserve">does not </w:t>
      </w:r>
      <w:r w:rsidR="002F19AF" w:rsidRPr="006C6C28">
        <w:rPr>
          <w:rFonts w:ascii="Calibri" w:hAnsi="Calibri" w:cs="Calibri"/>
          <w:sz w:val="22"/>
          <w:szCs w:val="22"/>
        </w:rPr>
        <w:t>take away from the importance of this role, as the story</w:t>
      </w:r>
      <w:r w:rsidR="00E62193" w:rsidRPr="006C6C28">
        <w:rPr>
          <w:rFonts w:ascii="Calibri" w:hAnsi="Calibri" w:cs="Calibri"/>
          <w:sz w:val="22"/>
          <w:szCs w:val="22"/>
        </w:rPr>
        <w:t xml:space="preserve"> </w:t>
      </w:r>
      <w:r w:rsidR="0076060D" w:rsidRPr="006C6C28">
        <w:rPr>
          <w:rFonts w:ascii="Calibri" w:hAnsi="Calibri" w:cs="Calibri"/>
          <w:sz w:val="22"/>
          <w:szCs w:val="22"/>
        </w:rPr>
        <w:t xml:space="preserve">of </w:t>
      </w:r>
      <w:r w:rsidR="00E62193" w:rsidRPr="006C6C28">
        <w:rPr>
          <w:rFonts w:ascii="Calibri" w:hAnsi="Calibri" w:cs="Calibri"/>
          <w:sz w:val="22"/>
          <w:szCs w:val="22"/>
        </w:rPr>
        <w:t xml:space="preserve">Uzzah </w:t>
      </w:r>
      <w:r w:rsidR="003274B1" w:rsidRPr="006C6C28">
        <w:rPr>
          <w:rFonts w:ascii="Calibri" w:hAnsi="Calibri" w:cs="Calibri"/>
          <w:sz w:val="22"/>
          <w:szCs w:val="22"/>
        </w:rPr>
        <w:t xml:space="preserve">(2 Sam 6) </w:t>
      </w:r>
      <w:r w:rsidR="00E62193" w:rsidRPr="006C6C28">
        <w:rPr>
          <w:rFonts w:ascii="Calibri" w:hAnsi="Calibri" w:cs="Calibri"/>
          <w:sz w:val="22"/>
          <w:szCs w:val="22"/>
        </w:rPr>
        <w:t>will shortly demonstrate in its</w:t>
      </w:r>
      <w:r w:rsidR="002F19AF" w:rsidRPr="006C6C28">
        <w:rPr>
          <w:rFonts w:ascii="Calibri" w:hAnsi="Calibri" w:cs="Calibri"/>
          <w:sz w:val="22"/>
          <w:szCs w:val="22"/>
        </w:rPr>
        <w:t xml:space="preserve"> </w:t>
      </w:r>
      <w:r w:rsidR="00E62193" w:rsidRPr="006C6C28">
        <w:rPr>
          <w:rFonts w:ascii="Calibri" w:hAnsi="Calibri" w:cs="Calibri"/>
          <w:sz w:val="22"/>
          <w:szCs w:val="22"/>
        </w:rPr>
        <w:t>way</w:t>
      </w:r>
      <w:r w:rsidR="003274B1" w:rsidRPr="006C6C28">
        <w:rPr>
          <w:rFonts w:ascii="Calibri" w:hAnsi="Calibri" w:cs="Calibri"/>
          <w:sz w:val="22"/>
          <w:szCs w:val="22"/>
        </w:rPr>
        <w:t>,</w:t>
      </w:r>
      <w:r w:rsidR="00E62193" w:rsidRPr="006C6C28">
        <w:rPr>
          <w:rFonts w:ascii="Calibri" w:hAnsi="Calibri" w:cs="Calibri"/>
          <w:sz w:val="22"/>
          <w:szCs w:val="22"/>
        </w:rPr>
        <w:t xml:space="preserve"> </w:t>
      </w:r>
      <w:r w:rsidR="009C3783" w:rsidRPr="006C6C28">
        <w:rPr>
          <w:rFonts w:ascii="Calibri" w:hAnsi="Calibri" w:cs="Calibri"/>
          <w:sz w:val="22"/>
          <w:szCs w:val="22"/>
        </w:rPr>
        <w:t xml:space="preserve">like the stories </w:t>
      </w:r>
      <w:r w:rsidR="002F19AF" w:rsidRPr="006C6C28">
        <w:rPr>
          <w:rFonts w:ascii="Calibri" w:hAnsi="Calibri" w:cs="Calibri"/>
          <w:sz w:val="22"/>
          <w:szCs w:val="22"/>
        </w:rPr>
        <w:t xml:space="preserve">of </w:t>
      </w:r>
      <w:r w:rsidR="00973FF4" w:rsidRPr="006C6C28">
        <w:rPr>
          <w:rFonts w:ascii="Calibri" w:hAnsi="Calibri" w:cs="Calibri"/>
          <w:sz w:val="22"/>
          <w:szCs w:val="22"/>
        </w:rPr>
        <w:t>Nadab and Abihu</w:t>
      </w:r>
      <w:r w:rsidR="00F27655" w:rsidRPr="006C6C28">
        <w:rPr>
          <w:rFonts w:ascii="Calibri" w:hAnsi="Calibri" w:cs="Calibri"/>
          <w:sz w:val="22"/>
          <w:szCs w:val="22"/>
        </w:rPr>
        <w:t xml:space="preserve"> (Lev 10)</w:t>
      </w:r>
      <w:r w:rsidR="009C3783" w:rsidRPr="006C6C28">
        <w:rPr>
          <w:rFonts w:ascii="Calibri" w:hAnsi="Calibri" w:cs="Calibri"/>
          <w:sz w:val="22"/>
          <w:szCs w:val="22"/>
        </w:rPr>
        <w:t xml:space="preserve"> and</w:t>
      </w:r>
      <w:r w:rsidR="00F27655" w:rsidRPr="006C6C28">
        <w:rPr>
          <w:rFonts w:ascii="Calibri" w:hAnsi="Calibri" w:cs="Calibri"/>
          <w:sz w:val="22"/>
          <w:szCs w:val="22"/>
        </w:rPr>
        <w:t xml:space="preserve"> </w:t>
      </w:r>
      <w:r w:rsidR="00D31A55" w:rsidRPr="006C6C28">
        <w:rPr>
          <w:rFonts w:ascii="Calibri" w:hAnsi="Calibri" w:cs="Calibri"/>
          <w:sz w:val="22"/>
          <w:szCs w:val="22"/>
        </w:rPr>
        <w:t>Jeroboam (1 Kings 13)</w:t>
      </w:r>
      <w:r w:rsidR="00DA4984" w:rsidRPr="006C6C28">
        <w:rPr>
          <w:rFonts w:ascii="Calibri" w:hAnsi="Calibri" w:cs="Calibri"/>
          <w:sz w:val="22"/>
          <w:szCs w:val="22"/>
        </w:rPr>
        <w:t>, and as will the importance of the gatekeepers of the Jerusalem temple (</w:t>
      </w:r>
      <w:r w:rsidR="00BB4A9A" w:rsidRPr="006C6C28">
        <w:rPr>
          <w:rFonts w:ascii="Calibri" w:hAnsi="Calibri" w:cs="Calibri"/>
          <w:sz w:val="22"/>
          <w:szCs w:val="22"/>
        </w:rPr>
        <w:t xml:space="preserve">e.g., </w:t>
      </w:r>
      <w:r w:rsidR="00DA4984" w:rsidRPr="006C6C28">
        <w:rPr>
          <w:rFonts w:ascii="Calibri" w:hAnsi="Calibri" w:cs="Calibri"/>
          <w:sz w:val="22"/>
          <w:szCs w:val="22"/>
        </w:rPr>
        <w:t>1 Chr 9:17</w:t>
      </w:r>
      <w:r w:rsidR="00DB7B03" w:rsidRPr="006C6C28">
        <w:rPr>
          <w:rFonts w:ascii="Calibri" w:hAnsi="Calibri" w:cs="Calibri"/>
          <w:sz w:val="22"/>
          <w:szCs w:val="22"/>
        </w:rPr>
        <w:t>-</w:t>
      </w:r>
      <w:r w:rsidR="00BB4A9A" w:rsidRPr="006C6C28">
        <w:rPr>
          <w:rFonts w:ascii="Calibri" w:hAnsi="Calibri" w:cs="Calibri"/>
          <w:sz w:val="22"/>
          <w:szCs w:val="22"/>
        </w:rPr>
        <w:t>27).</w:t>
      </w:r>
      <w:r w:rsidR="0002793C" w:rsidRPr="006C6C28">
        <w:rPr>
          <w:rFonts w:ascii="Calibri" w:hAnsi="Calibri" w:cs="Calibri"/>
          <w:sz w:val="22"/>
          <w:szCs w:val="22"/>
        </w:rPr>
        <w:t xml:space="preserve"> But </w:t>
      </w:r>
      <w:r w:rsidR="007714AB" w:rsidRPr="006C6C28">
        <w:rPr>
          <w:rFonts w:ascii="Calibri" w:hAnsi="Calibri" w:cs="Calibri"/>
          <w:sz w:val="22"/>
          <w:szCs w:val="22"/>
        </w:rPr>
        <w:t xml:space="preserve">Leviticus and </w:t>
      </w:r>
      <w:r w:rsidR="002E5962" w:rsidRPr="006C6C28">
        <w:rPr>
          <w:rFonts w:ascii="Calibri" w:hAnsi="Calibri" w:cs="Calibri"/>
          <w:sz w:val="22"/>
          <w:szCs w:val="22"/>
        </w:rPr>
        <w:t xml:space="preserve">the rest of the First Testament </w:t>
      </w:r>
      <w:r w:rsidR="007714AB" w:rsidRPr="006C6C28">
        <w:rPr>
          <w:rFonts w:ascii="Calibri" w:hAnsi="Calibri" w:cs="Calibri"/>
          <w:sz w:val="22"/>
          <w:szCs w:val="22"/>
        </w:rPr>
        <w:t xml:space="preserve">assumes that </w:t>
      </w:r>
      <w:r w:rsidR="00FB0A96" w:rsidRPr="006C6C28">
        <w:rPr>
          <w:rFonts w:ascii="Calibri" w:hAnsi="Calibri" w:cs="Calibri"/>
          <w:sz w:val="22"/>
          <w:szCs w:val="22"/>
        </w:rPr>
        <w:t xml:space="preserve">propriety </w:t>
      </w:r>
      <w:r w:rsidR="007714AB" w:rsidRPr="006C6C28">
        <w:rPr>
          <w:rFonts w:ascii="Calibri" w:hAnsi="Calibri" w:cs="Calibri"/>
          <w:sz w:val="22"/>
          <w:szCs w:val="22"/>
        </w:rPr>
        <w:t>does</w:t>
      </w:r>
      <w:r w:rsidR="00FB0A96" w:rsidRPr="006C6C28">
        <w:rPr>
          <w:rFonts w:ascii="Calibri" w:hAnsi="Calibri" w:cs="Calibri"/>
          <w:sz w:val="22"/>
          <w:szCs w:val="22"/>
        </w:rPr>
        <w:t xml:space="preserve"> not </w:t>
      </w:r>
      <w:r w:rsidR="00BC4FC8" w:rsidRPr="006C6C28">
        <w:rPr>
          <w:rFonts w:ascii="Calibri" w:hAnsi="Calibri" w:cs="Calibri"/>
          <w:sz w:val="22"/>
          <w:szCs w:val="22"/>
        </w:rPr>
        <w:t xml:space="preserve">concern solely </w:t>
      </w:r>
      <w:r w:rsidR="006471C2" w:rsidRPr="006C6C28">
        <w:rPr>
          <w:rFonts w:ascii="Calibri" w:hAnsi="Calibri" w:cs="Calibri"/>
          <w:sz w:val="22"/>
          <w:szCs w:val="22"/>
        </w:rPr>
        <w:t>matters of bodily fitness</w:t>
      </w:r>
      <w:r w:rsidR="00A952BE" w:rsidRPr="006C6C28">
        <w:rPr>
          <w:rFonts w:ascii="Calibri" w:hAnsi="Calibri" w:cs="Calibri"/>
          <w:sz w:val="22"/>
          <w:szCs w:val="22"/>
        </w:rPr>
        <w:t xml:space="preserve"> (see Pss 15; 24)</w:t>
      </w:r>
      <w:r w:rsidR="007714AB" w:rsidRPr="006C6C28">
        <w:rPr>
          <w:rFonts w:ascii="Calibri" w:hAnsi="Calibri" w:cs="Calibri"/>
          <w:sz w:val="22"/>
          <w:szCs w:val="22"/>
        </w:rPr>
        <w:t xml:space="preserve">, and </w:t>
      </w:r>
      <w:r w:rsidR="00631FBF" w:rsidRPr="006C6C28">
        <w:rPr>
          <w:rFonts w:ascii="Calibri" w:hAnsi="Calibri" w:cs="Calibri"/>
          <w:sz w:val="22"/>
          <w:szCs w:val="22"/>
        </w:rPr>
        <w:t>the critique of the Shiloh priests focuses on th</w:t>
      </w:r>
      <w:r w:rsidR="00F923E8" w:rsidRPr="006C6C28">
        <w:rPr>
          <w:rFonts w:ascii="Calibri" w:hAnsi="Calibri" w:cs="Calibri"/>
          <w:sz w:val="22"/>
          <w:szCs w:val="22"/>
        </w:rPr>
        <w:t>e broader</w:t>
      </w:r>
      <w:r w:rsidR="00631FBF" w:rsidRPr="006C6C28">
        <w:rPr>
          <w:rFonts w:ascii="Calibri" w:hAnsi="Calibri" w:cs="Calibri"/>
          <w:sz w:val="22"/>
          <w:szCs w:val="22"/>
        </w:rPr>
        <w:t xml:space="preserve"> realm</w:t>
      </w:r>
      <w:r w:rsidR="009E6AE2" w:rsidRPr="006C6C28">
        <w:rPr>
          <w:rFonts w:ascii="Calibri" w:hAnsi="Calibri" w:cs="Calibri"/>
          <w:sz w:val="22"/>
          <w:szCs w:val="22"/>
        </w:rPr>
        <w:t xml:space="preserve">. </w:t>
      </w:r>
      <w:r w:rsidR="00D74284" w:rsidRPr="006C6C28">
        <w:rPr>
          <w:rFonts w:ascii="Calibri" w:hAnsi="Calibri" w:cs="Calibri"/>
          <w:sz w:val="22"/>
          <w:szCs w:val="22"/>
        </w:rPr>
        <w:t xml:space="preserve">In addition, </w:t>
      </w:r>
      <w:r w:rsidR="00FD4D9F" w:rsidRPr="006C6C28">
        <w:rPr>
          <w:rFonts w:ascii="Calibri" w:hAnsi="Calibri" w:cs="Calibri"/>
          <w:sz w:val="22"/>
          <w:szCs w:val="22"/>
        </w:rPr>
        <w:t xml:space="preserve">Eli </w:t>
      </w:r>
      <w:r w:rsidR="00D16805" w:rsidRPr="006C6C28">
        <w:rPr>
          <w:rFonts w:ascii="Calibri" w:hAnsi="Calibri" w:cs="Calibri"/>
          <w:sz w:val="22"/>
          <w:szCs w:val="22"/>
        </w:rPr>
        <w:t>“</w:t>
      </w:r>
      <w:r w:rsidR="00D74284" w:rsidRPr="006C6C28">
        <w:rPr>
          <w:rFonts w:ascii="Calibri" w:hAnsi="Calibri" w:cs="Calibri"/>
          <w:sz w:val="22"/>
          <w:szCs w:val="22"/>
        </w:rPr>
        <w:t>carr</w:t>
      </w:r>
      <w:r w:rsidR="00FD4D9F" w:rsidRPr="006C6C28">
        <w:rPr>
          <w:rFonts w:ascii="Calibri" w:hAnsi="Calibri" w:cs="Calibri"/>
          <w:sz w:val="22"/>
          <w:szCs w:val="22"/>
        </w:rPr>
        <w:t>ies</w:t>
      </w:r>
      <w:r w:rsidR="00D16805" w:rsidRPr="006C6C28">
        <w:rPr>
          <w:rFonts w:ascii="Calibri" w:hAnsi="Calibri" w:cs="Calibri"/>
          <w:sz w:val="22"/>
          <w:szCs w:val="22"/>
        </w:rPr>
        <w:t>”</w:t>
      </w:r>
      <w:r w:rsidR="00D74284" w:rsidRPr="006C6C28">
        <w:rPr>
          <w:rFonts w:ascii="Calibri" w:hAnsi="Calibri" w:cs="Calibri"/>
          <w:sz w:val="22"/>
          <w:szCs w:val="22"/>
        </w:rPr>
        <w:t xml:space="preserve"> </w:t>
      </w:r>
      <w:r w:rsidR="006B1552">
        <w:rPr>
          <w:rFonts w:ascii="Calibri" w:hAnsi="Calibri" w:cs="Calibri"/>
          <w:sz w:val="22"/>
          <w:szCs w:val="22"/>
        </w:rPr>
        <w:t xml:space="preserve">– rather than “wears” – </w:t>
      </w:r>
      <w:r w:rsidR="007D3DB5" w:rsidRPr="006C6C28">
        <w:rPr>
          <w:rFonts w:ascii="Calibri" w:hAnsi="Calibri" w:cs="Calibri"/>
          <w:sz w:val="22"/>
          <w:szCs w:val="22"/>
        </w:rPr>
        <w:t>a</w:t>
      </w:r>
      <w:r w:rsidR="00D74284" w:rsidRPr="006C6C28">
        <w:rPr>
          <w:rFonts w:ascii="Calibri" w:hAnsi="Calibri" w:cs="Calibri"/>
          <w:sz w:val="22"/>
          <w:szCs w:val="22"/>
        </w:rPr>
        <w:t xml:space="preserve"> chasuble</w:t>
      </w:r>
      <w:r w:rsidR="00030863" w:rsidRPr="006C6C28">
        <w:rPr>
          <w:rFonts w:ascii="Calibri" w:hAnsi="Calibri" w:cs="Calibri"/>
          <w:sz w:val="22"/>
          <w:szCs w:val="22"/>
        </w:rPr>
        <w:t xml:space="preserve"> (</w:t>
      </w:r>
      <w:r w:rsidR="008B6198" w:rsidRPr="006C6C28">
        <w:rPr>
          <w:rFonts w:ascii="Calibri" w:hAnsi="Calibri" w:cs="Calibri"/>
          <w:i/>
          <w:iCs/>
          <w:sz w:val="22"/>
          <w:szCs w:val="22"/>
        </w:rPr>
        <w:t>’ēpôd</w:t>
      </w:r>
      <w:r w:rsidR="008B6198" w:rsidRPr="006C6C28">
        <w:rPr>
          <w:rFonts w:ascii="Calibri" w:hAnsi="Calibri" w:cs="Calibri"/>
          <w:sz w:val="22"/>
          <w:szCs w:val="22"/>
        </w:rPr>
        <w:t xml:space="preserve">, conventionally transliterated </w:t>
      </w:r>
      <w:r w:rsidR="007D3DB5" w:rsidRPr="006C6C28">
        <w:rPr>
          <w:rFonts w:ascii="Calibri" w:hAnsi="Calibri" w:cs="Calibri"/>
          <w:sz w:val="22"/>
          <w:szCs w:val="22"/>
        </w:rPr>
        <w:t>“</w:t>
      </w:r>
      <w:r w:rsidR="008B6198" w:rsidRPr="006C6C28">
        <w:rPr>
          <w:rFonts w:ascii="Calibri" w:hAnsi="Calibri" w:cs="Calibri"/>
          <w:sz w:val="22"/>
          <w:szCs w:val="22"/>
        </w:rPr>
        <w:t>ephod</w:t>
      </w:r>
      <w:r w:rsidR="007D3DB5" w:rsidRPr="006C6C28">
        <w:rPr>
          <w:rFonts w:ascii="Calibri" w:hAnsi="Calibri" w:cs="Calibri"/>
          <w:sz w:val="22"/>
          <w:szCs w:val="22"/>
        </w:rPr>
        <w:t>”</w:t>
      </w:r>
      <w:r w:rsidR="00813E9B">
        <w:rPr>
          <w:rFonts w:ascii="Calibri" w:hAnsi="Calibri" w:cs="Calibri"/>
          <w:sz w:val="22"/>
          <w:szCs w:val="22"/>
        </w:rPr>
        <w:t>; 2:28</w:t>
      </w:r>
      <w:r w:rsidR="008B6198" w:rsidRPr="006C6C28">
        <w:rPr>
          <w:rFonts w:ascii="Calibri" w:hAnsi="Calibri" w:cs="Calibri"/>
          <w:sz w:val="22"/>
          <w:szCs w:val="22"/>
        </w:rPr>
        <w:t>)</w:t>
      </w:r>
      <w:r w:rsidR="00D97EC5">
        <w:rPr>
          <w:rFonts w:ascii="Calibri" w:hAnsi="Calibri" w:cs="Calibri"/>
          <w:sz w:val="22"/>
          <w:szCs w:val="22"/>
        </w:rPr>
        <w:t>,</w:t>
      </w:r>
      <w:r w:rsidR="009F5989" w:rsidRPr="006C6C28">
        <w:rPr>
          <w:rFonts w:ascii="Calibri" w:hAnsi="Calibri" w:cs="Calibri"/>
          <w:sz w:val="22"/>
          <w:szCs w:val="22"/>
        </w:rPr>
        <w:t xml:space="preserve"> an</w:t>
      </w:r>
      <w:r w:rsidR="00F923E8" w:rsidRPr="006C6C28">
        <w:rPr>
          <w:rFonts w:ascii="Calibri" w:hAnsi="Calibri" w:cs="Calibri"/>
          <w:sz w:val="22"/>
          <w:szCs w:val="22"/>
        </w:rPr>
        <w:t xml:space="preserve"> </w:t>
      </w:r>
      <w:r w:rsidR="00F923E8" w:rsidRPr="006C6C28">
        <w:rPr>
          <w:rFonts w:ascii="Calibri" w:hAnsi="Calibri" w:cs="Calibri"/>
          <w:sz w:val="22"/>
          <w:szCs w:val="22"/>
        </w:rPr>
        <w:lastRenderedPageBreak/>
        <w:t>object</w:t>
      </w:r>
      <w:r w:rsidR="0080585B" w:rsidRPr="006C6C28">
        <w:rPr>
          <w:rFonts w:ascii="Calibri" w:hAnsi="Calibri" w:cs="Calibri"/>
          <w:sz w:val="22"/>
          <w:szCs w:val="22"/>
        </w:rPr>
        <w:t xml:space="preserve"> contain</w:t>
      </w:r>
      <w:r w:rsidR="00F923E8" w:rsidRPr="006C6C28">
        <w:rPr>
          <w:rFonts w:ascii="Calibri" w:hAnsi="Calibri" w:cs="Calibri"/>
          <w:sz w:val="22"/>
          <w:szCs w:val="22"/>
        </w:rPr>
        <w:t>ing</w:t>
      </w:r>
      <w:r w:rsidR="0080585B" w:rsidRPr="006C6C28">
        <w:rPr>
          <w:rFonts w:ascii="Calibri" w:hAnsi="Calibri" w:cs="Calibri"/>
          <w:sz w:val="22"/>
          <w:szCs w:val="22"/>
        </w:rPr>
        <w:t xml:space="preserve"> </w:t>
      </w:r>
      <w:r w:rsidR="006E56B4" w:rsidRPr="006C6C28">
        <w:rPr>
          <w:rFonts w:ascii="Calibri" w:hAnsi="Calibri" w:cs="Calibri"/>
          <w:sz w:val="22"/>
          <w:szCs w:val="22"/>
        </w:rPr>
        <w:t>the means of</w:t>
      </w:r>
      <w:r w:rsidR="00705CDB" w:rsidRPr="006C6C28">
        <w:rPr>
          <w:rFonts w:ascii="Calibri" w:hAnsi="Calibri" w:cs="Calibri"/>
          <w:sz w:val="22"/>
          <w:szCs w:val="22"/>
        </w:rPr>
        <w:t xml:space="preserve"> consulting Yahweh about questions</w:t>
      </w:r>
      <w:r w:rsidR="001E25F1" w:rsidRPr="006C6C28">
        <w:rPr>
          <w:rFonts w:ascii="Calibri" w:hAnsi="Calibri" w:cs="Calibri"/>
          <w:sz w:val="22"/>
          <w:szCs w:val="22"/>
        </w:rPr>
        <w:t xml:space="preserve"> and telling people how Yahweh responds to them (1:</w:t>
      </w:r>
      <w:r w:rsidR="00A62C9E" w:rsidRPr="006C6C28">
        <w:rPr>
          <w:rFonts w:ascii="Calibri" w:hAnsi="Calibri" w:cs="Calibri"/>
          <w:sz w:val="22"/>
          <w:szCs w:val="22"/>
        </w:rPr>
        <w:t>17).</w:t>
      </w:r>
      <w:r w:rsidR="00705CDB" w:rsidRPr="006C6C28">
        <w:rPr>
          <w:rFonts w:ascii="Calibri" w:hAnsi="Calibri" w:cs="Calibri"/>
          <w:sz w:val="22"/>
          <w:szCs w:val="22"/>
        </w:rPr>
        <w:t xml:space="preserve"> </w:t>
      </w:r>
      <w:r w:rsidR="00D07ED2">
        <w:rPr>
          <w:rFonts w:ascii="Calibri" w:hAnsi="Calibri" w:cs="Calibri"/>
          <w:sz w:val="22"/>
          <w:szCs w:val="22"/>
        </w:rPr>
        <w:t>P</w:t>
      </w:r>
      <w:r w:rsidR="00A02470" w:rsidRPr="006C6C28">
        <w:rPr>
          <w:rFonts w:ascii="Calibri" w:hAnsi="Calibri" w:cs="Calibri"/>
          <w:sz w:val="22"/>
          <w:szCs w:val="22"/>
        </w:rPr>
        <w:t>riest</w:t>
      </w:r>
      <w:r w:rsidR="006D2F42" w:rsidRPr="006C6C28">
        <w:rPr>
          <w:rFonts w:ascii="Calibri" w:hAnsi="Calibri" w:cs="Calibri"/>
          <w:sz w:val="22"/>
          <w:szCs w:val="22"/>
        </w:rPr>
        <w:t>s</w:t>
      </w:r>
      <w:r w:rsidR="00A02470" w:rsidRPr="006C6C28">
        <w:rPr>
          <w:rFonts w:ascii="Calibri" w:hAnsi="Calibri" w:cs="Calibri"/>
          <w:sz w:val="22"/>
          <w:szCs w:val="22"/>
        </w:rPr>
        <w:t xml:space="preserve"> </w:t>
      </w:r>
      <w:r w:rsidR="00D07ED2">
        <w:rPr>
          <w:rFonts w:ascii="Calibri" w:hAnsi="Calibri" w:cs="Calibri"/>
          <w:sz w:val="22"/>
          <w:szCs w:val="22"/>
        </w:rPr>
        <w:t xml:space="preserve">thus </w:t>
      </w:r>
      <w:r w:rsidR="00A02470" w:rsidRPr="006C6C28">
        <w:rPr>
          <w:rFonts w:ascii="Calibri" w:hAnsi="Calibri" w:cs="Calibri"/>
          <w:sz w:val="22"/>
          <w:szCs w:val="22"/>
        </w:rPr>
        <w:t>fulfill the role of prophet</w:t>
      </w:r>
      <w:r w:rsidR="006D2F42" w:rsidRPr="006C6C28">
        <w:rPr>
          <w:rFonts w:ascii="Calibri" w:hAnsi="Calibri" w:cs="Calibri"/>
          <w:sz w:val="22"/>
          <w:szCs w:val="22"/>
        </w:rPr>
        <w:t>s</w:t>
      </w:r>
      <w:r w:rsidR="00A02470" w:rsidRPr="006C6C28">
        <w:rPr>
          <w:rFonts w:ascii="Calibri" w:hAnsi="Calibri" w:cs="Calibri"/>
          <w:sz w:val="22"/>
          <w:szCs w:val="22"/>
        </w:rPr>
        <w:t xml:space="preserve"> as well as priest</w:t>
      </w:r>
      <w:r w:rsidR="006D2F42" w:rsidRPr="006C6C28">
        <w:rPr>
          <w:rFonts w:ascii="Calibri" w:hAnsi="Calibri" w:cs="Calibri"/>
          <w:sz w:val="22"/>
          <w:szCs w:val="22"/>
        </w:rPr>
        <w:t>s</w:t>
      </w:r>
      <w:r w:rsidR="0069579F" w:rsidRPr="006C6C28">
        <w:rPr>
          <w:rFonts w:ascii="Calibri" w:hAnsi="Calibri" w:cs="Calibri"/>
          <w:sz w:val="22"/>
          <w:szCs w:val="22"/>
        </w:rPr>
        <w:t xml:space="preserve">; </w:t>
      </w:r>
      <w:r w:rsidR="00901B36" w:rsidRPr="006C6C28">
        <w:rPr>
          <w:rFonts w:ascii="Calibri" w:hAnsi="Calibri" w:cs="Calibri"/>
          <w:sz w:val="22"/>
          <w:szCs w:val="22"/>
        </w:rPr>
        <w:t>Eli challenges his sons like a prophet (2:</w:t>
      </w:r>
      <w:r w:rsidR="00895CA1" w:rsidRPr="006C6C28">
        <w:rPr>
          <w:rFonts w:ascii="Calibri" w:hAnsi="Calibri" w:cs="Calibri"/>
          <w:sz w:val="22"/>
          <w:szCs w:val="22"/>
        </w:rPr>
        <w:t>23</w:t>
      </w:r>
      <w:r w:rsidR="00DB7B03" w:rsidRPr="006C6C28">
        <w:rPr>
          <w:rFonts w:ascii="Calibri" w:hAnsi="Calibri" w:cs="Calibri"/>
          <w:sz w:val="22"/>
          <w:szCs w:val="22"/>
        </w:rPr>
        <w:t>-</w:t>
      </w:r>
      <w:r w:rsidR="00901B36" w:rsidRPr="006C6C28">
        <w:rPr>
          <w:rFonts w:ascii="Calibri" w:hAnsi="Calibri" w:cs="Calibri"/>
          <w:sz w:val="22"/>
          <w:szCs w:val="22"/>
        </w:rPr>
        <w:t>25)</w:t>
      </w:r>
      <w:r w:rsidR="006E5130" w:rsidRPr="006C6C28">
        <w:rPr>
          <w:rFonts w:ascii="Calibri" w:hAnsi="Calibri" w:cs="Calibri"/>
          <w:sz w:val="22"/>
          <w:szCs w:val="22"/>
        </w:rPr>
        <w:t>.</w:t>
      </w:r>
      <w:r w:rsidR="00EF1075" w:rsidRPr="006C6C28">
        <w:rPr>
          <w:rFonts w:ascii="Calibri" w:hAnsi="Calibri" w:cs="Calibri"/>
          <w:sz w:val="22"/>
          <w:szCs w:val="22"/>
        </w:rPr>
        <w:t xml:space="preserve"> </w:t>
      </w:r>
    </w:p>
    <w:p w14:paraId="1F8E9DBE" w14:textId="14CCBCF4" w:rsidR="00C413EA" w:rsidRPr="001F52A8" w:rsidRDefault="00723D3A" w:rsidP="00C413EA">
      <w:r>
        <w:rPr>
          <w:rFonts w:cstheme="minorHAnsi"/>
        </w:rPr>
        <w:t>Y</w:t>
      </w:r>
      <w:r w:rsidR="00CF2C8F" w:rsidRPr="001F52A8">
        <w:rPr>
          <w:rFonts w:cstheme="minorHAnsi"/>
        </w:rPr>
        <w:t xml:space="preserve">oung </w:t>
      </w:r>
      <w:r w:rsidR="0040538C" w:rsidRPr="001F52A8">
        <w:rPr>
          <w:rFonts w:cstheme="minorHAnsi"/>
        </w:rPr>
        <w:t xml:space="preserve">Samuel </w:t>
      </w:r>
      <w:r w:rsidR="00873366">
        <w:rPr>
          <w:rFonts w:cstheme="minorHAnsi"/>
        </w:rPr>
        <w:t xml:space="preserve">himself </w:t>
      </w:r>
      <w:r w:rsidR="0040538C" w:rsidRPr="001F52A8">
        <w:rPr>
          <w:rFonts w:cstheme="minorHAnsi"/>
        </w:rPr>
        <w:t>engage</w:t>
      </w:r>
      <w:r w:rsidR="00873366">
        <w:rPr>
          <w:rFonts w:cstheme="minorHAnsi"/>
        </w:rPr>
        <w:t>s</w:t>
      </w:r>
      <w:r w:rsidR="0040538C" w:rsidRPr="001F52A8">
        <w:rPr>
          <w:rFonts w:cstheme="minorHAnsi"/>
        </w:rPr>
        <w:t xml:space="preserve"> in </w:t>
      </w:r>
      <w:r w:rsidR="00263C57" w:rsidRPr="001F52A8">
        <w:rPr>
          <w:rFonts w:cstheme="minorHAnsi"/>
        </w:rPr>
        <w:t>“</w:t>
      </w:r>
      <w:r w:rsidR="0040538C" w:rsidRPr="001F52A8">
        <w:rPr>
          <w:rFonts w:cstheme="minorHAnsi"/>
        </w:rPr>
        <w:t>ministering</w:t>
      </w:r>
      <w:r w:rsidR="00263C57" w:rsidRPr="001F52A8">
        <w:rPr>
          <w:rFonts w:cstheme="minorHAnsi"/>
        </w:rPr>
        <w:t>”</w:t>
      </w:r>
      <w:r w:rsidR="0040538C" w:rsidRPr="001F52A8">
        <w:rPr>
          <w:rFonts w:cstheme="minorHAnsi"/>
        </w:rPr>
        <w:t xml:space="preserve"> </w:t>
      </w:r>
      <w:r w:rsidR="00492E2E" w:rsidRPr="001F52A8">
        <w:rPr>
          <w:rFonts w:cstheme="minorHAnsi"/>
        </w:rPr>
        <w:t xml:space="preserve">to Yahweh </w:t>
      </w:r>
      <w:r w:rsidR="0040538C" w:rsidRPr="001F52A8">
        <w:rPr>
          <w:rFonts w:cstheme="minorHAnsi"/>
        </w:rPr>
        <w:t>(</w:t>
      </w:r>
      <w:r w:rsidR="0040538C" w:rsidRPr="001F52A8">
        <w:rPr>
          <w:rFonts w:cstheme="minorHAnsi"/>
          <w:i/>
          <w:iCs/>
        </w:rPr>
        <w:t xml:space="preserve">šārat </w:t>
      </w:r>
      <w:r w:rsidR="0040538C" w:rsidRPr="001F52A8">
        <w:rPr>
          <w:rFonts w:cstheme="minorHAnsi"/>
        </w:rPr>
        <w:t xml:space="preserve">piel; 2:11), which </w:t>
      </w:r>
      <w:r w:rsidR="005F70AF" w:rsidRPr="001F52A8">
        <w:rPr>
          <w:rFonts w:cstheme="minorHAnsi"/>
        </w:rPr>
        <w:t>usually denotes priestly work</w:t>
      </w:r>
      <w:r w:rsidR="00886DC6">
        <w:rPr>
          <w:rFonts w:cstheme="minorHAnsi"/>
        </w:rPr>
        <w:t>;</w:t>
      </w:r>
      <w:r w:rsidR="005F70AF" w:rsidRPr="001F52A8">
        <w:rPr>
          <w:rFonts w:cstheme="minorHAnsi"/>
        </w:rPr>
        <w:t xml:space="preserve"> </w:t>
      </w:r>
      <w:r w:rsidR="003A18F5">
        <w:rPr>
          <w:rFonts w:cstheme="minorHAnsi"/>
        </w:rPr>
        <w:t>for</w:t>
      </w:r>
      <w:r w:rsidR="005F70AF" w:rsidRPr="001F52A8">
        <w:rPr>
          <w:rFonts w:cstheme="minorHAnsi"/>
        </w:rPr>
        <w:t xml:space="preserve"> </w:t>
      </w:r>
      <w:r w:rsidR="004D3854">
        <w:rPr>
          <w:rFonts w:cstheme="minorHAnsi"/>
        </w:rPr>
        <w:t>a “boy” (</w:t>
      </w:r>
      <w:r w:rsidR="004D3854">
        <w:rPr>
          <w:rFonts w:cstheme="minorHAnsi"/>
          <w:i/>
          <w:iCs/>
        </w:rPr>
        <w:t>na‘ar)</w:t>
      </w:r>
      <w:r w:rsidR="00886DC6">
        <w:rPr>
          <w:rFonts w:cstheme="minorHAnsi"/>
        </w:rPr>
        <w:t>, it</w:t>
      </w:r>
      <w:r w:rsidR="005F70AF" w:rsidRPr="001F52A8">
        <w:rPr>
          <w:rFonts w:cstheme="minorHAnsi"/>
        </w:rPr>
        <w:t xml:space="preserve"> </w:t>
      </w:r>
      <w:r w:rsidR="0040538C" w:rsidRPr="001F52A8">
        <w:rPr>
          <w:rFonts w:cstheme="minorHAnsi"/>
        </w:rPr>
        <w:t>suggests practical work</w:t>
      </w:r>
      <w:r w:rsidR="005F70AF" w:rsidRPr="001F52A8">
        <w:rPr>
          <w:rFonts w:cstheme="minorHAnsi"/>
        </w:rPr>
        <w:t xml:space="preserve">. </w:t>
      </w:r>
      <w:r w:rsidR="0040538C" w:rsidRPr="001F52A8">
        <w:rPr>
          <w:rFonts w:cstheme="minorHAnsi"/>
        </w:rPr>
        <w:t xml:space="preserve">Wearing a linen chasuble (2:18), he looks like a trainee priest, ready to replace the current priests. </w:t>
      </w:r>
      <w:r w:rsidR="00446F42" w:rsidRPr="001F52A8">
        <w:rPr>
          <w:rFonts w:cstheme="minorHAnsi"/>
        </w:rPr>
        <w:t xml:space="preserve">He is </w:t>
      </w:r>
      <w:r w:rsidR="00622E90" w:rsidRPr="001F52A8">
        <w:rPr>
          <w:rFonts w:cstheme="minorHAnsi"/>
        </w:rPr>
        <w:t xml:space="preserve">under the eye of Eli (2:11), </w:t>
      </w:r>
      <w:r w:rsidR="006F4EF0" w:rsidRPr="001F52A8">
        <w:rPr>
          <w:rFonts w:cstheme="minorHAnsi"/>
        </w:rPr>
        <w:t xml:space="preserve">training for both </w:t>
      </w:r>
      <w:r w:rsidR="00F47315">
        <w:rPr>
          <w:rFonts w:cstheme="minorHAnsi"/>
        </w:rPr>
        <w:t>the sacrificial and the verbal</w:t>
      </w:r>
      <w:r w:rsidR="006F4EF0" w:rsidRPr="001F52A8">
        <w:rPr>
          <w:rFonts w:cstheme="minorHAnsi"/>
        </w:rPr>
        <w:t xml:space="preserve"> </w:t>
      </w:r>
      <w:r w:rsidR="0072569F">
        <w:rPr>
          <w:rFonts w:cstheme="minorHAnsi"/>
        </w:rPr>
        <w:t xml:space="preserve">roles </w:t>
      </w:r>
      <w:r w:rsidR="006F4EF0" w:rsidRPr="001F52A8">
        <w:rPr>
          <w:rFonts w:cstheme="minorHAnsi"/>
        </w:rPr>
        <w:t xml:space="preserve">– at least, he will fulfill both later. </w:t>
      </w:r>
      <w:r w:rsidR="009F47C8" w:rsidRPr="001F52A8">
        <w:rPr>
          <w:rFonts w:cstheme="minorHAnsi"/>
        </w:rPr>
        <w:t>Eli</w:t>
      </w:r>
      <w:r w:rsidR="005F2867">
        <w:rPr>
          <w:rFonts w:cstheme="minorHAnsi"/>
        </w:rPr>
        <w:t>’</w:t>
      </w:r>
      <w:r w:rsidR="009F47C8" w:rsidRPr="001F52A8">
        <w:rPr>
          <w:rFonts w:cstheme="minorHAnsi"/>
        </w:rPr>
        <w:t>s son</w:t>
      </w:r>
      <w:r w:rsidR="005F2867">
        <w:rPr>
          <w:rFonts w:cstheme="minorHAnsi"/>
        </w:rPr>
        <w:t>s, too,</w:t>
      </w:r>
      <w:r w:rsidR="009F47C8" w:rsidRPr="001F52A8">
        <w:rPr>
          <w:rFonts w:cstheme="minorHAnsi"/>
        </w:rPr>
        <w:t xml:space="preserve"> have </w:t>
      </w:r>
      <w:r w:rsidR="003A18F5">
        <w:rPr>
          <w:rFonts w:cstheme="minorHAnsi"/>
        </w:rPr>
        <w:t>“</w:t>
      </w:r>
      <w:r w:rsidR="009F47C8" w:rsidRPr="001F52A8">
        <w:rPr>
          <w:rFonts w:cstheme="minorHAnsi"/>
        </w:rPr>
        <w:t>boys</w:t>
      </w:r>
      <w:r w:rsidR="003A18F5">
        <w:rPr>
          <w:rFonts w:cstheme="minorHAnsi"/>
        </w:rPr>
        <w:t>”</w:t>
      </w:r>
      <w:r w:rsidR="009F47C8" w:rsidRPr="001F52A8">
        <w:rPr>
          <w:rFonts w:cstheme="minorHAnsi"/>
        </w:rPr>
        <w:t xml:space="preserve"> they have trained (2:13, 15, 17)</w:t>
      </w:r>
      <w:r w:rsidR="00FF479D">
        <w:rPr>
          <w:rFonts w:cstheme="minorHAnsi"/>
        </w:rPr>
        <w:t>;</w:t>
      </w:r>
      <w:r w:rsidR="009F47C8" w:rsidRPr="001F52A8">
        <w:rPr>
          <w:rFonts w:cstheme="minorHAnsi"/>
        </w:rPr>
        <w:t xml:space="preserve"> </w:t>
      </w:r>
      <w:r w:rsidR="00FF479D">
        <w:rPr>
          <w:rFonts w:cstheme="minorHAnsi"/>
        </w:rPr>
        <w:t>i</w:t>
      </w:r>
      <w:r w:rsidR="00DA6655" w:rsidRPr="001F52A8">
        <w:rPr>
          <w:rFonts w:cstheme="minorHAnsi"/>
        </w:rPr>
        <w:t xml:space="preserve">t will be as well if </w:t>
      </w:r>
      <w:r w:rsidR="000241B7" w:rsidRPr="001F52A8">
        <w:rPr>
          <w:rFonts w:cstheme="minorHAnsi"/>
        </w:rPr>
        <w:t>Samuel learn</w:t>
      </w:r>
      <w:r w:rsidR="00DA6655" w:rsidRPr="001F52A8">
        <w:rPr>
          <w:rFonts w:cstheme="minorHAnsi"/>
        </w:rPr>
        <w:t>s</w:t>
      </w:r>
      <w:r w:rsidR="000241B7" w:rsidRPr="001F52A8">
        <w:rPr>
          <w:rFonts w:cstheme="minorHAnsi"/>
        </w:rPr>
        <w:t xml:space="preserve"> from Eli rather than from </w:t>
      </w:r>
      <w:r w:rsidR="003A18F5">
        <w:rPr>
          <w:rFonts w:cstheme="minorHAnsi"/>
        </w:rPr>
        <w:t>them</w:t>
      </w:r>
      <w:r w:rsidR="000241B7" w:rsidRPr="001F52A8">
        <w:rPr>
          <w:rFonts w:cstheme="minorHAnsi"/>
        </w:rPr>
        <w:t>.</w:t>
      </w:r>
      <w:r w:rsidR="000241B7" w:rsidRPr="001F52A8">
        <w:rPr>
          <w:rStyle w:val="FootnoteReference"/>
          <w:rFonts w:cstheme="minorHAnsi"/>
        </w:rPr>
        <w:footnoteReference w:id="64"/>
      </w:r>
      <w:r w:rsidR="00564476">
        <w:rPr>
          <w:rFonts w:cstheme="minorHAnsi"/>
        </w:rPr>
        <w:t xml:space="preserve"> </w:t>
      </w:r>
      <w:r w:rsidR="00E0643A" w:rsidRPr="001F52A8">
        <w:rPr>
          <w:rFonts w:cstheme="minorHAnsi"/>
        </w:rPr>
        <w:t xml:space="preserve">They were </w:t>
      </w:r>
      <w:r w:rsidR="00564476">
        <w:rPr>
          <w:rFonts w:cstheme="minorHAnsi"/>
        </w:rPr>
        <w:t xml:space="preserve">indeed </w:t>
      </w:r>
      <w:r w:rsidR="00CF10DC" w:rsidRPr="001F52A8">
        <w:rPr>
          <w:rFonts w:cstheme="minorHAnsi"/>
        </w:rPr>
        <w:t>“sons of Belial</w:t>
      </w:r>
      <w:r w:rsidR="00C42DF7" w:rsidRPr="001F52A8">
        <w:rPr>
          <w:rFonts w:cstheme="minorHAnsi"/>
        </w:rPr>
        <w:t>”</w:t>
      </w:r>
      <w:r w:rsidR="00621E42">
        <w:rPr>
          <w:rFonts w:cstheme="minorHAnsi"/>
        </w:rPr>
        <w:t>; t</w:t>
      </w:r>
      <w:r w:rsidR="000A00C2" w:rsidRPr="001F52A8">
        <w:rPr>
          <w:rFonts w:cstheme="minorHAnsi"/>
        </w:rPr>
        <w:t xml:space="preserve">he cynical </w:t>
      </w:r>
      <w:r w:rsidR="006A79F6">
        <w:rPr>
          <w:rFonts w:cstheme="minorHAnsi"/>
        </w:rPr>
        <w:t>manner</w:t>
      </w:r>
      <w:r w:rsidR="000A00C2" w:rsidRPr="001F52A8">
        <w:rPr>
          <w:rFonts w:cstheme="minorHAnsi"/>
        </w:rPr>
        <w:t xml:space="preserve"> of the</w:t>
      </w:r>
      <w:r w:rsidR="00C71ED0">
        <w:rPr>
          <w:rFonts w:cstheme="minorHAnsi"/>
        </w:rPr>
        <w:t>ir</w:t>
      </w:r>
      <w:r w:rsidR="000A00C2" w:rsidRPr="001F52A8">
        <w:rPr>
          <w:rFonts w:cstheme="minorHAnsi"/>
        </w:rPr>
        <w:t xml:space="preserve"> </w:t>
      </w:r>
      <w:r w:rsidR="00E23101" w:rsidRPr="001F52A8">
        <w:rPr>
          <w:rFonts w:cstheme="minorHAnsi"/>
        </w:rPr>
        <w:t>overs</w:t>
      </w:r>
      <w:r w:rsidR="00C71ED0">
        <w:rPr>
          <w:rFonts w:cstheme="minorHAnsi"/>
        </w:rPr>
        <w:t>eeing</w:t>
      </w:r>
      <w:r w:rsidR="009135CC" w:rsidRPr="001F52A8">
        <w:rPr>
          <w:rFonts w:cstheme="minorHAnsi"/>
        </w:rPr>
        <w:t xml:space="preserve"> sacrifices</w:t>
      </w:r>
      <w:r w:rsidR="004846AF">
        <w:rPr>
          <w:rFonts w:cstheme="minorHAnsi"/>
        </w:rPr>
        <w:t xml:space="preserve"> indicated that they did not acknowledge Yahweh (2:12</w:t>
      </w:r>
      <w:r w:rsidR="006A79F6">
        <w:rPr>
          <w:rFonts w:cstheme="minorHAnsi"/>
        </w:rPr>
        <w:t>-17</w:t>
      </w:r>
      <w:r w:rsidR="00621E42">
        <w:rPr>
          <w:rFonts w:cstheme="minorHAnsi"/>
        </w:rPr>
        <w:t>)</w:t>
      </w:r>
      <w:r w:rsidR="009135CC" w:rsidRPr="001F52A8">
        <w:rPr>
          <w:rFonts w:cstheme="minorHAnsi"/>
        </w:rPr>
        <w:t xml:space="preserve">. </w:t>
      </w:r>
      <w:r w:rsidR="00EA3CAE" w:rsidRPr="001F52A8">
        <w:rPr>
          <w:rFonts w:cstheme="minorHAnsi"/>
        </w:rPr>
        <w:t xml:space="preserve">While </w:t>
      </w:r>
      <w:r w:rsidR="004A58CA" w:rsidRPr="001F52A8">
        <w:rPr>
          <w:rFonts w:cstheme="minorHAnsi"/>
        </w:rPr>
        <w:t>being priests m</w:t>
      </w:r>
      <w:r w:rsidR="009135CC" w:rsidRPr="001F52A8">
        <w:rPr>
          <w:rFonts w:cstheme="minorHAnsi"/>
        </w:rPr>
        <w:t>ay</w:t>
      </w:r>
      <w:r w:rsidR="004A58CA" w:rsidRPr="001F52A8">
        <w:rPr>
          <w:rFonts w:cstheme="minorHAnsi"/>
        </w:rPr>
        <w:t xml:space="preserve"> not have been a fulltime job and </w:t>
      </w:r>
      <w:r w:rsidR="00B013D9" w:rsidRPr="001F52A8">
        <w:rPr>
          <w:rFonts w:cstheme="minorHAnsi"/>
        </w:rPr>
        <w:t>they</w:t>
      </w:r>
      <w:r w:rsidR="00EA3CAE" w:rsidRPr="001F52A8">
        <w:rPr>
          <w:rFonts w:cstheme="minorHAnsi"/>
        </w:rPr>
        <w:t xml:space="preserve"> m</w:t>
      </w:r>
      <w:r w:rsidR="009135CC" w:rsidRPr="001F52A8">
        <w:rPr>
          <w:rFonts w:cstheme="minorHAnsi"/>
        </w:rPr>
        <w:t>ay</w:t>
      </w:r>
      <w:r w:rsidR="00EA3CAE" w:rsidRPr="001F52A8">
        <w:rPr>
          <w:rFonts w:cstheme="minorHAnsi"/>
        </w:rPr>
        <w:t xml:space="preserve"> </w:t>
      </w:r>
      <w:r w:rsidR="004A58CA" w:rsidRPr="001F52A8">
        <w:rPr>
          <w:rFonts w:cstheme="minorHAnsi"/>
        </w:rPr>
        <w:t xml:space="preserve">have </w:t>
      </w:r>
      <w:r w:rsidR="00C96D4A">
        <w:rPr>
          <w:rFonts w:cstheme="minorHAnsi"/>
        </w:rPr>
        <w:t xml:space="preserve">also </w:t>
      </w:r>
      <w:r w:rsidR="004A58CA" w:rsidRPr="001F52A8">
        <w:rPr>
          <w:rFonts w:cstheme="minorHAnsi"/>
        </w:rPr>
        <w:t xml:space="preserve">worked the land, like Jerusalem </w:t>
      </w:r>
      <w:r w:rsidR="00B013D9" w:rsidRPr="001F52A8">
        <w:rPr>
          <w:rFonts w:cstheme="minorHAnsi"/>
        </w:rPr>
        <w:t>priests,</w:t>
      </w:r>
      <w:r w:rsidR="0073416D">
        <w:rPr>
          <w:rFonts w:cstheme="minorHAnsi"/>
        </w:rPr>
        <w:t xml:space="preserve"> </w:t>
      </w:r>
      <w:r w:rsidR="001A225D" w:rsidRPr="001F52A8">
        <w:rPr>
          <w:rFonts w:cstheme="minorHAnsi"/>
        </w:rPr>
        <w:t xml:space="preserve">their priestly work </w:t>
      </w:r>
      <w:r w:rsidR="003B0702">
        <w:rPr>
          <w:rFonts w:cstheme="minorHAnsi"/>
        </w:rPr>
        <w:t xml:space="preserve">did </w:t>
      </w:r>
      <w:r w:rsidR="0073416D">
        <w:rPr>
          <w:rFonts w:cstheme="minorHAnsi"/>
        </w:rPr>
        <w:t xml:space="preserve">entitle them to </w:t>
      </w:r>
      <w:r w:rsidR="001A225D" w:rsidRPr="001F52A8">
        <w:rPr>
          <w:rFonts w:cstheme="minorHAnsi"/>
        </w:rPr>
        <w:t>a share in sacrifices</w:t>
      </w:r>
      <w:r w:rsidR="000704B6" w:rsidRPr="001F52A8">
        <w:rPr>
          <w:rFonts w:cstheme="minorHAnsi"/>
        </w:rPr>
        <w:t xml:space="preserve">, </w:t>
      </w:r>
      <w:r w:rsidR="00B10F0C" w:rsidRPr="001F52A8">
        <w:rPr>
          <w:rFonts w:cstheme="minorHAnsi"/>
        </w:rPr>
        <w:t xml:space="preserve">and through </w:t>
      </w:r>
      <w:r w:rsidR="00923DDF" w:rsidRPr="001F52A8">
        <w:rPr>
          <w:rFonts w:cstheme="minorHAnsi"/>
        </w:rPr>
        <w:t>the</w:t>
      </w:r>
      <w:r w:rsidR="00B10F0C" w:rsidRPr="001F52A8">
        <w:rPr>
          <w:rFonts w:cstheme="minorHAnsi"/>
        </w:rPr>
        <w:t xml:space="preserve"> boy who assisted them they insisted on </w:t>
      </w:r>
      <w:r w:rsidR="002C1900" w:rsidRPr="001F52A8">
        <w:rPr>
          <w:rFonts w:cstheme="minorHAnsi"/>
        </w:rPr>
        <w:t xml:space="preserve">a cut that was other than </w:t>
      </w:r>
      <w:r w:rsidR="007F4C74" w:rsidRPr="001F52A8">
        <w:rPr>
          <w:rFonts w:cstheme="minorHAnsi"/>
        </w:rPr>
        <w:t xml:space="preserve">was allowed by </w:t>
      </w:r>
      <w:r w:rsidR="00334125" w:rsidRPr="001F52A8">
        <w:rPr>
          <w:rFonts w:cstheme="minorHAnsi"/>
        </w:rPr>
        <w:t xml:space="preserve">the </w:t>
      </w:r>
      <w:r w:rsidR="00470EF4" w:rsidRPr="001F52A8">
        <w:rPr>
          <w:rFonts w:cstheme="minorHAnsi"/>
        </w:rPr>
        <w:t>“</w:t>
      </w:r>
      <w:r w:rsidR="00334125" w:rsidRPr="001F52A8">
        <w:rPr>
          <w:rFonts w:cstheme="minorHAnsi"/>
        </w:rPr>
        <w:t>rule</w:t>
      </w:r>
      <w:r w:rsidR="00470EF4" w:rsidRPr="001F52A8">
        <w:rPr>
          <w:rFonts w:cstheme="minorHAnsi"/>
        </w:rPr>
        <w:t xml:space="preserve">” for </w:t>
      </w:r>
      <w:r w:rsidR="003A0581" w:rsidRPr="001F52A8">
        <w:rPr>
          <w:rFonts w:cstheme="minorHAnsi"/>
        </w:rPr>
        <w:t>priests</w:t>
      </w:r>
      <w:r w:rsidR="004F2299" w:rsidRPr="001F52A8">
        <w:rPr>
          <w:rFonts w:cstheme="minorHAnsi"/>
        </w:rPr>
        <w:t>. W</w:t>
      </w:r>
      <w:r w:rsidR="00470EF4" w:rsidRPr="001F52A8">
        <w:rPr>
          <w:rFonts w:cstheme="minorHAnsi"/>
        </w:rPr>
        <w:t>e don’t know what the rule at Shiloh would have been</w:t>
      </w:r>
      <w:r w:rsidR="004F2299" w:rsidRPr="001F52A8">
        <w:rPr>
          <w:rFonts w:cstheme="minorHAnsi"/>
        </w:rPr>
        <w:t xml:space="preserve">, nor is it clear what they insisted on, but their </w:t>
      </w:r>
      <w:r w:rsidR="00EF086E" w:rsidRPr="001F52A8">
        <w:rPr>
          <w:rFonts w:cstheme="minorHAnsi"/>
        </w:rPr>
        <w:t xml:space="preserve">claim evidently </w:t>
      </w:r>
      <w:r w:rsidR="00A760DB" w:rsidRPr="001F52A8">
        <w:rPr>
          <w:rFonts w:cstheme="minorHAnsi"/>
        </w:rPr>
        <w:t xml:space="preserve">ignored the </w:t>
      </w:r>
      <w:r w:rsidR="00F33BEE" w:rsidRPr="001F52A8">
        <w:rPr>
          <w:rFonts w:cstheme="minorHAnsi"/>
        </w:rPr>
        <w:t>sacrifices</w:t>
      </w:r>
      <w:r w:rsidR="00F33BEE">
        <w:rPr>
          <w:rFonts w:cstheme="minorHAnsi"/>
        </w:rPr>
        <w:t xml:space="preserve">’ </w:t>
      </w:r>
      <w:r w:rsidR="00552B63" w:rsidRPr="001F52A8">
        <w:rPr>
          <w:rFonts w:cstheme="minorHAnsi"/>
        </w:rPr>
        <w:t>significance for the people who brought them</w:t>
      </w:r>
      <w:r w:rsidR="003A0581" w:rsidRPr="001F52A8">
        <w:rPr>
          <w:rFonts w:cstheme="minorHAnsi"/>
        </w:rPr>
        <w:t xml:space="preserve"> and</w:t>
      </w:r>
      <w:r w:rsidR="00552B63" w:rsidRPr="001F52A8">
        <w:rPr>
          <w:rFonts w:cstheme="minorHAnsi"/>
        </w:rPr>
        <w:t xml:space="preserve"> </w:t>
      </w:r>
      <w:r w:rsidR="00A31646" w:rsidRPr="001F52A8">
        <w:rPr>
          <w:rFonts w:cstheme="minorHAnsi"/>
        </w:rPr>
        <w:t xml:space="preserve">also </w:t>
      </w:r>
      <w:r w:rsidR="003A0581" w:rsidRPr="001F52A8">
        <w:rPr>
          <w:rFonts w:cstheme="minorHAnsi"/>
        </w:rPr>
        <w:t>signified that</w:t>
      </w:r>
      <w:r w:rsidR="00A31646" w:rsidRPr="001F52A8">
        <w:rPr>
          <w:rFonts w:cstheme="minorHAnsi"/>
        </w:rPr>
        <w:t xml:space="preserve"> </w:t>
      </w:r>
      <w:r w:rsidR="00332691">
        <w:rPr>
          <w:rFonts w:cstheme="minorHAnsi"/>
        </w:rPr>
        <w:t>“</w:t>
      </w:r>
      <w:r w:rsidR="00A31646" w:rsidRPr="001F52A8">
        <w:rPr>
          <w:rFonts w:cstheme="minorHAnsi"/>
        </w:rPr>
        <w:t>they</w:t>
      </w:r>
      <w:r w:rsidR="009A4E4D" w:rsidRPr="001F52A8">
        <w:rPr>
          <w:rFonts w:cstheme="minorHAnsi"/>
        </w:rPr>
        <w:t xml:space="preserve"> treated</w:t>
      </w:r>
      <w:r w:rsidR="00A31646" w:rsidRPr="001F52A8">
        <w:rPr>
          <w:rFonts w:cstheme="minorHAnsi"/>
        </w:rPr>
        <w:t xml:space="preserve"> Yahweh’s offering</w:t>
      </w:r>
      <w:r w:rsidR="00332691">
        <w:rPr>
          <w:rFonts w:cstheme="minorHAnsi"/>
        </w:rPr>
        <w:t>s</w:t>
      </w:r>
      <w:r w:rsidR="00A31646" w:rsidRPr="001F52A8">
        <w:rPr>
          <w:rFonts w:cstheme="minorHAnsi"/>
        </w:rPr>
        <w:t xml:space="preserve"> </w:t>
      </w:r>
      <w:r w:rsidR="00543A38" w:rsidRPr="001F52A8">
        <w:rPr>
          <w:rFonts w:cstheme="minorHAnsi"/>
        </w:rPr>
        <w:t>with contempt</w:t>
      </w:r>
      <w:r w:rsidR="00E22124">
        <w:rPr>
          <w:rFonts w:cstheme="minorHAnsi"/>
        </w:rPr>
        <w:t>”</w:t>
      </w:r>
      <w:r w:rsidR="00543A38" w:rsidRPr="001F52A8">
        <w:rPr>
          <w:rFonts w:cstheme="minorHAnsi"/>
        </w:rPr>
        <w:t xml:space="preserve"> </w:t>
      </w:r>
      <w:r w:rsidR="00A31646" w:rsidRPr="001F52A8">
        <w:rPr>
          <w:rFonts w:cstheme="minorHAnsi"/>
        </w:rPr>
        <w:t>(</w:t>
      </w:r>
      <w:r w:rsidR="00976729" w:rsidRPr="001F52A8">
        <w:rPr>
          <w:rFonts w:cstheme="minorHAnsi"/>
        </w:rPr>
        <w:t>cf. 2</w:t>
      </w:r>
      <w:r w:rsidR="00640A24" w:rsidRPr="001F52A8">
        <w:rPr>
          <w:rFonts w:cstheme="minorHAnsi"/>
        </w:rPr>
        <w:t>:28</w:t>
      </w:r>
      <w:r w:rsidR="00DB7B03" w:rsidRPr="001F52A8">
        <w:rPr>
          <w:rFonts w:cstheme="minorHAnsi"/>
        </w:rPr>
        <w:t>-</w:t>
      </w:r>
      <w:r w:rsidR="00640A24" w:rsidRPr="001F52A8">
        <w:rPr>
          <w:rFonts w:cstheme="minorHAnsi"/>
        </w:rPr>
        <w:t>29</w:t>
      </w:r>
      <w:r w:rsidR="00A31646" w:rsidRPr="001F52A8">
        <w:rPr>
          <w:rFonts w:cstheme="minorHAnsi"/>
        </w:rPr>
        <w:t>)</w:t>
      </w:r>
      <w:r w:rsidR="00840FE4">
        <w:rPr>
          <w:rFonts w:cstheme="minorHAnsi"/>
        </w:rPr>
        <w:t xml:space="preserve"> and </w:t>
      </w:r>
      <w:r w:rsidR="00981430">
        <w:rPr>
          <w:rFonts w:cstheme="minorHAnsi"/>
        </w:rPr>
        <w:t xml:space="preserve">were </w:t>
      </w:r>
      <w:r w:rsidR="00840FE4">
        <w:rPr>
          <w:rFonts w:cstheme="minorHAnsi"/>
        </w:rPr>
        <w:t>“slighting”</w:t>
      </w:r>
      <w:r w:rsidR="009E2640" w:rsidRPr="001F52A8">
        <w:rPr>
          <w:rFonts w:cstheme="minorHAnsi"/>
        </w:rPr>
        <w:t xml:space="preserve"> </w:t>
      </w:r>
      <w:r w:rsidR="00840FE4">
        <w:rPr>
          <w:rFonts w:cstheme="minorHAnsi"/>
        </w:rPr>
        <w:t>(</w:t>
      </w:r>
      <w:r w:rsidR="00311E35" w:rsidRPr="001F52A8">
        <w:rPr>
          <w:rFonts w:cstheme="minorHAnsi"/>
        </w:rPr>
        <w:t>3:</w:t>
      </w:r>
      <w:r w:rsidR="00311E35" w:rsidRPr="003433EA">
        <w:rPr>
          <w:rFonts w:cstheme="minorHAnsi"/>
        </w:rPr>
        <w:t>13</w:t>
      </w:r>
      <w:r w:rsidR="00840FE4" w:rsidRPr="003433EA">
        <w:rPr>
          <w:rFonts w:cstheme="minorHAnsi"/>
        </w:rPr>
        <w:t>)</w:t>
      </w:r>
      <w:r w:rsidR="00311E35" w:rsidRPr="003433EA">
        <w:rPr>
          <w:rFonts w:cstheme="minorHAnsi"/>
        </w:rPr>
        <w:t>.</w:t>
      </w:r>
      <w:r w:rsidR="003433EA" w:rsidRPr="003433EA">
        <w:rPr>
          <w:rStyle w:val="FootnoteReference"/>
          <w:rFonts w:cstheme="minorHAnsi"/>
        </w:rPr>
        <w:footnoteReference w:id="65"/>
      </w:r>
      <w:r w:rsidR="00766F42" w:rsidRPr="003433EA">
        <w:rPr>
          <w:rFonts w:cstheme="minorHAnsi"/>
        </w:rPr>
        <w:t xml:space="preserve"> </w:t>
      </w:r>
      <w:r w:rsidR="00367896" w:rsidRPr="003433EA">
        <w:rPr>
          <w:rFonts w:cstheme="minorHAnsi"/>
        </w:rPr>
        <w:t>In</w:t>
      </w:r>
      <w:r w:rsidR="00367896" w:rsidRPr="001F52A8">
        <w:rPr>
          <w:rFonts w:cstheme="minorHAnsi"/>
        </w:rPr>
        <w:t xml:space="preserve"> addition, the</w:t>
      </w:r>
      <w:r w:rsidR="00241A7D">
        <w:rPr>
          <w:rFonts w:cstheme="minorHAnsi"/>
        </w:rPr>
        <w:t>y</w:t>
      </w:r>
      <w:r w:rsidR="00367896" w:rsidRPr="001F52A8">
        <w:rPr>
          <w:rFonts w:cstheme="minorHAnsi"/>
        </w:rPr>
        <w:t xml:space="preserve"> were in sexual relationships with women ministers on duty at the meeting tent entrance (2:22)</w:t>
      </w:r>
      <w:r w:rsidR="00950AE4" w:rsidRPr="001F52A8">
        <w:rPr>
          <w:rFonts w:cstheme="minorHAnsi"/>
        </w:rPr>
        <w:t>,</w:t>
      </w:r>
      <w:r w:rsidR="00766F42" w:rsidRPr="001F52A8">
        <w:rPr>
          <w:rFonts w:cstheme="minorHAnsi"/>
        </w:rPr>
        <w:t xml:space="preserve"> </w:t>
      </w:r>
      <w:r w:rsidR="00950AE4" w:rsidRPr="001F52A8">
        <w:rPr>
          <w:rFonts w:cstheme="minorHAnsi"/>
        </w:rPr>
        <w:t>apparently people with roles like those of the Levites</w:t>
      </w:r>
      <w:r w:rsidR="002C57C2" w:rsidRPr="001F52A8">
        <w:rPr>
          <w:rFonts w:cstheme="minorHAnsi"/>
        </w:rPr>
        <w:t xml:space="preserve">. </w:t>
      </w:r>
    </w:p>
    <w:p w14:paraId="32CA1C1E" w14:textId="49C00BE3" w:rsidR="00AA4C18" w:rsidRPr="001F52A8" w:rsidRDefault="004C55F0" w:rsidP="007B74CE">
      <w:pPr>
        <w:pStyle w:val="Default"/>
        <w:ind w:firstLine="720"/>
        <w:rPr>
          <w:rFonts w:asciiTheme="minorHAnsi" w:hAnsiTheme="minorHAnsi" w:cstheme="minorHAnsi"/>
          <w:color w:val="auto"/>
          <w:sz w:val="22"/>
          <w:szCs w:val="22"/>
        </w:rPr>
      </w:pPr>
      <w:r w:rsidRPr="001F52A8">
        <w:rPr>
          <w:rFonts w:asciiTheme="minorHAnsi" w:hAnsiTheme="minorHAnsi" w:cstheme="minorHAnsi"/>
          <w:color w:val="auto"/>
          <w:sz w:val="22"/>
          <w:szCs w:val="22"/>
        </w:rPr>
        <w:t>The</w:t>
      </w:r>
      <w:r w:rsidR="00507B24">
        <w:rPr>
          <w:rFonts w:asciiTheme="minorHAnsi" w:hAnsiTheme="minorHAnsi" w:cstheme="minorHAnsi"/>
          <w:color w:val="auto"/>
          <w:sz w:val="22"/>
          <w:szCs w:val="22"/>
        </w:rPr>
        <w:t>y we</w:t>
      </w:r>
      <w:r w:rsidR="00071653" w:rsidRPr="001F52A8">
        <w:rPr>
          <w:rFonts w:asciiTheme="minorHAnsi" w:hAnsiTheme="minorHAnsi" w:cstheme="minorHAnsi"/>
          <w:color w:val="auto"/>
          <w:sz w:val="22"/>
          <w:szCs w:val="22"/>
        </w:rPr>
        <w:t>re thus involved in two common ministerial failings. Their ministry bec</w:t>
      </w:r>
      <w:r w:rsidR="009277F8">
        <w:rPr>
          <w:rFonts w:asciiTheme="minorHAnsi" w:hAnsiTheme="minorHAnsi" w:cstheme="minorHAnsi"/>
          <w:color w:val="auto"/>
          <w:sz w:val="22"/>
          <w:szCs w:val="22"/>
        </w:rPr>
        <w:t>ame</w:t>
      </w:r>
      <w:r w:rsidR="00071653" w:rsidRPr="001F52A8">
        <w:rPr>
          <w:rFonts w:asciiTheme="minorHAnsi" w:hAnsiTheme="minorHAnsi" w:cstheme="minorHAnsi"/>
          <w:color w:val="auto"/>
          <w:sz w:val="22"/>
          <w:szCs w:val="22"/>
        </w:rPr>
        <w:t xml:space="preserve"> something in which they </w:t>
      </w:r>
      <w:r w:rsidR="001576A1">
        <w:rPr>
          <w:rFonts w:asciiTheme="minorHAnsi" w:hAnsiTheme="minorHAnsi" w:cstheme="minorHAnsi"/>
          <w:color w:val="auto"/>
          <w:sz w:val="22"/>
          <w:szCs w:val="22"/>
        </w:rPr>
        <w:t>engaged</w:t>
      </w:r>
      <w:r w:rsidR="00071653" w:rsidRPr="001F52A8">
        <w:rPr>
          <w:rFonts w:asciiTheme="minorHAnsi" w:hAnsiTheme="minorHAnsi" w:cstheme="minorHAnsi"/>
          <w:color w:val="auto"/>
          <w:sz w:val="22"/>
          <w:szCs w:val="22"/>
        </w:rPr>
        <w:t xml:space="preserve"> for their own benefit. And they </w:t>
      </w:r>
      <w:r w:rsidR="001576A1">
        <w:rPr>
          <w:rFonts w:asciiTheme="minorHAnsi" w:hAnsiTheme="minorHAnsi" w:cstheme="minorHAnsi"/>
          <w:color w:val="auto"/>
          <w:sz w:val="22"/>
          <w:szCs w:val="22"/>
        </w:rPr>
        <w:t>we</w:t>
      </w:r>
      <w:r w:rsidR="00071653" w:rsidRPr="001F52A8">
        <w:rPr>
          <w:rFonts w:asciiTheme="minorHAnsi" w:hAnsiTheme="minorHAnsi" w:cstheme="minorHAnsi"/>
          <w:color w:val="auto"/>
          <w:sz w:val="22"/>
          <w:szCs w:val="22"/>
        </w:rPr>
        <w:t xml:space="preserve">re in </w:t>
      </w:r>
      <w:r w:rsidR="00FF36AD">
        <w:rPr>
          <w:rFonts w:asciiTheme="minorHAnsi" w:hAnsiTheme="minorHAnsi" w:cstheme="minorHAnsi"/>
          <w:color w:val="auto"/>
          <w:sz w:val="22"/>
          <w:szCs w:val="22"/>
        </w:rPr>
        <w:t xml:space="preserve">these </w:t>
      </w:r>
      <w:r w:rsidR="00071653" w:rsidRPr="001F52A8">
        <w:rPr>
          <w:rFonts w:asciiTheme="minorHAnsi" w:hAnsiTheme="minorHAnsi" w:cstheme="minorHAnsi"/>
          <w:color w:val="auto"/>
          <w:sz w:val="22"/>
          <w:szCs w:val="22"/>
        </w:rPr>
        <w:t xml:space="preserve">sexual relationships with </w:t>
      </w:r>
      <w:r w:rsidR="004F5B96">
        <w:rPr>
          <w:rFonts w:asciiTheme="minorHAnsi" w:hAnsiTheme="minorHAnsi" w:cstheme="minorHAnsi"/>
          <w:color w:val="auto"/>
          <w:sz w:val="22"/>
          <w:szCs w:val="22"/>
        </w:rPr>
        <w:t>people</w:t>
      </w:r>
      <w:r w:rsidR="00B95B3C" w:rsidRPr="001F52A8">
        <w:rPr>
          <w:rFonts w:asciiTheme="minorHAnsi" w:hAnsiTheme="minorHAnsi" w:cstheme="minorHAnsi"/>
          <w:color w:val="auto"/>
          <w:sz w:val="22"/>
          <w:szCs w:val="22"/>
        </w:rPr>
        <w:t xml:space="preserve"> who work</w:t>
      </w:r>
      <w:r w:rsidR="0013723A">
        <w:rPr>
          <w:rFonts w:asciiTheme="minorHAnsi" w:hAnsiTheme="minorHAnsi" w:cstheme="minorHAnsi"/>
          <w:color w:val="auto"/>
          <w:sz w:val="22"/>
          <w:szCs w:val="22"/>
        </w:rPr>
        <w:t>ed</w:t>
      </w:r>
      <w:r w:rsidR="00B95B3C" w:rsidRPr="001F52A8">
        <w:rPr>
          <w:rFonts w:asciiTheme="minorHAnsi" w:hAnsiTheme="minorHAnsi" w:cstheme="minorHAnsi"/>
          <w:color w:val="auto"/>
          <w:sz w:val="22"/>
          <w:szCs w:val="22"/>
        </w:rPr>
        <w:t xml:space="preserve"> with them, specifically with people who ha</w:t>
      </w:r>
      <w:r w:rsidR="002571D6">
        <w:rPr>
          <w:rFonts w:asciiTheme="minorHAnsi" w:hAnsiTheme="minorHAnsi" w:cstheme="minorHAnsi"/>
          <w:color w:val="auto"/>
          <w:sz w:val="22"/>
          <w:szCs w:val="22"/>
        </w:rPr>
        <w:t>d</w:t>
      </w:r>
      <w:r w:rsidR="00B95B3C" w:rsidRPr="001F52A8">
        <w:rPr>
          <w:rFonts w:asciiTheme="minorHAnsi" w:hAnsiTheme="minorHAnsi" w:cstheme="minorHAnsi"/>
          <w:color w:val="auto"/>
          <w:sz w:val="22"/>
          <w:szCs w:val="22"/>
        </w:rPr>
        <w:t xml:space="preserve"> less </w:t>
      </w:r>
      <w:r w:rsidR="00C75E3E" w:rsidRPr="001F52A8">
        <w:rPr>
          <w:rFonts w:asciiTheme="minorHAnsi" w:hAnsiTheme="minorHAnsi" w:cstheme="minorHAnsi"/>
          <w:color w:val="auto"/>
          <w:sz w:val="22"/>
          <w:szCs w:val="22"/>
        </w:rPr>
        <w:t>power than the</w:t>
      </w:r>
      <w:r w:rsidR="002571D6">
        <w:rPr>
          <w:rFonts w:asciiTheme="minorHAnsi" w:hAnsiTheme="minorHAnsi" w:cstheme="minorHAnsi"/>
          <w:color w:val="auto"/>
          <w:sz w:val="22"/>
          <w:szCs w:val="22"/>
        </w:rPr>
        <w:t>m</w:t>
      </w:r>
      <w:r w:rsidR="00C75E3E" w:rsidRPr="001F52A8">
        <w:rPr>
          <w:rFonts w:asciiTheme="minorHAnsi" w:hAnsiTheme="minorHAnsi" w:cstheme="minorHAnsi"/>
          <w:color w:val="auto"/>
          <w:sz w:val="22"/>
          <w:szCs w:val="22"/>
        </w:rPr>
        <w:t>.</w:t>
      </w:r>
      <w:r w:rsidR="00BF757C" w:rsidRPr="001F52A8">
        <w:rPr>
          <w:rFonts w:asciiTheme="minorHAnsi" w:hAnsiTheme="minorHAnsi" w:cstheme="minorHAnsi"/>
          <w:color w:val="auto"/>
          <w:sz w:val="22"/>
          <w:szCs w:val="22"/>
        </w:rPr>
        <w:t xml:space="preserve"> When the next generation follow their parents in ministry, it may work well, but it has risks attached; the parents may have a hard time disciplining their offspring and</w:t>
      </w:r>
      <w:r w:rsidR="004B71CC">
        <w:rPr>
          <w:rFonts w:asciiTheme="minorHAnsi" w:hAnsiTheme="minorHAnsi" w:cstheme="minorHAnsi"/>
          <w:color w:val="auto"/>
          <w:sz w:val="22"/>
          <w:szCs w:val="22"/>
        </w:rPr>
        <w:t xml:space="preserve"> </w:t>
      </w:r>
      <w:r w:rsidR="00BF757C" w:rsidRPr="001F52A8">
        <w:rPr>
          <w:rFonts w:asciiTheme="minorHAnsi" w:hAnsiTheme="minorHAnsi" w:cstheme="minorHAnsi"/>
          <w:color w:val="auto"/>
          <w:sz w:val="22"/>
          <w:szCs w:val="22"/>
        </w:rPr>
        <w:t>take risks with and for them.</w:t>
      </w:r>
      <w:r w:rsidR="00F06682" w:rsidRPr="001F52A8">
        <w:rPr>
          <w:rFonts w:asciiTheme="minorHAnsi" w:hAnsiTheme="minorHAnsi" w:cstheme="minorHAnsi"/>
          <w:color w:val="auto"/>
          <w:sz w:val="22"/>
          <w:szCs w:val="22"/>
        </w:rPr>
        <w:t xml:space="preserve"> </w:t>
      </w:r>
      <w:r w:rsidR="00AA4C18" w:rsidRPr="001F52A8">
        <w:rPr>
          <w:rFonts w:asciiTheme="minorHAnsi" w:hAnsiTheme="minorHAnsi" w:cstheme="minorHAnsi"/>
          <w:color w:val="auto"/>
          <w:sz w:val="22"/>
          <w:szCs w:val="22"/>
        </w:rPr>
        <w:t>Engagement in ministry is dangerous in its temptations and in its penalties</w:t>
      </w:r>
      <w:r w:rsidR="008B6165">
        <w:rPr>
          <w:rFonts w:asciiTheme="minorHAnsi" w:hAnsiTheme="minorHAnsi" w:cstheme="minorHAnsi"/>
          <w:color w:val="auto"/>
          <w:sz w:val="22"/>
          <w:szCs w:val="22"/>
        </w:rPr>
        <w:t>, and m</w:t>
      </w:r>
      <w:r w:rsidR="00A77D05" w:rsidRPr="001F52A8">
        <w:rPr>
          <w:rFonts w:asciiTheme="minorHAnsi" w:hAnsiTheme="minorHAnsi" w:cstheme="minorHAnsi"/>
          <w:color w:val="auto"/>
          <w:sz w:val="22"/>
          <w:szCs w:val="22"/>
        </w:rPr>
        <w:t>inisters</w:t>
      </w:r>
      <w:r w:rsidR="00AA4C18" w:rsidRPr="001F52A8">
        <w:rPr>
          <w:rFonts w:asciiTheme="minorHAnsi" w:hAnsiTheme="minorHAnsi" w:cstheme="minorHAnsi"/>
          <w:color w:val="auto"/>
          <w:sz w:val="22"/>
          <w:szCs w:val="22"/>
        </w:rPr>
        <w:t xml:space="preserve"> run greater risks than lay people. </w:t>
      </w:r>
      <w:r w:rsidR="00936C03" w:rsidRPr="001F52A8">
        <w:rPr>
          <w:rFonts w:asciiTheme="minorHAnsi" w:hAnsiTheme="minorHAnsi" w:cstheme="minorHAnsi"/>
          <w:color w:val="auto"/>
          <w:sz w:val="22"/>
          <w:szCs w:val="22"/>
        </w:rPr>
        <w:t xml:space="preserve">Eli makes the </w:t>
      </w:r>
      <w:r w:rsidR="00212BCC" w:rsidRPr="001F52A8">
        <w:rPr>
          <w:rFonts w:asciiTheme="minorHAnsi" w:hAnsiTheme="minorHAnsi" w:cstheme="minorHAnsi"/>
          <w:color w:val="auto"/>
          <w:sz w:val="22"/>
          <w:szCs w:val="22"/>
        </w:rPr>
        <w:t xml:space="preserve">point </w:t>
      </w:r>
      <w:r w:rsidR="00936C03" w:rsidRPr="001F52A8">
        <w:rPr>
          <w:rFonts w:asciiTheme="minorHAnsi" w:hAnsiTheme="minorHAnsi" w:cstheme="minorHAnsi"/>
          <w:color w:val="auto"/>
          <w:sz w:val="22"/>
          <w:szCs w:val="22"/>
        </w:rPr>
        <w:t>in a</w:t>
      </w:r>
      <w:r w:rsidR="00231316">
        <w:rPr>
          <w:rFonts w:asciiTheme="minorHAnsi" w:hAnsiTheme="minorHAnsi" w:cstheme="minorHAnsi"/>
          <w:color w:val="auto"/>
          <w:sz w:val="22"/>
          <w:szCs w:val="22"/>
        </w:rPr>
        <w:t>n</w:t>
      </w:r>
      <w:r w:rsidR="000738F8" w:rsidRPr="001F52A8">
        <w:rPr>
          <w:rFonts w:asciiTheme="minorHAnsi" w:hAnsiTheme="minorHAnsi" w:cstheme="minorHAnsi"/>
          <w:color w:val="auto"/>
          <w:sz w:val="22"/>
          <w:szCs w:val="22"/>
        </w:rPr>
        <w:t xml:space="preserve"> abstruse way, but the idea is clear: s</w:t>
      </w:r>
      <w:r w:rsidR="00BD7045" w:rsidRPr="001F52A8">
        <w:rPr>
          <w:rFonts w:asciiTheme="minorHAnsi" w:hAnsiTheme="minorHAnsi" w:cstheme="minorHAnsi"/>
          <w:color w:val="auto"/>
          <w:sz w:val="22"/>
          <w:szCs w:val="22"/>
        </w:rPr>
        <w:t xml:space="preserve">omeone who </w:t>
      </w:r>
      <w:r w:rsidR="00252018" w:rsidRPr="001F52A8">
        <w:rPr>
          <w:rFonts w:asciiTheme="minorHAnsi" w:hAnsiTheme="minorHAnsi" w:cstheme="minorHAnsi"/>
          <w:color w:val="auto"/>
          <w:sz w:val="22"/>
          <w:szCs w:val="22"/>
        </w:rPr>
        <w:t>offends</w:t>
      </w:r>
      <w:r w:rsidR="007B74CE" w:rsidRPr="001F52A8">
        <w:rPr>
          <w:rFonts w:asciiTheme="minorHAnsi" w:hAnsiTheme="minorHAnsi" w:cstheme="minorHAnsi"/>
          <w:color w:val="auto"/>
          <w:sz w:val="22"/>
          <w:szCs w:val="22"/>
        </w:rPr>
        <w:t xml:space="preserve"> against another human being</w:t>
      </w:r>
      <w:r w:rsidR="00AA4C18" w:rsidRPr="001F52A8">
        <w:rPr>
          <w:rFonts w:asciiTheme="minorHAnsi" w:hAnsiTheme="minorHAnsi" w:cstheme="minorHAnsi"/>
          <w:color w:val="auto"/>
          <w:sz w:val="22"/>
          <w:szCs w:val="22"/>
        </w:rPr>
        <w:t xml:space="preserve"> can get</w:t>
      </w:r>
      <w:r w:rsidR="00853663" w:rsidRPr="001F52A8">
        <w:rPr>
          <w:rFonts w:asciiTheme="minorHAnsi" w:hAnsiTheme="minorHAnsi" w:cstheme="minorHAnsi"/>
          <w:color w:val="auto"/>
          <w:sz w:val="22"/>
          <w:szCs w:val="22"/>
        </w:rPr>
        <w:t xml:space="preserve"> Yahweh </w:t>
      </w:r>
      <w:r w:rsidR="007B74CE" w:rsidRPr="001F52A8">
        <w:rPr>
          <w:rFonts w:asciiTheme="minorHAnsi" w:hAnsiTheme="minorHAnsi" w:cstheme="minorHAnsi"/>
          <w:color w:val="auto"/>
          <w:sz w:val="22"/>
          <w:szCs w:val="22"/>
        </w:rPr>
        <w:t>to</w:t>
      </w:r>
      <w:r w:rsidR="00853663" w:rsidRPr="001F52A8">
        <w:rPr>
          <w:rFonts w:asciiTheme="minorHAnsi" w:hAnsiTheme="minorHAnsi" w:cstheme="minorHAnsi"/>
          <w:color w:val="auto"/>
          <w:sz w:val="22"/>
          <w:szCs w:val="22"/>
        </w:rPr>
        <w:t xml:space="preserve"> plead for them</w:t>
      </w:r>
      <w:r w:rsidR="000738F8" w:rsidRPr="001F52A8">
        <w:rPr>
          <w:rFonts w:asciiTheme="minorHAnsi" w:hAnsiTheme="minorHAnsi" w:cstheme="minorHAnsi"/>
          <w:color w:val="auto"/>
          <w:sz w:val="22"/>
          <w:szCs w:val="22"/>
        </w:rPr>
        <w:t>, but s</w:t>
      </w:r>
      <w:r w:rsidR="0062707E" w:rsidRPr="001F52A8">
        <w:rPr>
          <w:rFonts w:asciiTheme="minorHAnsi" w:hAnsiTheme="minorHAnsi" w:cstheme="minorHAnsi"/>
          <w:color w:val="auto"/>
          <w:sz w:val="22"/>
          <w:szCs w:val="22"/>
        </w:rPr>
        <w:t xml:space="preserve">omeone who </w:t>
      </w:r>
      <w:r w:rsidR="0074599F" w:rsidRPr="001F52A8">
        <w:rPr>
          <w:rFonts w:asciiTheme="minorHAnsi" w:hAnsiTheme="minorHAnsi" w:cstheme="minorHAnsi"/>
          <w:color w:val="auto"/>
          <w:sz w:val="22"/>
          <w:szCs w:val="22"/>
        </w:rPr>
        <w:t xml:space="preserve">offends against Yahweh </w:t>
      </w:r>
      <w:r w:rsidR="00552B07" w:rsidRPr="001F52A8">
        <w:rPr>
          <w:rFonts w:asciiTheme="minorHAnsi" w:hAnsiTheme="minorHAnsi" w:cstheme="minorHAnsi"/>
          <w:color w:val="auto"/>
          <w:sz w:val="22"/>
          <w:szCs w:val="22"/>
        </w:rPr>
        <w:t>has</w:t>
      </w:r>
      <w:r w:rsidR="00AA4C18" w:rsidRPr="001F52A8">
        <w:rPr>
          <w:rFonts w:asciiTheme="minorHAnsi" w:hAnsiTheme="minorHAnsi" w:cstheme="minorHAnsi"/>
          <w:color w:val="auto"/>
          <w:sz w:val="22"/>
          <w:szCs w:val="22"/>
        </w:rPr>
        <w:t xml:space="preserve"> no one who can help them</w:t>
      </w:r>
      <w:r w:rsidR="00F06682" w:rsidRPr="001F52A8">
        <w:rPr>
          <w:rFonts w:asciiTheme="minorHAnsi" w:hAnsiTheme="minorHAnsi" w:cstheme="minorHAnsi"/>
          <w:color w:val="auto"/>
          <w:sz w:val="22"/>
          <w:szCs w:val="22"/>
        </w:rPr>
        <w:t xml:space="preserve"> (2:25).</w:t>
      </w:r>
      <w:r w:rsidR="00C46FE7" w:rsidRPr="001F52A8">
        <w:rPr>
          <w:rFonts w:asciiTheme="minorHAnsi" w:hAnsiTheme="minorHAnsi" w:cstheme="minorHAnsi"/>
          <w:color w:val="auto"/>
          <w:sz w:val="22"/>
          <w:szCs w:val="22"/>
        </w:rPr>
        <w:t xml:space="preserve"> </w:t>
      </w:r>
      <w:r w:rsidR="004801F4">
        <w:rPr>
          <w:rFonts w:asciiTheme="minorHAnsi" w:hAnsiTheme="minorHAnsi" w:cstheme="minorHAnsi"/>
          <w:color w:val="auto"/>
          <w:sz w:val="22"/>
          <w:szCs w:val="22"/>
        </w:rPr>
        <w:t>Eli</w:t>
      </w:r>
      <w:r w:rsidR="009571FF">
        <w:rPr>
          <w:rFonts w:asciiTheme="minorHAnsi" w:hAnsiTheme="minorHAnsi" w:cstheme="minorHAnsi"/>
          <w:color w:val="auto"/>
          <w:sz w:val="22"/>
          <w:szCs w:val="22"/>
        </w:rPr>
        <w:t xml:space="preserve"> may imply</w:t>
      </w:r>
      <w:r w:rsidR="00C46FE7" w:rsidRPr="001F52A8">
        <w:rPr>
          <w:rFonts w:asciiTheme="minorHAnsi" w:hAnsiTheme="minorHAnsi" w:cstheme="minorHAnsi"/>
          <w:color w:val="auto"/>
          <w:sz w:val="22"/>
          <w:szCs w:val="22"/>
        </w:rPr>
        <w:t xml:space="preserve"> that “ordinary” sexual wrongdoing </w:t>
      </w:r>
      <w:r w:rsidR="00F76A85" w:rsidRPr="001F52A8">
        <w:rPr>
          <w:rFonts w:asciiTheme="minorHAnsi" w:hAnsiTheme="minorHAnsi" w:cstheme="minorHAnsi"/>
          <w:color w:val="auto"/>
          <w:sz w:val="22"/>
          <w:szCs w:val="22"/>
        </w:rPr>
        <w:t>is one thing, but sexual sin in the context of the service of Yahweh is a whole other level of wrongdoing.</w:t>
      </w:r>
    </w:p>
    <w:p w14:paraId="47EED66E" w14:textId="23BC2C8D" w:rsidR="0009098A" w:rsidRPr="00F2464B" w:rsidRDefault="00F2464B" w:rsidP="00F2464B">
      <w:r w:rsidRPr="001F52A8">
        <w:rPr>
          <w:rFonts w:cstheme="minorHAnsi"/>
        </w:rPr>
        <w:t>Eli</w:t>
      </w:r>
      <w:r>
        <w:rPr>
          <w:rFonts w:cstheme="minorHAnsi"/>
        </w:rPr>
        <w:t xml:space="preserve"> knew his</w:t>
      </w:r>
      <w:r w:rsidRPr="001F52A8">
        <w:rPr>
          <w:rFonts w:cstheme="minorHAnsi"/>
        </w:rPr>
        <w:t xml:space="preserve"> sons were slighting God </w:t>
      </w:r>
      <w:r>
        <w:rPr>
          <w:rFonts w:cstheme="minorHAnsi"/>
        </w:rPr>
        <w:t>and</w:t>
      </w:r>
      <w:r w:rsidRPr="001F52A8">
        <w:rPr>
          <w:rFonts w:cstheme="minorHAnsi"/>
        </w:rPr>
        <w:t xml:space="preserve"> </w:t>
      </w:r>
      <w:r>
        <w:rPr>
          <w:rFonts w:cstheme="minorHAnsi"/>
        </w:rPr>
        <w:t xml:space="preserve">he </w:t>
      </w:r>
      <w:r w:rsidRPr="001F52A8">
        <w:rPr>
          <w:rFonts w:cstheme="minorHAnsi"/>
        </w:rPr>
        <w:t>did not “restrain”</w:t>
      </w:r>
      <w:r w:rsidRPr="001F52A8">
        <w:t xml:space="preserve"> them (3:13). </w:t>
      </w:r>
      <w:r w:rsidR="006B45FD">
        <w:t>H</w:t>
      </w:r>
      <w:r w:rsidRPr="001F52A8">
        <w:t>e had tried</w:t>
      </w:r>
      <w:r w:rsidR="00C72B56">
        <w:t>,</w:t>
      </w:r>
      <w:r w:rsidRPr="001F52A8">
        <w:t xml:space="preserve"> but failed (2:22-25),</w:t>
      </w:r>
      <w:r w:rsidRPr="00F2464B">
        <w:t xml:space="preserve"> </w:t>
      </w:r>
      <w:r w:rsidRPr="001F52A8">
        <w:t>as priest and father</w:t>
      </w:r>
      <w:r>
        <w:t>,</w:t>
      </w:r>
      <w:r w:rsidRPr="001F52A8">
        <w:rPr>
          <w:rStyle w:val="FootnoteReference"/>
        </w:rPr>
        <w:footnoteReference w:id="66"/>
      </w:r>
      <w:r w:rsidRPr="001F52A8">
        <w:t xml:space="preserve"> and terrible consequences will follow. </w:t>
      </w:r>
      <w:r w:rsidR="00CC18AC">
        <w:rPr>
          <w:rFonts w:cstheme="minorHAnsi"/>
        </w:rPr>
        <w:t xml:space="preserve">The </w:t>
      </w:r>
      <w:r w:rsidR="00F369BB" w:rsidRPr="001F52A8">
        <w:rPr>
          <w:rFonts w:cstheme="minorHAnsi"/>
        </w:rPr>
        <w:t xml:space="preserve">tragedy </w:t>
      </w:r>
      <w:r>
        <w:rPr>
          <w:rFonts w:cstheme="minorHAnsi"/>
        </w:rPr>
        <w:t xml:space="preserve">will </w:t>
      </w:r>
      <w:r w:rsidR="00F369BB" w:rsidRPr="001F52A8">
        <w:rPr>
          <w:rFonts w:cstheme="minorHAnsi"/>
        </w:rPr>
        <w:t xml:space="preserve">extend beyond </w:t>
      </w:r>
      <w:r w:rsidR="00415DB8">
        <w:rPr>
          <w:rFonts w:cstheme="minorHAnsi"/>
        </w:rPr>
        <w:t>the immediate family</w:t>
      </w:r>
      <w:r w:rsidR="00F369BB" w:rsidRPr="001F52A8">
        <w:rPr>
          <w:rFonts w:cstheme="minorHAnsi"/>
        </w:rPr>
        <w:t xml:space="preserve">. Joining some dots in the First Testament story, one may infer that Eli was a descendant of Aaron, though </w:t>
      </w:r>
      <w:r w:rsidR="00EA59AE">
        <w:rPr>
          <w:rFonts w:cstheme="minorHAnsi"/>
        </w:rPr>
        <w:t>possibly</w:t>
      </w:r>
      <w:r w:rsidR="00F369BB" w:rsidRPr="001F52A8">
        <w:rPr>
          <w:rFonts w:cstheme="minorHAnsi"/>
        </w:rPr>
        <w:t xml:space="preserve"> admitted to that line by adoption. </w:t>
      </w:r>
      <w:r w:rsidR="006D123B" w:rsidRPr="001F52A8">
        <w:rPr>
          <w:rFonts w:cstheme="minorHAnsi"/>
        </w:rPr>
        <w:t xml:space="preserve">“I definitely said that your household and your father’s household would go about before me </w:t>
      </w:r>
      <w:r w:rsidR="0009098A" w:rsidRPr="001F52A8">
        <w:rPr>
          <w:rFonts w:cstheme="minorHAnsi"/>
        </w:rPr>
        <w:t xml:space="preserve">for </w:t>
      </w:r>
      <w:r w:rsidR="006D123B" w:rsidRPr="001F52A8">
        <w:rPr>
          <w:rFonts w:cstheme="minorHAnsi"/>
        </w:rPr>
        <w:t>al</w:t>
      </w:r>
      <w:r w:rsidR="0009098A" w:rsidRPr="001F52A8">
        <w:rPr>
          <w:rFonts w:cstheme="minorHAnsi"/>
        </w:rPr>
        <w:t>l time</w:t>
      </w:r>
      <w:r w:rsidR="006D123B" w:rsidRPr="001F52A8">
        <w:rPr>
          <w:rFonts w:cstheme="minorHAnsi"/>
        </w:rPr>
        <w:t xml:space="preserve">. But now (Yahweh’s affirmation) – a profanity to me. Because I honor people who honor me, but people who despise me will be slighted” (2:30). </w:t>
      </w:r>
      <w:r w:rsidR="0039055B" w:rsidRPr="001F52A8">
        <w:rPr>
          <w:rFonts w:cstheme="minorHAnsi"/>
        </w:rPr>
        <w:t>“The fact that he utters the expletive is unparalleled in the Hebrew Bible” and “shows the depths of his disappointment and indignation.”</w:t>
      </w:r>
      <w:r w:rsidR="0039055B" w:rsidRPr="001F52A8">
        <w:rPr>
          <w:rStyle w:val="FootnoteReference"/>
          <w:rFonts w:cstheme="minorHAnsi"/>
        </w:rPr>
        <w:footnoteReference w:id="67"/>
      </w:r>
      <w:r w:rsidR="00FF152C" w:rsidRPr="001F52A8">
        <w:rPr>
          <w:rFonts w:cstheme="minorHAnsi"/>
        </w:rPr>
        <w:t xml:space="preserve"> It means that “</w:t>
      </w:r>
      <w:r w:rsidR="0009098A" w:rsidRPr="001F52A8">
        <w:rPr>
          <w:rFonts w:cstheme="minorHAnsi"/>
        </w:rPr>
        <w:t>for all time</w:t>
      </w:r>
      <w:r w:rsidR="00FF152C" w:rsidRPr="001F52A8">
        <w:rPr>
          <w:rFonts w:cstheme="minorHAnsi"/>
        </w:rPr>
        <w:t>” (</w:t>
      </w:r>
      <w:r w:rsidR="00FF152C" w:rsidRPr="001F52A8">
        <w:rPr>
          <w:rFonts w:cstheme="minorHAnsi"/>
          <w:i/>
          <w:iCs/>
        </w:rPr>
        <w:t>‘ad-‘ôlām</w:t>
      </w:r>
      <w:r w:rsidR="00FF152C" w:rsidRPr="001F52A8">
        <w:rPr>
          <w:rFonts w:cstheme="minorHAnsi"/>
        </w:rPr>
        <w:t xml:space="preserve">) </w:t>
      </w:r>
      <w:r w:rsidR="006032D6" w:rsidRPr="001F52A8">
        <w:rPr>
          <w:rFonts w:cstheme="minorHAnsi"/>
        </w:rPr>
        <w:t>may not mean “</w:t>
      </w:r>
      <w:r w:rsidR="0009098A" w:rsidRPr="001F52A8">
        <w:rPr>
          <w:rFonts w:cstheme="minorHAnsi"/>
        </w:rPr>
        <w:t>for all time</w:t>
      </w:r>
      <w:r w:rsidR="00846623" w:rsidRPr="001F52A8">
        <w:rPr>
          <w:rFonts w:cstheme="minorHAnsi"/>
        </w:rPr>
        <w:t xml:space="preserve">.” </w:t>
      </w:r>
      <w:r w:rsidR="0092434F">
        <w:rPr>
          <w:rFonts w:cstheme="minorHAnsi"/>
        </w:rPr>
        <w:t>Saul’s</w:t>
      </w:r>
      <w:r w:rsidR="00846623" w:rsidRPr="001F52A8">
        <w:rPr>
          <w:rFonts w:cstheme="minorHAnsi"/>
        </w:rPr>
        <w:t xml:space="preserve"> story </w:t>
      </w:r>
      <w:r w:rsidR="001D58ED">
        <w:rPr>
          <w:rFonts w:cstheme="minorHAnsi"/>
        </w:rPr>
        <w:t xml:space="preserve">will </w:t>
      </w:r>
      <w:r w:rsidR="000E071A">
        <w:rPr>
          <w:rFonts w:cstheme="minorHAnsi"/>
        </w:rPr>
        <w:t xml:space="preserve">implicitly </w:t>
      </w:r>
      <w:r w:rsidR="00846623" w:rsidRPr="001F52A8">
        <w:rPr>
          <w:rFonts w:cstheme="minorHAnsi"/>
        </w:rPr>
        <w:t xml:space="preserve">take up this question </w:t>
      </w:r>
      <w:r w:rsidR="00E941BB">
        <w:rPr>
          <w:rFonts w:cstheme="minorHAnsi"/>
        </w:rPr>
        <w:t>and the question</w:t>
      </w:r>
      <w:r w:rsidR="00846623" w:rsidRPr="001F52A8">
        <w:rPr>
          <w:rFonts w:cstheme="minorHAnsi"/>
        </w:rPr>
        <w:t xml:space="preserve"> of whether Yahweh can have a change of mind about things</w:t>
      </w:r>
      <w:r w:rsidR="0017480F" w:rsidRPr="001F52A8">
        <w:rPr>
          <w:rFonts w:cstheme="minorHAnsi"/>
        </w:rPr>
        <w:t xml:space="preserve"> (</w:t>
      </w:r>
      <w:r w:rsidR="00E941BB">
        <w:rPr>
          <w:rFonts w:cstheme="minorHAnsi"/>
        </w:rPr>
        <w:t>13:13</w:t>
      </w:r>
      <w:r w:rsidR="00826AD3">
        <w:rPr>
          <w:rFonts w:cstheme="minorHAnsi"/>
        </w:rPr>
        <w:t>-14</w:t>
      </w:r>
      <w:r w:rsidR="00E941BB">
        <w:rPr>
          <w:rFonts w:cstheme="minorHAnsi"/>
        </w:rPr>
        <w:t xml:space="preserve">; </w:t>
      </w:r>
      <w:r w:rsidR="0017480F" w:rsidRPr="001F52A8">
        <w:rPr>
          <w:rFonts w:cstheme="minorHAnsi"/>
        </w:rPr>
        <w:t>15:10</w:t>
      </w:r>
      <w:r w:rsidR="00DB7B03" w:rsidRPr="001F52A8">
        <w:rPr>
          <w:rFonts w:cstheme="minorHAnsi"/>
        </w:rPr>
        <w:t>-</w:t>
      </w:r>
      <w:r w:rsidR="0017480F" w:rsidRPr="001F52A8">
        <w:rPr>
          <w:rFonts w:cstheme="minorHAnsi"/>
        </w:rPr>
        <w:t>35)</w:t>
      </w:r>
      <w:r w:rsidR="00DE6E51">
        <w:rPr>
          <w:rFonts w:cstheme="minorHAnsi"/>
        </w:rPr>
        <w:t>, as will</w:t>
      </w:r>
      <w:r w:rsidR="0017480F" w:rsidRPr="001F52A8">
        <w:rPr>
          <w:rFonts w:cstheme="minorHAnsi"/>
        </w:rPr>
        <w:t xml:space="preserve"> </w:t>
      </w:r>
      <w:r w:rsidR="002040F7" w:rsidRPr="001F52A8">
        <w:rPr>
          <w:rFonts w:cstheme="minorHAnsi"/>
        </w:rPr>
        <w:t>David</w:t>
      </w:r>
      <w:r w:rsidR="006566DF">
        <w:rPr>
          <w:rFonts w:cstheme="minorHAnsi"/>
        </w:rPr>
        <w:t>’s story</w:t>
      </w:r>
      <w:r w:rsidR="002040F7" w:rsidRPr="001F52A8">
        <w:rPr>
          <w:rFonts w:cstheme="minorHAnsi"/>
        </w:rPr>
        <w:t xml:space="preserve"> </w:t>
      </w:r>
      <w:r w:rsidR="0009098A" w:rsidRPr="001F52A8">
        <w:rPr>
          <w:rFonts w:cstheme="minorHAnsi"/>
        </w:rPr>
        <w:t>when Yahweh commits himself to David “for all time.</w:t>
      </w:r>
      <w:r w:rsidR="00621932">
        <w:rPr>
          <w:rFonts w:cstheme="minorHAnsi"/>
        </w:rPr>
        <w:t>”</w:t>
      </w:r>
      <w:r w:rsidR="0062500A" w:rsidRPr="001F52A8">
        <w:rPr>
          <w:rFonts w:cstheme="minorHAnsi"/>
        </w:rPr>
        <w:t xml:space="preserve"> </w:t>
      </w:r>
      <w:r w:rsidR="00815DF9" w:rsidRPr="001F52A8">
        <w:rPr>
          <w:rFonts w:cstheme="minorHAnsi"/>
        </w:rPr>
        <w:t xml:space="preserve">A commitment on Yahweh’s part expects a reciprocal </w:t>
      </w:r>
      <w:r w:rsidR="00815DF9" w:rsidRPr="001F52A8">
        <w:rPr>
          <w:rFonts w:cstheme="minorHAnsi"/>
        </w:rPr>
        <w:lastRenderedPageBreak/>
        <w:t>commitment</w:t>
      </w:r>
      <w:r w:rsidR="00092191" w:rsidRPr="001F52A8">
        <w:rPr>
          <w:rFonts w:cstheme="minorHAnsi"/>
        </w:rPr>
        <w:t xml:space="preserve">. Yahweh is free to maintain his commitment when its beneficiaries </w:t>
      </w:r>
      <w:r w:rsidR="00E7612E" w:rsidRPr="001F52A8">
        <w:rPr>
          <w:rFonts w:cstheme="minorHAnsi"/>
        </w:rPr>
        <w:t>fail in theirs</w:t>
      </w:r>
      <w:r w:rsidR="00621932">
        <w:rPr>
          <w:rFonts w:cstheme="minorHAnsi"/>
        </w:rPr>
        <w:t>; it</w:t>
      </w:r>
      <w:r w:rsidR="00E7612E" w:rsidRPr="001F52A8">
        <w:rPr>
          <w:rFonts w:cstheme="minorHAnsi"/>
        </w:rPr>
        <w:t xml:space="preserve"> is an aspect of the meaning of </w:t>
      </w:r>
      <w:r w:rsidR="00E7612E" w:rsidRPr="001F52A8">
        <w:rPr>
          <w:rFonts w:cstheme="minorHAnsi"/>
          <w:i/>
          <w:iCs/>
        </w:rPr>
        <w:t>ḥesed</w:t>
      </w:r>
      <w:r w:rsidR="005B451A" w:rsidRPr="001F52A8">
        <w:rPr>
          <w:rFonts w:cstheme="minorHAnsi"/>
        </w:rPr>
        <w:t>, the word translated by expressions such as “steadfast love</w:t>
      </w:r>
      <w:r w:rsidR="006657C8" w:rsidRPr="001F52A8">
        <w:rPr>
          <w:rFonts w:cstheme="minorHAnsi"/>
        </w:rPr>
        <w:t xml:space="preserve">” </w:t>
      </w:r>
      <w:r w:rsidR="001D404A">
        <w:rPr>
          <w:rFonts w:cstheme="minorHAnsi"/>
        </w:rPr>
        <w:t>(</w:t>
      </w:r>
      <w:r w:rsidR="006657C8" w:rsidRPr="001F52A8">
        <w:rPr>
          <w:rFonts w:cstheme="minorHAnsi"/>
        </w:rPr>
        <w:t>2 Sam 7:15</w:t>
      </w:r>
      <w:r w:rsidR="00543EFD" w:rsidRPr="001F52A8">
        <w:rPr>
          <w:rFonts w:cstheme="minorHAnsi"/>
        </w:rPr>
        <w:t>; 22:51</w:t>
      </w:r>
      <w:r w:rsidR="006657C8" w:rsidRPr="001F52A8">
        <w:rPr>
          <w:rFonts w:cstheme="minorHAnsi"/>
        </w:rPr>
        <w:t>)</w:t>
      </w:r>
      <w:r w:rsidR="001C5C7B" w:rsidRPr="001F52A8">
        <w:rPr>
          <w:rFonts w:cstheme="minorHAnsi"/>
        </w:rPr>
        <w:t>. But he is also free eventually to decide “That’s it!</w:t>
      </w:r>
      <w:r w:rsidR="009563FD" w:rsidRPr="001F52A8">
        <w:rPr>
          <w:rFonts w:cstheme="minorHAnsi"/>
        </w:rPr>
        <w:t xml:space="preserve">” on the basis of the principle </w:t>
      </w:r>
      <w:r w:rsidR="001C2E60">
        <w:rPr>
          <w:rFonts w:cstheme="minorHAnsi"/>
        </w:rPr>
        <w:t>of the relationship being</w:t>
      </w:r>
      <w:r w:rsidR="009563FD" w:rsidRPr="001F52A8">
        <w:rPr>
          <w:rFonts w:cstheme="minorHAnsi"/>
        </w:rPr>
        <w:t xml:space="preserve"> reciprocal</w:t>
      </w:r>
      <w:r w:rsidR="00B8003E" w:rsidRPr="001F52A8">
        <w:rPr>
          <w:rFonts w:cstheme="minorHAnsi"/>
        </w:rPr>
        <w:t>:</w:t>
      </w:r>
      <w:r w:rsidR="009563FD" w:rsidRPr="001F52A8">
        <w:rPr>
          <w:rFonts w:cstheme="minorHAnsi"/>
        </w:rPr>
        <w:t xml:space="preserve"> “I honor people who honor me, but people who despise me will be slighted.”</w:t>
      </w:r>
      <w:r w:rsidR="00B8003E" w:rsidRPr="001F52A8">
        <w:rPr>
          <w:rFonts w:cstheme="minorHAnsi"/>
        </w:rPr>
        <w:t xml:space="preserve"> </w:t>
      </w:r>
      <w:r w:rsidR="00BD3FCA">
        <w:rPr>
          <w:rFonts w:cstheme="minorHAnsi"/>
        </w:rPr>
        <w:t xml:space="preserve">Eli’s line did not </w:t>
      </w:r>
      <w:r w:rsidR="007818A3">
        <w:rPr>
          <w:rFonts w:cstheme="minorHAnsi"/>
        </w:rPr>
        <w:t>acquire their</w:t>
      </w:r>
      <w:r w:rsidR="007818A3" w:rsidRPr="001F52A8">
        <w:rPr>
          <w:rFonts w:cstheme="minorHAnsi"/>
        </w:rPr>
        <w:t xml:space="preserve"> </w:t>
      </w:r>
      <w:r w:rsidR="007818A3">
        <w:rPr>
          <w:rFonts w:cstheme="minorHAnsi"/>
        </w:rPr>
        <w:t xml:space="preserve">position because they </w:t>
      </w:r>
      <w:r w:rsidR="00BD3FCA">
        <w:rPr>
          <w:rFonts w:cstheme="minorHAnsi"/>
        </w:rPr>
        <w:t>undert</w:t>
      </w:r>
      <w:r w:rsidR="007818A3">
        <w:rPr>
          <w:rFonts w:cstheme="minorHAnsi"/>
        </w:rPr>
        <w:t>ook</w:t>
      </w:r>
      <w:r w:rsidR="00BD3FCA">
        <w:rPr>
          <w:rFonts w:cstheme="minorHAnsi"/>
        </w:rPr>
        <w:t xml:space="preserve"> some commitment</w:t>
      </w:r>
      <w:r w:rsidR="005F569B" w:rsidRPr="001F52A8">
        <w:rPr>
          <w:rFonts w:cstheme="minorHAnsi"/>
        </w:rPr>
        <w:t>, but they ha</w:t>
      </w:r>
      <w:r w:rsidR="00AA27C5">
        <w:rPr>
          <w:rFonts w:cstheme="minorHAnsi"/>
        </w:rPr>
        <w:t>d</w:t>
      </w:r>
      <w:r w:rsidR="005F569B" w:rsidRPr="001F52A8">
        <w:rPr>
          <w:rFonts w:cstheme="minorHAnsi"/>
        </w:rPr>
        <w:t xml:space="preserve"> to </w:t>
      </w:r>
      <w:r w:rsidR="007818A3">
        <w:rPr>
          <w:rFonts w:cstheme="minorHAnsi"/>
        </w:rPr>
        <w:t xml:space="preserve">maintain </w:t>
      </w:r>
      <w:r w:rsidR="0043479A">
        <w:rPr>
          <w:rFonts w:cstheme="minorHAnsi"/>
        </w:rPr>
        <w:t xml:space="preserve">a commitment </w:t>
      </w:r>
      <w:r w:rsidR="007D1D75" w:rsidRPr="001F52A8">
        <w:rPr>
          <w:rFonts w:cstheme="minorHAnsi"/>
        </w:rPr>
        <w:t xml:space="preserve">to be sure of staying in </w:t>
      </w:r>
      <w:r w:rsidR="00AA27C5">
        <w:rPr>
          <w:rFonts w:cstheme="minorHAnsi"/>
        </w:rPr>
        <w:t>their position.</w:t>
      </w:r>
    </w:p>
    <w:p w14:paraId="0FC1E445" w14:textId="6395834E" w:rsidR="001675ED" w:rsidRPr="009C2EB8" w:rsidRDefault="00F670C6" w:rsidP="009C2EB8">
      <w:pPr>
        <w:rPr>
          <w:rFonts w:cstheme="minorHAnsi"/>
        </w:rPr>
      </w:pPr>
      <w:r w:rsidRPr="001F52A8">
        <w:rPr>
          <w:rFonts w:cstheme="minorHAnsi"/>
        </w:rPr>
        <w:t xml:space="preserve">So </w:t>
      </w:r>
      <w:r w:rsidR="00B7017F" w:rsidRPr="001F52A8">
        <w:rPr>
          <w:rFonts w:cstheme="minorHAnsi"/>
        </w:rPr>
        <w:t xml:space="preserve">Yahweh is going to </w:t>
      </w:r>
      <w:r w:rsidR="00D31D69" w:rsidRPr="001F52A8">
        <w:rPr>
          <w:rFonts w:cstheme="minorHAnsi"/>
        </w:rPr>
        <w:t xml:space="preserve">exercise his authority as judge </w:t>
      </w:r>
      <w:r w:rsidR="0076443E" w:rsidRPr="001F52A8">
        <w:rPr>
          <w:rFonts w:cstheme="minorHAnsi"/>
        </w:rPr>
        <w:t xml:space="preserve">on Eli’s household </w:t>
      </w:r>
      <w:r w:rsidR="00A14579">
        <w:rPr>
          <w:rFonts w:cstheme="minorHAnsi"/>
        </w:rPr>
        <w:t>“</w:t>
      </w:r>
      <w:r w:rsidR="0076443E" w:rsidRPr="001F52A8">
        <w:rPr>
          <w:rFonts w:cstheme="minorHAnsi"/>
        </w:rPr>
        <w:t>for all time</w:t>
      </w:r>
      <w:r w:rsidR="00DF490F" w:rsidRPr="001F52A8">
        <w:rPr>
          <w:rFonts w:cstheme="minorHAnsi"/>
        </w:rPr>
        <w:t>,</w:t>
      </w:r>
      <w:r w:rsidR="00A14579">
        <w:rPr>
          <w:rFonts w:cstheme="minorHAnsi"/>
        </w:rPr>
        <w:t>”</w:t>
      </w:r>
      <w:r w:rsidR="00DF490F" w:rsidRPr="001F52A8">
        <w:rPr>
          <w:rFonts w:cstheme="minorHAnsi"/>
        </w:rPr>
        <w:t xml:space="preserve"> and its </w:t>
      </w:r>
      <w:r w:rsidR="001D309B" w:rsidRPr="001F52A8">
        <w:rPr>
          <w:rFonts w:cstheme="minorHAnsi"/>
        </w:rPr>
        <w:t xml:space="preserve">waywardness will not be </w:t>
      </w:r>
      <w:r w:rsidR="003768B6">
        <w:rPr>
          <w:rFonts w:cstheme="minorHAnsi"/>
        </w:rPr>
        <w:t>open to expiation</w:t>
      </w:r>
      <w:r w:rsidR="001D309B" w:rsidRPr="001F52A8">
        <w:rPr>
          <w:rFonts w:cstheme="minorHAnsi"/>
        </w:rPr>
        <w:t xml:space="preserve"> </w:t>
      </w:r>
      <w:r w:rsidR="000C0371">
        <w:rPr>
          <w:rFonts w:cstheme="minorHAnsi"/>
        </w:rPr>
        <w:t>“</w:t>
      </w:r>
      <w:r w:rsidR="001D309B" w:rsidRPr="001F52A8">
        <w:rPr>
          <w:rFonts w:cstheme="minorHAnsi"/>
        </w:rPr>
        <w:t>for all time</w:t>
      </w:r>
      <w:r w:rsidR="000C0371">
        <w:rPr>
          <w:rFonts w:cstheme="minorHAnsi"/>
        </w:rPr>
        <w:t>”</w:t>
      </w:r>
      <w:r w:rsidR="001D309B" w:rsidRPr="001F52A8">
        <w:rPr>
          <w:rFonts w:cstheme="minorHAnsi"/>
        </w:rPr>
        <w:t xml:space="preserve"> (3:13</w:t>
      </w:r>
      <w:r w:rsidR="00DB7B03" w:rsidRPr="001F52A8">
        <w:rPr>
          <w:rFonts w:cstheme="minorHAnsi"/>
        </w:rPr>
        <w:t>-</w:t>
      </w:r>
      <w:r w:rsidR="001D309B" w:rsidRPr="001F52A8">
        <w:rPr>
          <w:rFonts w:cstheme="minorHAnsi"/>
        </w:rPr>
        <w:t xml:space="preserve">14). </w:t>
      </w:r>
      <w:r w:rsidR="003F4611">
        <w:rPr>
          <w:rFonts w:ascii="Calibri" w:hAnsi="Calibri" w:cs="Calibri"/>
        </w:rPr>
        <w:t>As t</w:t>
      </w:r>
      <w:r w:rsidR="00081EE1" w:rsidRPr="001F52A8">
        <w:rPr>
          <w:rFonts w:ascii="Calibri" w:hAnsi="Calibri" w:cs="Calibri"/>
        </w:rPr>
        <w:t>he promise had been</w:t>
      </w:r>
      <w:r w:rsidR="00074630" w:rsidRPr="001F52A8">
        <w:rPr>
          <w:rFonts w:ascii="Calibri" w:hAnsi="Calibri" w:cs="Calibri"/>
        </w:rPr>
        <w:t xml:space="preserve"> for al</w:t>
      </w:r>
      <w:r w:rsidR="00955E7C" w:rsidRPr="001F52A8">
        <w:rPr>
          <w:rFonts w:ascii="Calibri" w:hAnsi="Calibri" w:cs="Calibri"/>
        </w:rPr>
        <w:t>l</w:t>
      </w:r>
      <w:r w:rsidR="00074630" w:rsidRPr="001F52A8">
        <w:rPr>
          <w:rFonts w:ascii="Calibri" w:hAnsi="Calibri" w:cs="Calibri"/>
        </w:rPr>
        <w:t xml:space="preserve"> time</w:t>
      </w:r>
      <w:r w:rsidR="003F4611">
        <w:rPr>
          <w:rFonts w:ascii="Calibri" w:hAnsi="Calibri" w:cs="Calibri"/>
        </w:rPr>
        <w:t>,</w:t>
      </w:r>
      <w:r w:rsidR="00595C4C" w:rsidRPr="001F52A8">
        <w:rPr>
          <w:rFonts w:ascii="Calibri" w:hAnsi="Calibri" w:cs="Calibri"/>
        </w:rPr>
        <w:t xml:space="preserve"> now the threat is</w:t>
      </w:r>
      <w:r w:rsidR="006D1C54" w:rsidRPr="001F52A8">
        <w:rPr>
          <w:rFonts w:ascii="Calibri" w:hAnsi="Calibri" w:cs="Calibri"/>
        </w:rPr>
        <w:t>.</w:t>
      </w:r>
      <w:r w:rsidR="00FB0830" w:rsidRPr="001F52A8">
        <w:rPr>
          <w:rFonts w:ascii="Calibri" w:hAnsi="Calibri" w:cs="Calibri"/>
        </w:rPr>
        <w:t xml:space="preserve"> </w:t>
      </w:r>
      <w:r w:rsidR="00B25E1B" w:rsidRPr="001F52A8">
        <w:rPr>
          <w:rFonts w:ascii="Calibri" w:hAnsi="Calibri" w:cs="Calibri"/>
        </w:rPr>
        <w:t>Eli responds, “</w:t>
      </w:r>
      <w:r w:rsidR="00351BE3" w:rsidRPr="001F52A8">
        <w:rPr>
          <w:rFonts w:ascii="Calibri" w:hAnsi="Calibri" w:cs="Calibri"/>
        </w:rPr>
        <w:t xml:space="preserve">He is Yahweh: </w:t>
      </w:r>
      <w:r w:rsidR="00A76BE6" w:rsidRPr="001F52A8">
        <w:rPr>
          <w:rFonts w:ascii="Calibri" w:hAnsi="Calibri" w:cs="Calibri"/>
        </w:rPr>
        <w:t xml:space="preserve">that which is good in his eyes, he will do” </w:t>
      </w:r>
      <w:r w:rsidR="000C35B8" w:rsidRPr="001F52A8">
        <w:rPr>
          <w:rFonts w:ascii="Calibri" w:hAnsi="Calibri" w:cs="Calibri"/>
        </w:rPr>
        <w:t xml:space="preserve">or “he must do” </w:t>
      </w:r>
      <w:r w:rsidR="00A76BE6" w:rsidRPr="001F52A8">
        <w:rPr>
          <w:rFonts w:ascii="Calibri" w:hAnsi="Calibri" w:cs="Calibri"/>
        </w:rPr>
        <w:t xml:space="preserve">(3:18). </w:t>
      </w:r>
      <w:r w:rsidR="009C2EB8">
        <w:rPr>
          <w:rFonts w:ascii="Calibri" w:hAnsi="Calibri" w:cs="Calibri"/>
        </w:rPr>
        <w:t>Though it</w:t>
      </w:r>
      <w:r w:rsidR="000C35B8" w:rsidRPr="001F52A8">
        <w:rPr>
          <w:rFonts w:ascii="Calibri" w:hAnsi="Calibri" w:cs="Calibri"/>
        </w:rPr>
        <w:t xml:space="preserve"> might be a simple recognition that the </w:t>
      </w:r>
      <w:r w:rsidR="00107937" w:rsidRPr="001F52A8">
        <w:rPr>
          <w:rFonts w:ascii="Calibri" w:hAnsi="Calibri" w:cs="Calibri"/>
        </w:rPr>
        <w:t>catastrophe must happen</w:t>
      </w:r>
      <w:r w:rsidR="009C2EB8">
        <w:rPr>
          <w:rFonts w:ascii="Calibri" w:hAnsi="Calibri" w:cs="Calibri"/>
        </w:rPr>
        <w:t>,</w:t>
      </w:r>
      <w:r w:rsidR="00107937" w:rsidRPr="001F52A8">
        <w:rPr>
          <w:rFonts w:cstheme="minorHAnsi"/>
        </w:rPr>
        <w:t xml:space="preserve"> it is a slightly open statement</w:t>
      </w:r>
      <w:r w:rsidR="009C2EB8">
        <w:rPr>
          <w:rFonts w:cstheme="minorHAnsi"/>
        </w:rPr>
        <w:t>, hinting that</w:t>
      </w:r>
      <w:r w:rsidR="00107937" w:rsidRPr="001F52A8">
        <w:rPr>
          <w:rFonts w:cstheme="minorHAnsi"/>
        </w:rPr>
        <w:t xml:space="preserve"> there might be hope</w:t>
      </w:r>
      <w:r w:rsidR="00C05142" w:rsidRPr="001F52A8">
        <w:rPr>
          <w:rFonts w:cstheme="minorHAnsi"/>
        </w:rPr>
        <w:t>.</w:t>
      </w:r>
      <w:r w:rsidR="00107937" w:rsidRPr="001F52A8">
        <w:rPr>
          <w:rStyle w:val="FootnoteReference"/>
          <w:rFonts w:cstheme="minorHAnsi"/>
        </w:rPr>
        <w:footnoteReference w:id="68"/>
      </w:r>
      <w:r w:rsidR="00C05142" w:rsidRPr="001F52A8">
        <w:rPr>
          <w:rFonts w:cstheme="minorHAnsi"/>
        </w:rPr>
        <w:t xml:space="preserve"> </w:t>
      </w:r>
      <w:r w:rsidR="00107937" w:rsidRPr="001F52A8">
        <w:rPr>
          <w:rFonts w:cstheme="minorHAnsi"/>
        </w:rPr>
        <w:t>If the positive “for all time” might not mean what it says, maybe the negative one needn’t?</w:t>
      </w:r>
      <w:r w:rsidR="009C2EB8">
        <w:rPr>
          <w:rFonts w:cstheme="minorHAnsi"/>
        </w:rPr>
        <w:t xml:space="preserve"> </w:t>
      </w:r>
      <w:r w:rsidR="005F365C" w:rsidRPr="001F52A8">
        <w:rPr>
          <w:rFonts w:ascii="Calibri" w:hAnsi="Calibri" w:cs="Calibri"/>
        </w:rPr>
        <w:t>Actually, t</w:t>
      </w:r>
      <w:r w:rsidR="00FB0830" w:rsidRPr="001F52A8">
        <w:rPr>
          <w:rFonts w:ascii="Calibri" w:hAnsi="Calibri" w:cs="Calibri"/>
        </w:rPr>
        <w:t xml:space="preserve">he </w:t>
      </w:r>
      <w:r w:rsidR="00492EB4">
        <w:rPr>
          <w:rFonts w:ascii="Calibri" w:hAnsi="Calibri" w:cs="Calibri"/>
        </w:rPr>
        <w:t>calamity soon begins</w:t>
      </w:r>
      <w:r w:rsidR="00F6368F" w:rsidRPr="001F52A8">
        <w:rPr>
          <w:rFonts w:ascii="Calibri" w:hAnsi="Calibri" w:cs="Calibri"/>
        </w:rPr>
        <w:t>.</w:t>
      </w:r>
      <w:r w:rsidR="00FB0830" w:rsidRPr="001F52A8">
        <w:rPr>
          <w:rFonts w:ascii="Calibri" w:hAnsi="Calibri" w:cs="Calibri"/>
        </w:rPr>
        <w:t xml:space="preserve"> Eli drops dead</w:t>
      </w:r>
      <w:r w:rsidR="009302EE" w:rsidRPr="001F52A8">
        <w:rPr>
          <w:rFonts w:ascii="Calibri" w:hAnsi="Calibri" w:cs="Calibri"/>
        </w:rPr>
        <w:t>, as an old man</w:t>
      </w:r>
      <w:r w:rsidR="00624A8A" w:rsidRPr="001F52A8">
        <w:rPr>
          <w:rFonts w:ascii="Calibri" w:hAnsi="Calibri" w:cs="Calibri"/>
        </w:rPr>
        <w:t xml:space="preserve"> who is</w:t>
      </w:r>
      <w:r w:rsidR="009302EE" w:rsidRPr="001F52A8">
        <w:rPr>
          <w:rFonts w:ascii="Calibri" w:hAnsi="Calibri" w:cs="Calibri"/>
        </w:rPr>
        <w:t xml:space="preserve"> “heavy” (</w:t>
      </w:r>
      <w:r w:rsidR="009302EE" w:rsidRPr="001F52A8">
        <w:rPr>
          <w:rFonts w:ascii="Calibri" w:hAnsi="Calibri" w:cs="Calibri"/>
          <w:i/>
          <w:iCs/>
        </w:rPr>
        <w:t>kābē</w:t>
      </w:r>
      <w:r w:rsidR="00251B9F" w:rsidRPr="001F52A8">
        <w:rPr>
          <w:rFonts w:ascii="Calibri" w:hAnsi="Calibri" w:cs="Calibri"/>
          <w:i/>
          <w:iCs/>
        </w:rPr>
        <w:t>d</w:t>
      </w:r>
      <w:r w:rsidR="00251B9F" w:rsidRPr="001F52A8">
        <w:rPr>
          <w:rFonts w:ascii="Calibri" w:hAnsi="Calibri" w:cs="Calibri"/>
        </w:rPr>
        <w:t>)</w:t>
      </w:r>
      <w:r w:rsidR="00A45D4E">
        <w:rPr>
          <w:rFonts w:ascii="Calibri" w:hAnsi="Calibri" w:cs="Calibri"/>
        </w:rPr>
        <w:t>;</w:t>
      </w:r>
      <w:r w:rsidR="007C6D04" w:rsidRPr="001F52A8">
        <w:rPr>
          <w:rFonts w:ascii="Calibri" w:hAnsi="Calibri" w:cs="Calibri"/>
        </w:rPr>
        <w:t xml:space="preserve"> </w:t>
      </w:r>
      <w:r w:rsidR="00A45D4E">
        <w:rPr>
          <w:rFonts w:ascii="Calibri" w:hAnsi="Calibri" w:cs="Calibri"/>
        </w:rPr>
        <w:t xml:space="preserve">ironically, </w:t>
      </w:r>
      <w:r w:rsidR="007C6D04" w:rsidRPr="001F52A8">
        <w:rPr>
          <w:rFonts w:ascii="Calibri" w:hAnsi="Calibri" w:cs="Calibri"/>
        </w:rPr>
        <w:t>the word</w:t>
      </w:r>
      <w:r w:rsidR="00251B9F" w:rsidRPr="001F52A8">
        <w:rPr>
          <w:rFonts w:ascii="Calibri" w:hAnsi="Calibri" w:cs="Calibri"/>
        </w:rPr>
        <w:t xml:space="preserve"> </w:t>
      </w:r>
      <w:r w:rsidR="008A622E" w:rsidRPr="001F52A8">
        <w:rPr>
          <w:rFonts w:ascii="Calibri" w:hAnsi="Calibri" w:cs="Calibri"/>
        </w:rPr>
        <w:t xml:space="preserve">also means “honorable.” </w:t>
      </w:r>
      <w:r w:rsidR="00583D45">
        <w:rPr>
          <w:rFonts w:ascii="Calibri" w:hAnsi="Calibri" w:cs="Calibri"/>
        </w:rPr>
        <w:t>H</w:t>
      </w:r>
      <w:r w:rsidR="003E5ABC" w:rsidRPr="001F52A8">
        <w:rPr>
          <w:rFonts w:ascii="Calibri" w:hAnsi="Calibri" w:cs="Calibri"/>
        </w:rPr>
        <w:t xml:space="preserve">is daughter-in-law declares that </w:t>
      </w:r>
      <w:r w:rsidR="00522374" w:rsidRPr="001F52A8">
        <w:rPr>
          <w:rFonts w:ascii="Calibri" w:hAnsi="Calibri" w:cs="Calibri"/>
        </w:rPr>
        <w:t xml:space="preserve">“the honor has gone from Israel” because </w:t>
      </w:r>
      <w:r w:rsidR="006A545D" w:rsidRPr="001F52A8">
        <w:rPr>
          <w:rFonts w:ascii="Calibri" w:hAnsi="Calibri" w:cs="Calibri"/>
        </w:rPr>
        <w:t xml:space="preserve">of the </w:t>
      </w:r>
      <w:r w:rsidR="00522374" w:rsidRPr="001F52A8">
        <w:rPr>
          <w:rFonts w:ascii="Calibri" w:hAnsi="Calibri" w:cs="Calibri"/>
        </w:rPr>
        <w:t>covenant chest</w:t>
      </w:r>
      <w:r w:rsidR="00A5278D">
        <w:rPr>
          <w:rFonts w:ascii="Calibri" w:hAnsi="Calibri" w:cs="Calibri"/>
        </w:rPr>
        <w:t>’s capture</w:t>
      </w:r>
      <w:r w:rsidR="00522374" w:rsidRPr="001F52A8">
        <w:rPr>
          <w:rFonts w:ascii="Calibri" w:hAnsi="Calibri" w:cs="Calibri"/>
        </w:rPr>
        <w:t xml:space="preserve"> </w:t>
      </w:r>
      <w:r w:rsidR="006A545D" w:rsidRPr="001F52A8">
        <w:rPr>
          <w:rFonts w:ascii="Calibri" w:hAnsi="Calibri" w:cs="Calibri"/>
        </w:rPr>
        <w:t>and because of her father</w:t>
      </w:r>
      <w:r w:rsidR="00086A19" w:rsidRPr="001F52A8">
        <w:rPr>
          <w:rFonts w:ascii="Calibri" w:hAnsi="Calibri" w:cs="Calibri"/>
        </w:rPr>
        <w:t>-i</w:t>
      </w:r>
      <w:r w:rsidR="003245A3" w:rsidRPr="001F52A8">
        <w:rPr>
          <w:rFonts w:ascii="Calibri" w:hAnsi="Calibri" w:cs="Calibri"/>
        </w:rPr>
        <w:t>n</w:t>
      </w:r>
      <w:r w:rsidR="00086A19" w:rsidRPr="001F52A8">
        <w:rPr>
          <w:rFonts w:ascii="Calibri" w:hAnsi="Calibri" w:cs="Calibri"/>
        </w:rPr>
        <w:t>-law</w:t>
      </w:r>
      <w:r w:rsidR="006A545D" w:rsidRPr="001F52A8">
        <w:rPr>
          <w:rFonts w:ascii="Calibri" w:hAnsi="Calibri" w:cs="Calibri"/>
        </w:rPr>
        <w:t xml:space="preserve"> a</w:t>
      </w:r>
      <w:r w:rsidR="00086A19" w:rsidRPr="001F52A8">
        <w:rPr>
          <w:rFonts w:ascii="Calibri" w:hAnsi="Calibri" w:cs="Calibri"/>
        </w:rPr>
        <w:t>n</w:t>
      </w:r>
      <w:r w:rsidR="006A545D" w:rsidRPr="001F52A8">
        <w:rPr>
          <w:rFonts w:ascii="Calibri" w:hAnsi="Calibri" w:cs="Calibri"/>
        </w:rPr>
        <w:t>d h</w:t>
      </w:r>
      <w:r w:rsidR="00086A19" w:rsidRPr="001F52A8">
        <w:rPr>
          <w:rFonts w:ascii="Calibri" w:hAnsi="Calibri" w:cs="Calibri"/>
        </w:rPr>
        <w:t>e</w:t>
      </w:r>
      <w:r w:rsidR="006A545D" w:rsidRPr="001F52A8">
        <w:rPr>
          <w:rFonts w:ascii="Calibri" w:hAnsi="Calibri" w:cs="Calibri"/>
        </w:rPr>
        <w:t xml:space="preserve">r </w:t>
      </w:r>
      <w:r w:rsidR="006A545D" w:rsidRPr="001F52A8">
        <w:rPr>
          <w:rFonts w:cstheme="minorHAnsi"/>
        </w:rPr>
        <w:t>husband</w:t>
      </w:r>
      <w:r w:rsidR="00522374" w:rsidRPr="001F52A8">
        <w:rPr>
          <w:rFonts w:cstheme="minorHAnsi"/>
        </w:rPr>
        <w:t xml:space="preserve"> </w:t>
      </w:r>
      <w:r w:rsidR="00086A19" w:rsidRPr="001F52A8">
        <w:rPr>
          <w:rFonts w:cstheme="minorHAnsi"/>
        </w:rPr>
        <w:t>(</w:t>
      </w:r>
      <w:r w:rsidR="00982303" w:rsidRPr="001F52A8">
        <w:rPr>
          <w:rFonts w:cstheme="minorHAnsi"/>
        </w:rPr>
        <w:t>4:21</w:t>
      </w:r>
      <w:r w:rsidR="00DB7B03" w:rsidRPr="001F52A8">
        <w:rPr>
          <w:rFonts w:cstheme="minorHAnsi"/>
        </w:rPr>
        <w:t>-</w:t>
      </w:r>
      <w:r w:rsidR="00982303" w:rsidRPr="001F52A8">
        <w:rPr>
          <w:rFonts w:cstheme="minorHAnsi"/>
        </w:rPr>
        <w:t>22</w:t>
      </w:r>
      <w:r w:rsidR="009108BC">
        <w:rPr>
          <w:rFonts w:cstheme="minorHAnsi"/>
        </w:rPr>
        <w:t>). S</w:t>
      </w:r>
      <w:r w:rsidR="003245A3" w:rsidRPr="001F52A8">
        <w:rPr>
          <w:rFonts w:cstheme="minorHAnsi"/>
        </w:rPr>
        <w:t>he doesn’t say “because of their death</w:t>
      </w:r>
      <w:r w:rsidR="009108BC">
        <w:rPr>
          <w:rFonts w:cstheme="minorHAnsi"/>
        </w:rPr>
        <w:t>.</w:t>
      </w:r>
      <w:r w:rsidR="003245A3" w:rsidRPr="001F52A8">
        <w:rPr>
          <w:rFonts w:cstheme="minorHAnsi"/>
        </w:rPr>
        <w:t xml:space="preserve">” </w:t>
      </w:r>
      <w:r w:rsidR="009108BC">
        <w:rPr>
          <w:rFonts w:cstheme="minorHAnsi"/>
        </w:rPr>
        <w:t>P</w:t>
      </w:r>
      <w:r w:rsidR="003245A3" w:rsidRPr="001F52A8">
        <w:rPr>
          <w:rFonts w:cstheme="minorHAnsi"/>
        </w:rPr>
        <w:t xml:space="preserve">erhaps </w:t>
      </w:r>
      <w:r w:rsidR="009108BC">
        <w:rPr>
          <w:rFonts w:cstheme="minorHAnsi"/>
        </w:rPr>
        <w:t>she knows</w:t>
      </w:r>
      <w:r w:rsidR="003245A3" w:rsidRPr="001F52A8">
        <w:rPr>
          <w:rFonts w:cstheme="minorHAnsi"/>
        </w:rPr>
        <w:t xml:space="preserve"> the honor had gone long before.</w:t>
      </w:r>
    </w:p>
    <w:p w14:paraId="66267303" w14:textId="173B2349" w:rsidR="00961F97" w:rsidRPr="001F52A8" w:rsidRDefault="00FA4AEE" w:rsidP="000B0A0F">
      <w:pPr>
        <w:pStyle w:val="Heading2"/>
      </w:pPr>
      <w:r w:rsidRPr="001F52A8">
        <w:t>Vocation</w:t>
      </w:r>
    </w:p>
    <w:p w14:paraId="1CB891FE" w14:textId="3965F374" w:rsidR="005C74BA" w:rsidRPr="001F52A8" w:rsidRDefault="008340E4" w:rsidP="00B914C0">
      <w:r w:rsidRPr="001F52A8">
        <w:rPr>
          <w:rFonts w:cstheme="minorHAnsi"/>
        </w:rPr>
        <w:t xml:space="preserve">Meanwhile, </w:t>
      </w:r>
      <w:r w:rsidR="004304B1" w:rsidRPr="001F52A8">
        <w:rPr>
          <w:rFonts w:cstheme="minorHAnsi"/>
        </w:rPr>
        <w:t xml:space="preserve">“the boy Samuel was gradually growing and </w:t>
      </w:r>
      <w:r w:rsidR="00C70FC6">
        <w:rPr>
          <w:rFonts w:cstheme="minorHAnsi"/>
        </w:rPr>
        <w:t xml:space="preserve">was </w:t>
      </w:r>
      <w:r w:rsidR="004304B1" w:rsidRPr="001F52A8">
        <w:rPr>
          <w:rFonts w:cstheme="minorHAnsi"/>
        </w:rPr>
        <w:t>good both with Yahweh and also with people” (2:26)</w:t>
      </w:r>
      <w:r w:rsidRPr="001F52A8">
        <w:rPr>
          <w:rFonts w:cstheme="minorHAnsi"/>
        </w:rPr>
        <w:t xml:space="preserve">. </w:t>
      </w:r>
      <w:r w:rsidR="004304B1" w:rsidRPr="001F52A8">
        <w:rPr>
          <w:rFonts w:cstheme="minorHAnsi"/>
        </w:rPr>
        <w:t>He grew up without his parents (who came to see him on</w:t>
      </w:r>
      <w:r w:rsidR="00547335">
        <w:rPr>
          <w:rFonts w:cstheme="minorHAnsi"/>
        </w:rPr>
        <w:t>c</w:t>
      </w:r>
      <w:r w:rsidR="004304B1" w:rsidRPr="001F52A8">
        <w:rPr>
          <w:rFonts w:cstheme="minorHAnsi"/>
        </w:rPr>
        <w:t xml:space="preserve">e a year) but “with Yahweh” (2:21). </w:t>
      </w:r>
      <w:r w:rsidR="00685521" w:rsidRPr="001F52A8">
        <w:t xml:space="preserve">While </w:t>
      </w:r>
      <w:r w:rsidRPr="001F52A8">
        <w:t>he</w:t>
      </w:r>
      <w:r w:rsidR="000F4879" w:rsidRPr="001F52A8">
        <w:t xml:space="preserve"> is </w:t>
      </w:r>
      <w:r w:rsidR="003C7A07" w:rsidRPr="001F52A8">
        <w:t xml:space="preserve">not quite </w:t>
      </w:r>
      <w:r w:rsidR="000F4879" w:rsidRPr="001F52A8">
        <w:t xml:space="preserve">the first person </w:t>
      </w:r>
      <w:r w:rsidR="00A50400" w:rsidRPr="001F52A8">
        <w:t xml:space="preserve">whom </w:t>
      </w:r>
      <w:r w:rsidR="000F4879" w:rsidRPr="001F52A8">
        <w:t xml:space="preserve">Yahweh </w:t>
      </w:r>
      <w:r w:rsidR="00A50400" w:rsidRPr="001F52A8">
        <w:t>“</w:t>
      </w:r>
      <w:r w:rsidR="000F4879" w:rsidRPr="001F52A8">
        <w:t>calls</w:t>
      </w:r>
      <w:r w:rsidR="00A50400" w:rsidRPr="001F52A8">
        <w:t>"</w:t>
      </w:r>
      <w:r w:rsidR="000F4879" w:rsidRPr="001F52A8">
        <w:t xml:space="preserve"> (</w:t>
      </w:r>
      <w:r w:rsidR="00736543" w:rsidRPr="001F52A8">
        <w:t>Yahweh</w:t>
      </w:r>
      <w:r w:rsidR="003C7A07" w:rsidRPr="001F52A8">
        <w:t xml:space="preserve"> </w:t>
      </w:r>
      <w:r w:rsidR="00201B5B" w:rsidRPr="001F52A8">
        <w:t>i</w:t>
      </w:r>
      <w:r w:rsidR="003C7A07" w:rsidRPr="001F52A8">
        <w:t xml:space="preserve">s the subject of this verb in </w:t>
      </w:r>
      <w:r w:rsidR="00C804DE" w:rsidRPr="001F52A8">
        <w:t xml:space="preserve">passages such as </w:t>
      </w:r>
      <w:r w:rsidR="000E122C" w:rsidRPr="001F52A8">
        <w:t xml:space="preserve">Exod </w:t>
      </w:r>
      <w:r w:rsidR="003C7A07" w:rsidRPr="001F52A8">
        <w:t>3:4; 19:3</w:t>
      </w:r>
      <w:r w:rsidR="00C804DE" w:rsidRPr="001F52A8">
        <w:t>, 20</w:t>
      </w:r>
      <w:r w:rsidR="003C7A07" w:rsidRPr="001F52A8">
        <w:t xml:space="preserve">; </w:t>
      </w:r>
      <w:r w:rsidR="000E122C" w:rsidRPr="001F52A8">
        <w:t xml:space="preserve">31:2; </w:t>
      </w:r>
      <w:r w:rsidR="00B2066B" w:rsidRPr="001F52A8">
        <w:t>35:30</w:t>
      </w:r>
      <w:r w:rsidR="00C804DE" w:rsidRPr="001F52A8">
        <w:t xml:space="preserve">; </w:t>
      </w:r>
      <w:r w:rsidR="00D57BB3" w:rsidRPr="001F52A8">
        <w:t>Lev 1:1</w:t>
      </w:r>
      <w:r w:rsidR="00C804DE" w:rsidRPr="001F52A8">
        <w:t xml:space="preserve">), he is the </w:t>
      </w:r>
      <w:r w:rsidR="00CA526F" w:rsidRPr="001F52A8">
        <w:t xml:space="preserve">only </w:t>
      </w:r>
      <w:r w:rsidR="00C804DE" w:rsidRPr="001F52A8">
        <w:t>p</w:t>
      </w:r>
      <w:r w:rsidR="00EE6C85" w:rsidRPr="001F52A8">
        <w:t>rophet</w:t>
      </w:r>
      <w:r w:rsidR="00C804DE" w:rsidRPr="001F52A8">
        <w:t xml:space="preserve"> </w:t>
      </w:r>
      <w:r w:rsidR="00685521" w:rsidRPr="001F52A8">
        <w:t>i</w:t>
      </w:r>
      <w:r w:rsidR="00DB3E9B" w:rsidRPr="001F52A8">
        <w:t>n whose story “calling” has a key place</w:t>
      </w:r>
      <w:r w:rsidR="00BC4929" w:rsidRPr="001F52A8">
        <w:t xml:space="preserve">; the verb comes twelve times </w:t>
      </w:r>
      <w:r w:rsidR="005B5B04" w:rsidRPr="001F52A8">
        <w:t xml:space="preserve">in 1 Samuel 3. </w:t>
      </w:r>
      <w:r w:rsidR="006A069F">
        <w:t>A</w:t>
      </w:r>
      <w:r w:rsidR="00454C26" w:rsidRPr="001F52A8">
        <w:t>ctually Yahweh says nothing about his being a “prophet</w:t>
      </w:r>
      <w:r w:rsidR="00D7387F" w:rsidRPr="001F52A8">
        <w:t>,</w:t>
      </w:r>
      <w:r w:rsidR="00454C26" w:rsidRPr="001F52A8">
        <w:t xml:space="preserve">” </w:t>
      </w:r>
      <w:r w:rsidR="00900813" w:rsidRPr="001F52A8">
        <w:t xml:space="preserve">though </w:t>
      </w:r>
      <w:r w:rsidR="0001329C" w:rsidRPr="001F52A8">
        <w:t>the narrator describes him thus</w:t>
      </w:r>
      <w:r w:rsidR="006F381D">
        <w:t>:</w:t>
      </w:r>
      <w:r w:rsidR="001548A8" w:rsidRPr="001F52A8">
        <w:t xml:space="preserve"> Yahweh “did not let </w:t>
      </w:r>
      <w:r w:rsidR="000B492C" w:rsidRPr="001F52A8">
        <w:t xml:space="preserve">any of his words fall to the earth, and </w:t>
      </w:r>
      <w:r w:rsidR="002A25DC" w:rsidRPr="001F52A8">
        <w:t>all Israel from Dan to Be’er</w:t>
      </w:r>
      <w:r w:rsidR="00BC1191" w:rsidRPr="001F52A8">
        <w:t xml:space="preserve"> Sheba </w:t>
      </w:r>
      <w:r w:rsidR="003579C4" w:rsidRPr="001F52A8">
        <w:t xml:space="preserve">acknowledged that </w:t>
      </w:r>
      <w:r w:rsidR="00EE1896" w:rsidRPr="001F52A8">
        <w:t xml:space="preserve">Samuel was trustworthy </w:t>
      </w:r>
      <w:r w:rsidR="00D30D77" w:rsidRPr="001F52A8">
        <w:t>as a prophet of Yahweh</w:t>
      </w:r>
      <w:r w:rsidR="00D7387F" w:rsidRPr="001F52A8">
        <w:t>”</w:t>
      </w:r>
      <w:r w:rsidR="00D30D77" w:rsidRPr="001F52A8">
        <w:t xml:space="preserve"> (3:</w:t>
      </w:r>
      <w:r w:rsidR="00CA613D" w:rsidRPr="001F52A8">
        <w:t xml:space="preserve">19-20). </w:t>
      </w:r>
      <w:r w:rsidR="00DC0B19">
        <w:t>H</w:t>
      </w:r>
      <w:r w:rsidR="00840A09" w:rsidRPr="001F52A8">
        <w:t xml:space="preserve">e would </w:t>
      </w:r>
      <w:r w:rsidR="00DC0B19">
        <w:t xml:space="preserve">apparently </w:t>
      </w:r>
      <w:r w:rsidR="00840A09" w:rsidRPr="001F52A8">
        <w:t>have been known as a “seer” (</w:t>
      </w:r>
      <w:r w:rsidR="00044942" w:rsidRPr="001F52A8">
        <w:rPr>
          <w:rFonts w:cstheme="minorHAnsi"/>
          <w:i/>
          <w:iCs/>
        </w:rPr>
        <w:t>rō</w:t>
      </w:r>
      <w:r w:rsidR="004F2AC5" w:rsidRPr="001F52A8">
        <w:rPr>
          <w:rFonts w:cstheme="minorHAnsi"/>
          <w:i/>
          <w:iCs/>
        </w:rPr>
        <w:t>’eh</w:t>
      </w:r>
      <w:r w:rsidR="00AB5CC0" w:rsidRPr="001F52A8">
        <w:rPr>
          <w:rFonts w:cstheme="minorHAnsi"/>
        </w:rPr>
        <w:t>; see 1 Sam 9:9)</w:t>
      </w:r>
      <w:r w:rsidR="00103397">
        <w:rPr>
          <w:rFonts w:cstheme="minorHAnsi"/>
        </w:rPr>
        <w:t>. E</w:t>
      </w:r>
      <w:r w:rsidR="00103397" w:rsidRPr="001F52A8">
        <w:rPr>
          <w:rFonts w:cstheme="minorHAnsi"/>
        </w:rPr>
        <w:t>tymology offers more clue</w:t>
      </w:r>
      <w:r w:rsidR="00CA613D" w:rsidRPr="001F52A8">
        <w:rPr>
          <w:rFonts w:cstheme="minorHAnsi"/>
        </w:rPr>
        <w:t xml:space="preserve"> </w:t>
      </w:r>
      <w:r w:rsidR="00103397">
        <w:rPr>
          <w:rFonts w:cstheme="minorHAnsi"/>
        </w:rPr>
        <w:t xml:space="preserve">to this </w:t>
      </w:r>
      <w:r w:rsidR="00CA613D" w:rsidRPr="001F52A8">
        <w:rPr>
          <w:rFonts w:cstheme="minorHAnsi"/>
        </w:rPr>
        <w:t>word</w:t>
      </w:r>
      <w:r w:rsidR="00103397">
        <w:rPr>
          <w:rFonts w:cstheme="minorHAnsi"/>
        </w:rPr>
        <w:t>’s</w:t>
      </w:r>
      <w:r w:rsidR="007F7610" w:rsidRPr="001F52A8">
        <w:rPr>
          <w:rFonts w:cstheme="minorHAnsi"/>
        </w:rPr>
        <w:t xml:space="preserve"> meaning than is the case with “prophet”</w:t>
      </w:r>
      <w:r w:rsidR="00D7387F" w:rsidRPr="001F52A8">
        <w:rPr>
          <w:rFonts w:cstheme="minorHAnsi"/>
        </w:rPr>
        <w:t xml:space="preserve"> </w:t>
      </w:r>
      <w:r w:rsidR="00D7387F" w:rsidRPr="001F52A8">
        <w:t>(</w:t>
      </w:r>
      <w:r w:rsidR="00D7387F" w:rsidRPr="001F52A8">
        <w:rPr>
          <w:i/>
          <w:iCs/>
        </w:rPr>
        <w:t>n</w:t>
      </w:r>
      <w:r w:rsidR="00D7387F" w:rsidRPr="001F52A8">
        <w:rPr>
          <w:rFonts w:cstheme="minorHAnsi"/>
          <w:i/>
          <w:iCs/>
        </w:rPr>
        <w:t>ā</w:t>
      </w:r>
      <w:r w:rsidR="00D7387F" w:rsidRPr="001F52A8">
        <w:rPr>
          <w:i/>
          <w:iCs/>
        </w:rPr>
        <w:t>b</w:t>
      </w:r>
      <w:r w:rsidR="00D7387F" w:rsidRPr="001F52A8">
        <w:rPr>
          <w:rFonts w:cstheme="minorHAnsi"/>
          <w:i/>
          <w:iCs/>
        </w:rPr>
        <w:t>î</w:t>
      </w:r>
      <w:r w:rsidR="00D7387F" w:rsidRPr="001F52A8">
        <w:rPr>
          <w:i/>
          <w:iCs/>
        </w:rPr>
        <w:t>’</w:t>
      </w:r>
      <w:r w:rsidR="00D7387F" w:rsidRPr="001F52A8">
        <w:t>)</w:t>
      </w:r>
      <w:r w:rsidR="00103397">
        <w:t xml:space="preserve">, whose etymology </w:t>
      </w:r>
      <w:r w:rsidR="00BC685B">
        <w:t>is a ma</w:t>
      </w:r>
      <w:r w:rsidR="00372823">
        <w:t>t</w:t>
      </w:r>
      <w:r w:rsidR="00BC685B">
        <w:t>ter of guesswork</w:t>
      </w:r>
      <w:r w:rsidR="00AB5CC0" w:rsidRPr="001F52A8">
        <w:rPr>
          <w:rFonts w:cstheme="minorHAnsi"/>
        </w:rPr>
        <w:t>.</w:t>
      </w:r>
      <w:r w:rsidR="00A840E8" w:rsidRPr="001F52A8">
        <w:rPr>
          <w:rFonts w:cstheme="minorHAnsi"/>
        </w:rPr>
        <w:t xml:space="preserve"> </w:t>
      </w:r>
      <w:r w:rsidR="00BC685B">
        <w:rPr>
          <w:rFonts w:cstheme="minorHAnsi"/>
        </w:rPr>
        <w:t>Samuel is also</w:t>
      </w:r>
      <w:r w:rsidR="005E62A4" w:rsidRPr="001F52A8">
        <w:rPr>
          <w:rFonts w:cstheme="minorHAnsi"/>
        </w:rPr>
        <w:t xml:space="preserve"> “a man of God” (</w:t>
      </w:r>
      <w:r w:rsidR="00222E1A" w:rsidRPr="001F52A8">
        <w:rPr>
          <w:rFonts w:cstheme="minorHAnsi"/>
        </w:rPr>
        <w:t>9:6</w:t>
      </w:r>
      <w:r w:rsidR="00C33164" w:rsidRPr="001F52A8">
        <w:rPr>
          <w:rFonts w:cstheme="minorHAnsi"/>
        </w:rPr>
        <w:t>-10</w:t>
      </w:r>
      <w:r w:rsidR="00D41519" w:rsidRPr="001F52A8">
        <w:rPr>
          <w:rFonts w:cstheme="minorHAnsi"/>
        </w:rPr>
        <w:t>; 2:27</w:t>
      </w:r>
      <w:r w:rsidR="00B05FCF" w:rsidRPr="001F52A8">
        <w:rPr>
          <w:rFonts w:cstheme="minorHAnsi"/>
        </w:rPr>
        <w:t>) whom people can consult for a fee</w:t>
      </w:r>
      <w:r w:rsidR="00372823">
        <w:rPr>
          <w:rFonts w:cstheme="minorHAnsi"/>
        </w:rPr>
        <w:t xml:space="preserve"> in order to </w:t>
      </w:r>
      <w:r w:rsidR="001C7B6E" w:rsidRPr="001F52A8">
        <w:rPr>
          <w:rFonts w:cstheme="minorHAnsi"/>
        </w:rPr>
        <w:t>“inquire of God</w:t>
      </w:r>
      <w:r w:rsidR="00C06745" w:rsidRPr="001F52A8">
        <w:rPr>
          <w:rFonts w:cstheme="minorHAnsi"/>
        </w:rPr>
        <w:t>” (9:9)</w:t>
      </w:r>
    </w:p>
    <w:p w14:paraId="2EF54F79" w14:textId="396F7E96" w:rsidR="00783833" w:rsidRPr="001F52A8" w:rsidRDefault="00783833" w:rsidP="00783833">
      <w:r w:rsidRPr="001F52A8">
        <w:t xml:space="preserve">The </w:t>
      </w:r>
      <w:r w:rsidR="00DB5C7A">
        <w:t xml:space="preserve">amusing </w:t>
      </w:r>
      <w:r w:rsidRPr="001F52A8">
        <w:t xml:space="preserve">misunderstanding over who is calling </w:t>
      </w:r>
      <w:r w:rsidR="005D28E0">
        <w:t>reflects how</w:t>
      </w:r>
      <w:r w:rsidRPr="001F52A8">
        <w:t xml:space="preserve"> calling means summoning, which Eli and Samuel are used to Eli doing when Samuel </w:t>
      </w:r>
      <w:r w:rsidR="001C7AA8">
        <w:t>i</w:t>
      </w:r>
      <w:r w:rsidRPr="001F52A8">
        <w:t>s ministering before Eli. In Western thinking, “calling” or “vocation” implies being drawn into work that will</w:t>
      </w:r>
      <w:r w:rsidR="001C7AA8">
        <w:t xml:space="preserve"> </w:t>
      </w:r>
      <w:r w:rsidRPr="001F52A8">
        <w:t>express one’s gifts, but in the First Testament, calling simply means summoning</w:t>
      </w:r>
      <w:r w:rsidR="00543719">
        <w:t>,</w:t>
      </w:r>
      <w:r w:rsidRPr="001F52A8">
        <w:t xml:space="preserve"> a </w:t>
      </w:r>
      <w:r w:rsidR="00543719">
        <w:t>summons</w:t>
      </w:r>
      <w:r w:rsidRPr="001F52A8">
        <w:t xml:space="preserve"> to do something that the boss wants done. The boss might be unwise to summon a person to a task for which he </w:t>
      </w:r>
      <w:r w:rsidR="00B022AF">
        <w:t xml:space="preserve">or she </w:t>
      </w:r>
      <w:r w:rsidRPr="001F52A8">
        <w:t>lacked the gifts, but the focus lies on the boss and the task, not the servant. In Samuel’s case, we might guess that having the parents he had would have prepared him well to be a servant of Yahweh, though the story doesn</w:t>
      </w:r>
      <w:r w:rsidR="00CF2269">
        <w:t>’</w:t>
      </w:r>
      <w:r w:rsidRPr="001F52A8">
        <w:t>t quite make the point</w:t>
      </w:r>
      <w:r w:rsidR="00CF2269">
        <w:t>. I</w:t>
      </w:r>
      <w:r w:rsidRPr="001F52A8">
        <w:t>t does invite the inference that his apprenticeship to Eli was important in this connection (2:11, 18-21; 3:1). Yet paradoxically, Samuel did not yet acknowledge Yahweh (3:7), which was the problem with Eli’s sons (2:12)</w:t>
      </w:r>
      <w:r>
        <w:t>, and Samuel’s sons will not be much better (8:3)</w:t>
      </w:r>
      <w:r w:rsidRPr="001F52A8">
        <w:t xml:space="preserve">. </w:t>
      </w:r>
      <w:r>
        <w:t>Yahweh seems to make a habit of choosing odd people (Jacob, Moses, Samuel, Saul, David, Solomon . . .).</w:t>
      </w:r>
    </w:p>
    <w:p w14:paraId="0D111A0E" w14:textId="4BB21F23" w:rsidR="00C12AD7" w:rsidRPr="001F52A8" w:rsidRDefault="001651AF" w:rsidP="00EE3968">
      <w:pPr>
        <w:rPr>
          <w:rFonts w:cstheme="minorHAnsi"/>
        </w:rPr>
      </w:pPr>
      <w:r w:rsidRPr="001F52A8">
        <w:t>Yahweh eventually t</w:t>
      </w:r>
      <w:r w:rsidR="00D0022C">
        <w:t>akes</w:t>
      </w:r>
      <w:r w:rsidRPr="001F52A8">
        <w:t xml:space="preserve"> his stand before Samuel (</w:t>
      </w:r>
      <w:r w:rsidRPr="001F52A8">
        <w:rPr>
          <w:i/>
          <w:iCs/>
        </w:rPr>
        <w:t>y</w:t>
      </w:r>
      <w:r w:rsidRPr="001F52A8">
        <w:rPr>
          <w:rFonts w:cstheme="minorHAnsi"/>
          <w:i/>
          <w:iCs/>
        </w:rPr>
        <w:t>āṣ</w:t>
      </w:r>
      <w:r w:rsidRPr="001F52A8">
        <w:rPr>
          <w:i/>
          <w:iCs/>
        </w:rPr>
        <w:t>ab</w:t>
      </w:r>
      <w:r w:rsidR="00820495">
        <w:rPr>
          <w:i/>
          <w:iCs/>
        </w:rPr>
        <w:t xml:space="preserve"> </w:t>
      </w:r>
      <w:r w:rsidR="00820495">
        <w:t>hitpael</w:t>
      </w:r>
      <w:r w:rsidRPr="001F52A8">
        <w:t>; 3:10)</w:t>
      </w:r>
      <w:r w:rsidR="000125AE">
        <w:t>,</w:t>
      </w:r>
      <w:r w:rsidRPr="001F52A8">
        <w:t xml:space="preserve"> the only occurrence of this phrase in the First Testament. </w:t>
      </w:r>
      <w:r w:rsidRPr="001F52A8">
        <w:rPr>
          <w:rFonts w:cstheme="minorHAnsi"/>
        </w:rPr>
        <w:t>Yahweh speak</w:t>
      </w:r>
      <w:r w:rsidR="00732CD0">
        <w:rPr>
          <w:rFonts w:cstheme="minorHAnsi"/>
        </w:rPr>
        <w:t>s</w:t>
      </w:r>
      <w:r w:rsidRPr="001F52A8">
        <w:rPr>
          <w:rFonts w:cstheme="minorHAnsi"/>
        </w:rPr>
        <w:t xml:space="preserve"> in a voice so real</w:t>
      </w:r>
      <w:r w:rsidR="00027471">
        <w:rPr>
          <w:rFonts w:cstheme="minorHAnsi"/>
        </w:rPr>
        <w:t xml:space="preserve"> that</w:t>
      </w:r>
      <w:r w:rsidRPr="001F52A8">
        <w:rPr>
          <w:rFonts w:cstheme="minorHAnsi"/>
        </w:rPr>
        <w:t xml:space="preserve"> Samuel takes it to be Eli’s</w:t>
      </w:r>
      <w:r w:rsidR="00732CD0">
        <w:rPr>
          <w:rFonts w:cstheme="minorHAnsi"/>
        </w:rPr>
        <w:t xml:space="preserve">. </w:t>
      </w:r>
      <w:r w:rsidR="00732CD0">
        <w:rPr>
          <w:rFonts w:cstheme="minorHAnsi"/>
        </w:rPr>
        <w:lastRenderedPageBreak/>
        <w:t>S</w:t>
      </w:r>
      <w:r w:rsidRPr="001F52A8">
        <w:rPr>
          <w:rFonts w:cstheme="minorHAnsi"/>
        </w:rPr>
        <w:t>omething objective is happening; this voice is not inside Samuel’s head. The reference to an appearance</w:t>
      </w:r>
      <w:r w:rsidR="00027471">
        <w:t xml:space="preserve"> </w:t>
      </w:r>
      <w:r w:rsidR="00027471" w:rsidRPr="001F52A8">
        <w:t>(</w:t>
      </w:r>
      <w:r w:rsidR="00027471" w:rsidRPr="001F52A8">
        <w:rPr>
          <w:i/>
          <w:iCs/>
        </w:rPr>
        <w:t>mar’</w:t>
      </w:r>
      <w:r w:rsidR="00027471" w:rsidRPr="001F52A8">
        <w:rPr>
          <w:rFonts w:cstheme="minorHAnsi"/>
          <w:i/>
          <w:iCs/>
        </w:rPr>
        <w:t>â</w:t>
      </w:r>
      <w:r w:rsidR="00027471" w:rsidRPr="001F52A8">
        <w:t>, 3:15)</w:t>
      </w:r>
      <w:r w:rsidR="00027471">
        <w:t xml:space="preserve"> </w:t>
      </w:r>
      <w:r w:rsidR="00027471" w:rsidRPr="001F52A8">
        <w:rPr>
          <w:rFonts w:cstheme="minorHAnsi"/>
        </w:rPr>
        <w:t>reinforces the point</w:t>
      </w:r>
      <w:r w:rsidR="00027471" w:rsidRPr="001F52A8">
        <w:t xml:space="preserve">; </w:t>
      </w:r>
      <w:r w:rsidR="00027471">
        <w:t xml:space="preserve">the term </w:t>
      </w:r>
      <w:r w:rsidR="00810CD1">
        <w:t xml:space="preserve">is </w:t>
      </w:r>
      <w:r w:rsidR="00027471">
        <w:t xml:space="preserve">less </w:t>
      </w:r>
      <w:r w:rsidR="00027471" w:rsidRPr="001F52A8">
        <w:t xml:space="preserve">technical </w:t>
      </w:r>
      <w:r w:rsidR="00027471">
        <w:t xml:space="preserve">than </w:t>
      </w:r>
      <w:r w:rsidR="00027471" w:rsidRPr="001F52A8">
        <w:t>the word that more specifically denotes a vision (</w:t>
      </w:r>
      <w:r w:rsidR="00027471" w:rsidRPr="001F52A8">
        <w:rPr>
          <w:rFonts w:cstheme="minorHAnsi"/>
          <w:i/>
          <w:iCs/>
        </w:rPr>
        <w:t>ḥāzôn</w:t>
      </w:r>
      <w:r w:rsidR="00027471" w:rsidRPr="001F52A8">
        <w:rPr>
          <w:rFonts w:cstheme="minorHAnsi"/>
        </w:rPr>
        <w:t xml:space="preserve"> in 3:1).</w:t>
      </w:r>
      <w:r w:rsidRPr="001F52A8">
        <w:rPr>
          <w:rFonts w:cstheme="minorHAnsi"/>
        </w:rPr>
        <w:t xml:space="preserve"> Samuel did not have a vision of Yahweh, as Isaiah and Ezekiel did. Yahweh </w:t>
      </w:r>
      <w:r w:rsidR="00471420" w:rsidRPr="001F52A8">
        <w:rPr>
          <w:rFonts w:cstheme="minorHAnsi"/>
        </w:rPr>
        <w:t xml:space="preserve">took </w:t>
      </w:r>
      <w:r w:rsidR="00D12361">
        <w:rPr>
          <w:rFonts w:cstheme="minorHAnsi"/>
        </w:rPr>
        <w:t>h</w:t>
      </w:r>
      <w:r w:rsidR="00471420" w:rsidRPr="001F52A8">
        <w:rPr>
          <w:rFonts w:cstheme="minorHAnsi"/>
        </w:rPr>
        <w:t xml:space="preserve">is stand there. </w:t>
      </w:r>
      <w:r w:rsidR="00D12361">
        <w:rPr>
          <w:rFonts w:cstheme="minorHAnsi"/>
        </w:rPr>
        <w:t>He</w:t>
      </w:r>
      <w:r w:rsidR="00471420" w:rsidRPr="001F52A8">
        <w:rPr>
          <w:rFonts w:cstheme="minorHAnsi"/>
        </w:rPr>
        <w:t xml:space="preserve"> </w:t>
      </w:r>
      <w:r w:rsidRPr="001F52A8">
        <w:rPr>
          <w:rFonts w:cstheme="minorHAnsi"/>
        </w:rPr>
        <w:t>appeared. Yahweh will now be appearing, letting himself be seen (</w:t>
      </w:r>
      <w:r w:rsidRPr="001F52A8">
        <w:rPr>
          <w:rFonts w:cstheme="minorHAnsi"/>
          <w:i/>
          <w:iCs/>
        </w:rPr>
        <w:t>rā’â</w:t>
      </w:r>
      <w:r w:rsidRPr="001F52A8">
        <w:rPr>
          <w:rFonts w:cstheme="minorHAnsi"/>
        </w:rPr>
        <w:t xml:space="preserve"> niphal) at Shiloh, revealing himself there (</w:t>
      </w:r>
      <w:r w:rsidRPr="001F52A8">
        <w:rPr>
          <w:rFonts w:cstheme="minorHAnsi"/>
          <w:i/>
          <w:iCs/>
        </w:rPr>
        <w:t>gālâ</w:t>
      </w:r>
      <w:r w:rsidRPr="001F52A8">
        <w:rPr>
          <w:rFonts w:cstheme="minorHAnsi"/>
        </w:rPr>
        <w:t xml:space="preserve"> niphal).</w:t>
      </w:r>
      <w:r w:rsidR="00EE3968">
        <w:rPr>
          <w:rFonts w:cstheme="minorHAnsi"/>
        </w:rPr>
        <w:t xml:space="preserve"> </w:t>
      </w:r>
      <w:r w:rsidR="00EE3968">
        <w:t>I</w:t>
      </w:r>
      <w:r w:rsidR="00631693" w:rsidRPr="001F52A8">
        <w:t xml:space="preserve">t </w:t>
      </w:r>
      <w:r w:rsidR="00EE3968">
        <w:t xml:space="preserve">does not </w:t>
      </w:r>
      <w:r w:rsidR="00631693" w:rsidRPr="001F52A8">
        <w:t xml:space="preserve">occur to </w:t>
      </w:r>
      <w:r w:rsidR="00EE3968">
        <w:t xml:space="preserve">either </w:t>
      </w:r>
      <w:r w:rsidR="001B249F" w:rsidRPr="001F52A8">
        <w:t xml:space="preserve">Samuel </w:t>
      </w:r>
      <w:r w:rsidR="004A410F" w:rsidRPr="001F52A8">
        <w:t>or</w:t>
      </w:r>
      <w:r w:rsidR="005C2F10" w:rsidRPr="001F52A8">
        <w:t xml:space="preserve"> Eli</w:t>
      </w:r>
      <w:r w:rsidR="00631693" w:rsidRPr="001F52A8">
        <w:t xml:space="preserve"> to</w:t>
      </w:r>
      <w:r w:rsidR="006D2C05">
        <w:t xml:space="preserve"> </w:t>
      </w:r>
      <w:r w:rsidR="00264811">
        <w:t>think</w:t>
      </w:r>
      <w:r w:rsidR="006D2C05">
        <w:t xml:space="preserve"> th</w:t>
      </w:r>
      <w:r w:rsidR="00264811">
        <w:t xml:space="preserve">at </w:t>
      </w:r>
      <w:r w:rsidR="00FA2DAB" w:rsidRPr="001F52A8">
        <w:t xml:space="preserve">Yahweh </w:t>
      </w:r>
      <w:r w:rsidR="00264811">
        <w:t xml:space="preserve">might be </w:t>
      </w:r>
      <w:r w:rsidR="00FA2DAB" w:rsidRPr="001F52A8">
        <w:t>calling to Samuel</w:t>
      </w:r>
      <w:r w:rsidR="00837DF4" w:rsidRPr="001F52A8">
        <w:t xml:space="preserve">. </w:t>
      </w:r>
      <w:r w:rsidR="003E04BC" w:rsidRPr="001F52A8">
        <w:t>O</w:t>
      </w:r>
      <w:r w:rsidR="0031218A" w:rsidRPr="001F52A8">
        <w:t>ne ca</w:t>
      </w:r>
      <w:r w:rsidR="007C5297" w:rsidRPr="001F52A8">
        <w:t>n</w:t>
      </w:r>
      <w:r w:rsidR="003E04BC" w:rsidRPr="001F52A8">
        <w:t xml:space="preserve"> hardly</w:t>
      </w:r>
      <w:r w:rsidR="007C5297" w:rsidRPr="001F52A8">
        <w:t xml:space="preserve"> blame them.</w:t>
      </w:r>
      <w:r w:rsidR="001C564B" w:rsidRPr="001F52A8">
        <w:t xml:space="preserve"> </w:t>
      </w:r>
      <w:r w:rsidR="00ED4738" w:rsidRPr="001F52A8">
        <w:t xml:space="preserve">Yahweh’s word </w:t>
      </w:r>
      <w:r w:rsidR="007C5297" w:rsidRPr="001F52A8">
        <w:t xml:space="preserve">had </w:t>
      </w:r>
      <w:r w:rsidR="00ED4738" w:rsidRPr="001F52A8">
        <w:t>be</w:t>
      </w:r>
      <w:r w:rsidR="007C5297" w:rsidRPr="001F52A8">
        <w:t>en</w:t>
      </w:r>
      <w:r w:rsidR="00ED4738" w:rsidRPr="001F52A8">
        <w:t xml:space="preserve"> rare and vision</w:t>
      </w:r>
      <w:r w:rsidR="007C5297" w:rsidRPr="001F52A8">
        <w:t xml:space="preserve"> had not been</w:t>
      </w:r>
      <w:r w:rsidR="006D64E1" w:rsidRPr="001F52A8">
        <w:t xml:space="preserve"> </w:t>
      </w:r>
      <w:r w:rsidR="00ED4738" w:rsidRPr="001F52A8">
        <w:t>wid</w:t>
      </w:r>
      <w:r w:rsidR="001C4EDC" w:rsidRPr="001F52A8">
        <w:t>espread</w:t>
      </w:r>
      <w:r w:rsidR="00BD2B08" w:rsidRPr="001F52A8">
        <w:t xml:space="preserve"> (3:1)</w:t>
      </w:r>
      <w:r w:rsidR="00C81455" w:rsidRPr="001F52A8">
        <w:t xml:space="preserve">. </w:t>
      </w:r>
      <w:r w:rsidR="00997023" w:rsidRPr="001F52A8">
        <w:t xml:space="preserve">The implication is not that it had been widespread </w:t>
      </w:r>
      <w:r w:rsidR="00EE3968">
        <w:t>previously</w:t>
      </w:r>
      <w:r w:rsidR="00997023" w:rsidRPr="001F52A8">
        <w:t xml:space="preserve"> or had failed because of the waywardness of the age or of Eli and his sons. </w:t>
      </w:r>
      <w:r w:rsidR="00797AE0" w:rsidRPr="001F52A8">
        <w:t>Rather</w:t>
      </w:r>
      <w:r w:rsidR="00BA78FE">
        <w:t>, t</w:t>
      </w:r>
      <w:r w:rsidR="001C564B" w:rsidRPr="001F52A8">
        <w:t>here</w:t>
      </w:r>
      <w:r w:rsidR="00797AE0" w:rsidRPr="001F52A8">
        <w:t xml:space="preserve"> has</w:t>
      </w:r>
      <w:r w:rsidR="001C564B" w:rsidRPr="001F52A8">
        <w:t xml:space="preserve"> </w:t>
      </w:r>
      <w:r w:rsidR="00797AE0" w:rsidRPr="001F52A8">
        <w:t xml:space="preserve">been </w:t>
      </w:r>
      <w:r w:rsidR="00B021C4" w:rsidRPr="001F52A8">
        <w:t xml:space="preserve">little history of Yahweh speaking or giving visions or calling </w:t>
      </w:r>
      <w:r w:rsidR="00752576">
        <w:t>such as would</w:t>
      </w:r>
      <w:r w:rsidR="001F3C5E" w:rsidRPr="001F52A8">
        <w:t xml:space="preserve"> make it natural for </w:t>
      </w:r>
      <w:r w:rsidR="007A7246" w:rsidRPr="001F52A8">
        <w:t>Eli or Samuel</w:t>
      </w:r>
      <w:r w:rsidR="001F3C5E" w:rsidRPr="001F52A8">
        <w:t xml:space="preserve"> to recognize </w:t>
      </w:r>
      <w:r w:rsidR="00917248" w:rsidRPr="001F52A8">
        <w:t>what is going on</w:t>
      </w:r>
      <w:r w:rsidR="00BD1393" w:rsidRPr="001F52A8">
        <w:t>,</w:t>
      </w:r>
      <w:r w:rsidR="0059333E" w:rsidRPr="001F52A8">
        <w:rPr>
          <w:rStyle w:val="FootnoteReference"/>
        </w:rPr>
        <w:footnoteReference w:id="69"/>
      </w:r>
      <w:r w:rsidR="00BD1393" w:rsidRPr="001F52A8">
        <w:t xml:space="preserve"> as the story implies when it comments that </w:t>
      </w:r>
      <w:r w:rsidR="00A179F9" w:rsidRPr="001F52A8">
        <w:t xml:space="preserve">Yahweh’s word had not yet </w:t>
      </w:r>
      <w:r w:rsidR="00297C2D" w:rsidRPr="001F52A8">
        <w:t>revealed itself</w:t>
      </w:r>
      <w:r w:rsidR="00A179F9" w:rsidRPr="001F52A8">
        <w:t xml:space="preserve"> to Samuel </w:t>
      </w:r>
      <w:r w:rsidR="000C617E" w:rsidRPr="001F52A8">
        <w:rPr>
          <w:rFonts w:cstheme="minorHAnsi"/>
        </w:rPr>
        <w:t>(</w:t>
      </w:r>
      <w:r w:rsidR="000C617E" w:rsidRPr="001F52A8">
        <w:rPr>
          <w:rFonts w:cstheme="minorHAnsi"/>
          <w:i/>
          <w:iCs/>
        </w:rPr>
        <w:t>gālâ</w:t>
      </w:r>
      <w:r w:rsidR="000C617E" w:rsidRPr="001F52A8">
        <w:rPr>
          <w:rFonts w:cstheme="minorHAnsi"/>
        </w:rPr>
        <w:t xml:space="preserve"> niphal;</w:t>
      </w:r>
      <w:r w:rsidR="000C617E" w:rsidRPr="001F52A8">
        <w:t xml:space="preserve"> </w:t>
      </w:r>
      <w:r w:rsidR="00A179F9" w:rsidRPr="001F52A8">
        <w:t>3:</w:t>
      </w:r>
      <w:r w:rsidR="00460B3A" w:rsidRPr="001F52A8">
        <w:t>7)</w:t>
      </w:r>
      <w:r w:rsidR="00917248" w:rsidRPr="001F52A8">
        <w:t xml:space="preserve">. </w:t>
      </w:r>
      <w:r w:rsidR="00C0465B">
        <w:t>T</w:t>
      </w:r>
      <w:r w:rsidR="003D241E" w:rsidRPr="001F52A8">
        <w:t>h</w:t>
      </w:r>
      <w:r w:rsidR="004366F1" w:rsidRPr="001F52A8">
        <w:t>is</w:t>
      </w:r>
      <w:r w:rsidR="003D241E" w:rsidRPr="001F52A8">
        <w:t xml:space="preserve"> word</w:t>
      </w:r>
      <w:r w:rsidR="004366F1" w:rsidRPr="001F52A8">
        <w:t xml:space="preserve"> </w:t>
      </w:r>
      <w:r w:rsidR="00812969">
        <w:t>“</w:t>
      </w:r>
      <w:r w:rsidR="004366F1" w:rsidRPr="001F52A8">
        <w:t>vision</w:t>
      </w:r>
      <w:r w:rsidR="00812969">
        <w:t>”</w:t>
      </w:r>
      <w:r w:rsidR="004366F1" w:rsidRPr="001F52A8">
        <w:t xml:space="preserve"> </w:t>
      </w:r>
      <w:r w:rsidR="00C0465B">
        <w:t xml:space="preserve">comes here for the first time </w:t>
      </w:r>
      <w:r w:rsidR="00E929D2" w:rsidRPr="001F52A8">
        <w:rPr>
          <w:rFonts w:cstheme="minorHAnsi"/>
        </w:rPr>
        <w:t>in the First Testament narrative</w:t>
      </w:r>
      <w:r w:rsidR="00F554EA" w:rsidRPr="001F52A8">
        <w:rPr>
          <w:rFonts w:cstheme="minorHAnsi"/>
        </w:rPr>
        <w:t>, and t</w:t>
      </w:r>
      <w:r w:rsidR="00E62B0B" w:rsidRPr="001F52A8">
        <w:rPr>
          <w:rFonts w:cstheme="minorHAnsi"/>
        </w:rPr>
        <w:t>here have been few references to “Yahweh’s word” coming to anyone</w:t>
      </w:r>
      <w:r w:rsidR="00EB724E">
        <w:rPr>
          <w:rFonts w:cstheme="minorHAnsi"/>
        </w:rPr>
        <w:t>.</w:t>
      </w:r>
    </w:p>
    <w:p w14:paraId="6A20D326" w14:textId="6F9D2918" w:rsidR="000E3CE1" w:rsidRPr="000E3CE1" w:rsidRDefault="00F93718" w:rsidP="00731CF3">
      <w:pPr>
        <w:rPr>
          <w:rFonts w:cstheme="minorHAnsi"/>
        </w:rPr>
      </w:pPr>
      <w:r w:rsidRPr="001F52A8">
        <w:rPr>
          <w:rFonts w:cstheme="minorHAnsi"/>
        </w:rPr>
        <w:t xml:space="preserve">The </w:t>
      </w:r>
      <w:r w:rsidR="009E334E">
        <w:rPr>
          <w:rFonts w:cstheme="minorHAnsi"/>
        </w:rPr>
        <w:t>references to vision and word</w:t>
      </w:r>
      <w:r w:rsidRPr="001F52A8">
        <w:rPr>
          <w:rFonts w:cstheme="minorHAnsi"/>
        </w:rPr>
        <w:t xml:space="preserve"> </w:t>
      </w:r>
      <w:r w:rsidR="009E334E">
        <w:rPr>
          <w:rFonts w:cstheme="minorHAnsi"/>
        </w:rPr>
        <w:t>are</w:t>
      </w:r>
      <w:r w:rsidRPr="001F52A8">
        <w:rPr>
          <w:rFonts w:cstheme="minorHAnsi"/>
        </w:rPr>
        <w:t xml:space="preserve"> indication</w:t>
      </w:r>
      <w:r w:rsidR="009E334E">
        <w:rPr>
          <w:rFonts w:cstheme="minorHAnsi"/>
        </w:rPr>
        <w:t>s</w:t>
      </w:r>
      <w:r w:rsidRPr="001F52A8">
        <w:rPr>
          <w:rFonts w:cstheme="minorHAnsi"/>
        </w:rPr>
        <w:t xml:space="preserve"> that prophecy is now beginning</w:t>
      </w:r>
      <w:r w:rsidR="007811D6">
        <w:rPr>
          <w:rFonts w:cstheme="minorHAnsi"/>
        </w:rPr>
        <w:t>, in</w:t>
      </w:r>
      <w:r w:rsidR="00E656A3" w:rsidRPr="001F52A8">
        <w:rPr>
          <w:rFonts w:cstheme="minorHAnsi"/>
        </w:rPr>
        <w:t xml:space="preserve"> response to people doing </w:t>
      </w:r>
      <w:r w:rsidR="00B85697" w:rsidRPr="001F52A8">
        <w:rPr>
          <w:rFonts w:cstheme="minorHAnsi"/>
        </w:rPr>
        <w:t xml:space="preserve">what is upright in their </w:t>
      </w:r>
      <w:r w:rsidR="00BB0ACA" w:rsidRPr="001F52A8">
        <w:rPr>
          <w:rFonts w:cstheme="minorHAnsi"/>
        </w:rPr>
        <w:t xml:space="preserve">own </w:t>
      </w:r>
      <w:r w:rsidR="00B85697" w:rsidRPr="001F52A8">
        <w:rPr>
          <w:rFonts w:cstheme="minorHAnsi"/>
        </w:rPr>
        <w:t xml:space="preserve">eyes (Judg </w:t>
      </w:r>
      <w:r w:rsidR="00743165" w:rsidRPr="001F52A8">
        <w:rPr>
          <w:rFonts w:cstheme="minorHAnsi"/>
        </w:rPr>
        <w:t>21:25).</w:t>
      </w:r>
      <w:r w:rsidR="004E7F64" w:rsidRPr="001F52A8">
        <w:rPr>
          <w:rFonts w:cstheme="minorHAnsi"/>
        </w:rPr>
        <w:t xml:space="preserve"> But at least God’s la</w:t>
      </w:r>
      <w:r w:rsidR="00200E38" w:rsidRPr="001F52A8">
        <w:rPr>
          <w:rFonts w:cstheme="minorHAnsi"/>
        </w:rPr>
        <w:t>m</w:t>
      </w:r>
      <w:r w:rsidR="004E7F64" w:rsidRPr="001F52A8">
        <w:rPr>
          <w:rFonts w:cstheme="minorHAnsi"/>
        </w:rPr>
        <w:t>p hasn’t gone out</w:t>
      </w:r>
      <w:r w:rsidR="007828F1" w:rsidRPr="001F52A8">
        <w:rPr>
          <w:rFonts w:cstheme="minorHAnsi"/>
        </w:rPr>
        <w:t xml:space="preserve"> (which makes one think forward to </w:t>
      </w:r>
      <w:r w:rsidR="005C604A" w:rsidRPr="001F52A8">
        <w:rPr>
          <w:rFonts w:cstheme="minorHAnsi"/>
        </w:rPr>
        <w:t>2 Sam 21:17</w:t>
      </w:r>
      <w:r w:rsidR="004D2986">
        <w:rPr>
          <w:rFonts w:cstheme="minorHAnsi"/>
        </w:rPr>
        <w:t>;</w:t>
      </w:r>
      <w:r w:rsidR="005C604A" w:rsidRPr="001F52A8">
        <w:rPr>
          <w:rFonts w:cstheme="minorHAnsi"/>
        </w:rPr>
        <w:t xml:space="preserve"> Ps 132:17</w:t>
      </w:r>
      <w:r w:rsidR="007828F1" w:rsidRPr="001F52A8">
        <w:rPr>
          <w:rFonts w:cstheme="minorHAnsi"/>
        </w:rPr>
        <w:t>)</w:t>
      </w:r>
      <w:r w:rsidR="00576B18" w:rsidRPr="001F52A8">
        <w:rPr>
          <w:rFonts w:cstheme="minorHAnsi"/>
        </w:rPr>
        <w:t xml:space="preserve"> </w:t>
      </w:r>
      <w:r w:rsidR="00142889" w:rsidRPr="001F52A8">
        <w:rPr>
          <w:rFonts w:cstheme="minorHAnsi"/>
        </w:rPr>
        <w:t xml:space="preserve">and the covenant chest is still </w:t>
      </w:r>
      <w:r w:rsidR="00BB0ACA" w:rsidRPr="001F52A8">
        <w:rPr>
          <w:rFonts w:cstheme="minorHAnsi"/>
        </w:rPr>
        <w:t>at Sh</w:t>
      </w:r>
      <w:r w:rsidR="00311BA5" w:rsidRPr="001F52A8">
        <w:rPr>
          <w:rFonts w:cstheme="minorHAnsi"/>
        </w:rPr>
        <w:t>iloh</w:t>
      </w:r>
      <w:r w:rsidR="00142889" w:rsidRPr="001F52A8">
        <w:rPr>
          <w:rFonts w:cstheme="minorHAnsi"/>
        </w:rPr>
        <w:t xml:space="preserve">, </w:t>
      </w:r>
      <w:r w:rsidR="004E7F64" w:rsidRPr="001F52A8">
        <w:rPr>
          <w:rFonts w:cstheme="minorHAnsi"/>
        </w:rPr>
        <w:t xml:space="preserve">even if Eli </w:t>
      </w:r>
      <w:r w:rsidR="00CD0616" w:rsidRPr="001F52A8">
        <w:rPr>
          <w:rFonts w:cstheme="minorHAnsi"/>
        </w:rPr>
        <w:t>is getting too old to be able to see</w:t>
      </w:r>
      <w:r w:rsidR="00200E38" w:rsidRPr="001F52A8">
        <w:rPr>
          <w:rFonts w:cstheme="minorHAnsi"/>
        </w:rPr>
        <w:t xml:space="preserve"> (3:2</w:t>
      </w:r>
      <w:r w:rsidR="00DB7B03" w:rsidRPr="001F52A8">
        <w:rPr>
          <w:rFonts w:cstheme="minorHAnsi"/>
        </w:rPr>
        <w:t>-</w:t>
      </w:r>
      <w:r w:rsidR="00200E38" w:rsidRPr="001F52A8">
        <w:rPr>
          <w:rFonts w:cstheme="minorHAnsi"/>
        </w:rPr>
        <w:t>3)</w:t>
      </w:r>
      <w:r w:rsidR="00CD0616" w:rsidRPr="001F52A8">
        <w:rPr>
          <w:rFonts w:cstheme="minorHAnsi"/>
        </w:rPr>
        <w:t xml:space="preserve"> and has failed to get his sons to see</w:t>
      </w:r>
      <w:r w:rsidR="00200E38" w:rsidRPr="001F52A8">
        <w:rPr>
          <w:rFonts w:cstheme="minorHAnsi"/>
        </w:rPr>
        <w:t xml:space="preserve">. </w:t>
      </w:r>
      <w:r w:rsidR="00C80393" w:rsidRPr="001F52A8">
        <w:rPr>
          <w:rFonts w:cstheme="minorHAnsi"/>
        </w:rPr>
        <w:t xml:space="preserve">But he eventually </w:t>
      </w:r>
      <w:r w:rsidR="00B3237E" w:rsidRPr="001F52A8">
        <w:rPr>
          <w:rFonts w:cstheme="minorHAnsi"/>
        </w:rPr>
        <w:t>realize</w:t>
      </w:r>
      <w:r w:rsidR="00D45CA3">
        <w:rPr>
          <w:rFonts w:cstheme="minorHAnsi"/>
        </w:rPr>
        <w:t>s</w:t>
      </w:r>
      <w:r w:rsidR="00B3237E" w:rsidRPr="001F52A8">
        <w:rPr>
          <w:rFonts w:cstheme="minorHAnsi"/>
        </w:rPr>
        <w:t xml:space="preserve"> who is speaking to Samuel, and instruct</w:t>
      </w:r>
      <w:r w:rsidR="00D45CA3">
        <w:rPr>
          <w:rFonts w:cstheme="minorHAnsi"/>
        </w:rPr>
        <w:t>s</w:t>
      </w:r>
      <w:r w:rsidR="00B3237E" w:rsidRPr="001F52A8">
        <w:rPr>
          <w:rFonts w:cstheme="minorHAnsi"/>
        </w:rPr>
        <w:t xml:space="preserve"> him on how to respond and submit to Yahweh’s word.</w:t>
      </w:r>
      <w:r w:rsidR="00B914C0" w:rsidRPr="001F52A8">
        <w:rPr>
          <w:rFonts w:cstheme="minorHAnsi"/>
        </w:rPr>
        <w:t xml:space="preserve"> </w:t>
      </w:r>
      <w:r w:rsidR="00A473F6" w:rsidRPr="001F52A8">
        <w:t xml:space="preserve">Even here, </w:t>
      </w:r>
      <w:r w:rsidR="00A473F6">
        <w:t>“</w:t>
      </w:r>
      <w:r w:rsidR="00A473F6" w:rsidRPr="001F52A8">
        <w:t>ca</w:t>
      </w:r>
      <w:r w:rsidR="00A473F6">
        <w:t>ll”</w:t>
      </w:r>
      <w:r w:rsidR="00A473F6" w:rsidRPr="001F52A8">
        <w:t xml:space="preserve"> does not refer to a vocation or commission – there is </w:t>
      </w:r>
      <w:r w:rsidR="005D605C">
        <w:t xml:space="preserve">no </w:t>
      </w:r>
      <w:r w:rsidR="00A473F6" w:rsidRPr="001F52A8">
        <w:t xml:space="preserve">sending in the story. </w:t>
      </w:r>
      <w:r w:rsidR="00A473F6">
        <w:t>T</w:t>
      </w:r>
      <w:r w:rsidR="00A473F6" w:rsidRPr="001F52A8">
        <w:t>here is a message</w:t>
      </w:r>
      <w:r w:rsidR="00A473F6">
        <w:t>, but</w:t>
      </w:r>
      <w:r w:rsidR="00A473F6" w:rsidRPr="001F52A8">
        <w:t xml:space="preserve"> no </w:t>
      </w:r>
      <w:r w:rsidR="007F412F">
        <w:t>instruction</w:t>
      </w:r>
      <w:r w:rsidR="00A473F6" w:rsidRPr="001F52A8">
        <w:t xml:space="preserve"> to deliver </w:t>
      </w:r>
      <w:r w:rsidR="00A473F6">
        <w:t>it</w:t>
      </w:r>
      <w:r w:rsidR="00A473F6" w:rsidRPr="001F52A8">
        <w:t xml:space="preserve">, and it </w:t>
      </w:r>
      <w:r w:rsidR="00A473F6">
        <w:t>might be partly</w:t>
      </w:r>
      <w:r w:rsidR="00A473F6" w:rsidRPr="001F52A8">
        <w:t xml:space="preserve"> for Samuel himself</w:t>
      </w:r>
      <w:r w:rsidR="00A473F6">
        <w:t>.</w:t>
      </w:r>
      <w:r w:rsidR="00A473F6" w:rsidRPr="001F52A8">
        <w:t xml:space="preserve"> </w:t>
      </w:r>
      <w:r w:rsidR="00C7301F">
        <w:t xml:space="preserve">But </w:t>
      </w:r>
      <w:r w:rsidR="00A473F6" w:rsidRPr="001F52A8">
        <w:t xml:space="preserve">Samuel assumes he has to deliver it, </w:t>
      </w:r>
      <w:r w:rsidR="00A473F6">
        <w:t>as</w:t>
      </w:r>
      <w:r w:rsidR="00A473F6" w:rsidRPr="001F52A8">
        <w:t xml:space="preserve"> perhaps the story takes for granted. </w:t>
      </w:r>
      <w:r w:rsidR="00A473F6" w:rsidRPr="001F52A8">
        <w:rPr>
          <w:rFonts w:cstheme="minorHAnsi"/>
        </w:rPr>
        <w:t xml:space="preserve">Typically, the prophetic </w:t>
      </w:r>
      <w:r w:rsidR="00A473F6">
        <w:rPr>
          <w:rFonts w:cstheme="minorHAnsi"/>
        </w:rPr>
        <w:t>message</w:t>
      </w:r>
      <w:r w:rsidR="00A473F6" w:rsidRPr="001F52A8">
        <w:rPr>
          <w:rFonts w:cstheme="minorHAnsi"/>
        </w:rPr>
        <w:t xml:space="preserve"> relates to something unpleasant (compare Isa 6; Jer 1:4-19; Ezek 1 – 3). </w:t>
      </w:r>
      <w:r w:rsidR="004B4082">
        <w:rPr>
          <w:rFonts w:cstheme="minorHAnsi"/>
        </w:rPr>
        <w:t>Samuel holds back from d</w:t>
      </w:r>
      <w:r w:rsidR="00731CF3">
        <w:rPr>
          <w:rFonts w:cstheme="minorHAnsi"/>
        </w:rPr>
        <w:t>elivering it</w:t>
      </w:r>
      <w:r w:rsidR="004B4082">
        <w:rPr>
          <w:rFonts w:cstheme="minorHAnsi"/>
        </w:rPr>
        <w:t xml:space="preserve">; </w:t>
      </w:r>
      <w:r w:rsidR="000E3CE1">
        <w:rPr>
          <w:rFonts w:cstheme="minorHAnsi"/>
        </w:rPr>
        <w:t>but “</w:t>
      </w:r>
      <w:r w:rsidR="000E3CE1" w:rsidRPr="000E3CE1">
        <w:rPr>
          <w:rFonts w:ascii="Calibri" w:hAnsi="Calibri" w:cs="Calibri"/>
        </w:rPr>
        <w:t xml:space="preserve">the brave old man demands, with a firmness backed up by an oath, that Samuel not conceal </w:t>
      </w:r>
      <w:r w:rsidR="006A740F">
        <w:rPr>
          <w:rFonts w:ascii="Calibri" w:hAnsi="Calibri" w:cs="Calibri"/>
        </w:rPr>
        <w:t>‘</w:t>
      </w:r>
      <w:r w:rsidR="000E3CE1" w:rsidRPr="000E3CE1">
        <w:rPr>
          <w:rFonts w:ascii="Calibri" w:hAnsi="Calibri" w:cs="Calibri"/>
        </w:rPr>
        <w:t>anything of all that He told you</w:t>
      </w:r>
      <w:r w:rsidR="006A740F">
        <w:rPr>
          <w:rFonts w:ascii="Calibri" w:hAnsi="Calibri" w:cs="Calibri"/>
        </w:rPr>
        <w:t>’”</w:t>
      </w:r>
      <w:r w:rsidR="000E3CE1" w:rsidRPr="000E3CE1">
        <w:rPr>
          <w:rFonts w:ascii="Calibri" w:hAnsi="Calibri" w:cs="Calibri"/>
        </w:rPr>
        <w:t xml:space="preserve"> (v. 17).</w:t>
      </w:r>
      <w:r w:rsidR="000E3CE1">
        <w:rPr>
          <w:rStyle w:val="FootnoteReference"/>
          <w:rFonts w:ascii="Calibri" w:hAnsi="Calibri" w:cs="Calibri"/>
        </w:rPr>
        <w:footnoteReference w:id="70"/>
      </w:r>
    </w:p>
    <w:p w14:paraId="6C171874" w14:textId="20279025" w:rsidR="00F01972" w:rsidRPr="001F52A8" w:rsidRDefault="00B44215" w:rsidP="00767375">
      <w:pPr>
        <w:rPr>
          <w:rFonts w:cstheme="minorHAnsi"/>
        </w:rPr>
      </w:pPr>
      <w:r w:rsidRPr="001F52A8">
        <w:t xml:space="preserve">Samuel is now moving from being an assistant to being a servant </w:t>
      </w:r>
      <w:r w:rsidR="00F9649C">
        <w:t>of Yahweh</w:t>
      </w:r>
      <w:r w:rsidRPr="001F52A8">
        <w:t xml:space="preserve">, like Moses, Joshua, and in due course David. </w:t>
      </w:r>
      <w:r w:rsidR="00000697" w:rsidRPr="001F52A8">
        <w:t xml:space="preserve">“Speak, Yahweh, </w:t>
      </w:r>
      <w:r w:rsidR="004D3B3F" w:rsidRPr="001F52A8">
        <w:t>because your servant is listening”</w:t>
      </w:r>
      <w:r w:rsidR="00B35058">
        <w:t xml:space="preserve"> (3:9)</w:t>
      </w:r>
      <w:r w:rsidR="004D3B3F" w:rsidRPr="001F52A8">
        <w:t>: “Samuel grows into his name.”</w:t>
      </w:r>
      <w:r w:rsidR="004D3B3F" w:rsidRPr="001F52A8">
        <w:rPr>
          <w:rStyle w:val="FootnoteReference"/>
        </w:rPr>
        <w:footnoteReference w:id="71"/>
      </w:r>
      <w:r w:rsidR="004D3B3F" w:rsidRPr="001F52A8">
        <w:t xml:space="preserve"> </w:t>
      </w:r>
      <w:r w:rsidR="006A7D10" w:rsidRPr="001F52A8">
        <w:t xml:space="preserve">Yahweh </w:t>
      </w:r>
      <w:r w:rsidR="004D1B98" w:rsidRPr="001F52A8">
        <w:t>i</w:t>
      </w:r>
      <w:r w:rsidR="006A7D10" w:rsidRPr="001F52A8">
        <w:t>s with him</w:t>
      </w:r>
      <w:r w:rsidR="00522098" w:rsidRPr="001F52A8">
        <w:t xml:space="preserve"> (3:19) as he was with</w:t>
      </w:r>
      <w:r w:rsidR="006A7D10" w:rsidRPr="001F52A8">
        <w:t xml:space="preserve"> Joseph (Gen 39:2, 3, 21, 23)</w:t>
      </w:r>
      <w:r w:rsidR="00522098" w:rsidRPr="001F52A8">
        <w:t>,</w:t>
      </w:r>
      <w:r w:rsidR="006A7D10" w:rsidRPr="001F52A8">
        <w:t xml:space="preserve"> Joshua (Josh 6:27)</w:t>
      </w:r>
      <w:r w:rsidR="00522098" w:rsidRPr="001F52A8">
        <w:t xml:space="preserve">, and the </w:t>
      </w:r>
      <w:r w:rsidR="006A7D10" w:rsidRPr="001F52A8">
        <w:t>judges (Judg 2:18)</w:t>
      </w:r>
      <w:r w:rsidR="00522098" w:rsidRPr="001F52A8">
        <w:t>, and will be with</w:t>
      </w:r>
      <w:r w:rsidR="006A7D10" w:rsidRPr="001F52A8">
        <w:t xml:space="preserve"> David (18:12, 14, 28)</w:t>
      </w:r>
      <w:r w:rsidR="00522098" w:rsidRPr="001F52A8">
        <w:t xml:space="preserve">. </w:t>
      </w:r>
      <w:r w:rsidR="00A3041B">
        <w:t>In 1 Samuel 3 h</w:t>
      </w:r>
      <w:r w:rsidR="00433674" w:rsidRPr="001F52A8">
        <w:t xml:space="preserve">e enters the scene </w:t>
      </w:r>
      <w:r w:rsidR="007A6BAB">
        <w:t xml:space="preserve">a boy and </w:t>
      </w:r>
      <w:r w:rsidR="00433674" w:rsidRPr="001F52A8">
        <w:t>an apprentice priest</w:t>
      </w:r>
      <w:r w:rsidR="0054628D">
        <w:t>,</w:t>
      </w:r>
      <w:r w:rsidR="00433674" w:rsidRPr="001F52A8">
        <w:t xml:space="preserve"> and exits a prophet</w:t>
      </w:r>
      <w:r w:rsidR="007F243C">
        <w:t xml:space="preserve"> or a priest who is also a prophet</w:t>
      </w:r>
      <w:r w:rsidR="007063A5">
        <w:rPr>
          <w:rFonts w:cstheme="minorHAnsi"/>
        </w:rPr>
        <w:t>;</w:t>
      </w:r>
      <w:r w:rsidR="004E6FCD">
        <w:rPr>
          <w:rStyle w:val="FootnoteReference"/>
          <w:rFonts w:cstheme="minorHAnsi"/>
        </w:rPr>
        <w:footnoteReference w:id="72"/>
      </w:r>
      <w:r w:rsidR="000D56AB" w:rsidRPr="001F52A8">
        <w:rPr>
          <w:rFonts w:cstheme="minorHAnsi"/>
        </w:rPr>
        <w:t xml:space="preserve"> </w:t>
      </w:r>
      <w:r w:rsidR="00CB5DB2">
        <w:rPr>
          <w:rFonts w:cstheme="minorHAnsi"/>
        </w:rPr>
        <w:t>he will also function as a “judge.”</w:t>
      </w:r>
      <w:r w:rsidR="00273CE6">
        <w:rPr>
          <w:rStyle w:val="FootnoteReference"/>
          <w:rFonts w:cstheme="minorHAnsi"/>
        </w:rPr>
        <w:footnoteReference w:id="73"/>
      </w:r>
      <w:r w:rsidR="00CB5DB2">
        <w:rPr>
          <w:rFonts w:cstheme="minorHAnsi"/>
        </w:rPr>
        <w:t xml:space="preserve"> </w:t>
      </w:r>
      <w:r w:rsidR="000D56AB" w:rsidRPr="001F52A8">
        <w:rPr>
          <w:rFonts w:cstheme="minorHAnsi"/>
        </w:rPr>
        <w:t xml:space="preserve">Although </w:t>
      </w:r>
      <w:r w:rsidR="005950B3" w:rsidRPr="001F52A8">
        <w:rPr>
          <w:rFonts w:cstheme="minorHAnsi"/>
        </w:rPr>
        <w:t xml:space="preserve">the story says that people recognized him as </w:t>
      </w:r>
      <w:r w:rsidR="00AC7DE8">
        <w:rPr>
          <w:rFonts w:cstheme="minorHAnsi"/>
        </w:rPr>
        <w:t>a prophet</w:t>
      </w:r>
      <w:r w:rsidR="005950B3" w:rsidRPr="001F52A8">
        <w:rPr>
          <w:rFonts w:cstheme="minorHAnsi"/>
        </w:rPr>
        <w:t xml:space="preserve"> (3:20), they would hardly have known what the word meant (it </w:t>
      </w:r>
      <w:r w:rsidR="001F7805" w:rsidRPr="001F52A8">
        <w:rPr>
          <w:rFonts w:cstheme="minorHAnsi"/>
        </w:rPr>
        <w:t>has been used previously of Abraham and Moses, somewhat loosely</w:t>
      </w:r>
      <w:r w:rsidR="00934063">
        <w:rPr>
          <w:rFonts w:cstheme="minorHAnsi"/>
        </w:rPr>
        <w:t>,</w:t>
      </w:r>
      <w:r w:rsidR="00A62EBA" w:rsidRPr="001F52A8">
        <w:rPr>
          <w:rFonts w:cstheme="minorHAnsi"/>
        </w:rPr>
        <w:t xml:space="preserve"> </w:t>
      </w:r>
      <w:r w:rsidR="00505D23" w:rsidRPr="001F52A8">
        <w:rPr>
          <w:rFonts w:cstheme="minorHAnsi"/>
        </w:rPr>
        <w:t xml:space="preserve">and </w:t>
      </w:r>
      <w:r w:rsidR="00BA012F" w:rsidRPr="001F52A8">
        <w:rPr>
          <w:rFonts w:cstheme="minorHAnsi"/>
        </w:rPr>
        <w:t xml:space="preserve">in </w:t>
      </w:r>
      <w:r w:rsidR="00505D23" w:rsidRPr="001F52A8">
        <w:rPr>
          <w:rFonts w:cstheme="minorHAnsi"/>
        </w:rPr>
        <w:t xml:space="preserve">Judg </w:t>
      </w:r>
      <w:r w:rsidR="00A62EBA" w:rsidRPr="001F52A8">
        <w:rPr>
          <w:rFonts w:cstheme="minorHAnsi"/>
        </w:rPr>
        <w:t xml:space="preserve">6:8). </w:t>
      </w:r>
      <w:r w:rsidR="00752E18" w:rsidRPr="001F52A8">
        <w:rPr>
          <w:rFonts w:cstheme="minorHAnsi"/>
        </w:rPr>
        <w:t xml:space="preserve">Its implication here is that </w:t>
      </w:r>
      <w:r w:rsidR="0030038B" w:rsidRPr="001F52A8">
        <w:rPr>
          <w:rFonts w:cstheme="minorHAnsi"/>
        </w:rPr>
        <w:t>Yahweh lets himself be seen and reveals himself at Shiloh</w:t>
      </w:r>
      <w:r w:rsidR="00192E36" w:rsidRPr="001F52A8">
        <w:rPr>
          <w:rFonts w:cstheme="minorHAnsi"/>
        </w:rPr>
        <w:t xml:space="preserve"> </w:t>
      </w:r>
      <w:r w:rsidR="00BC4EB9" w:rsidRPr="001F52A8">
        <w:rPr>
          <w:rFonts w:cstheme="minorHAnsi"/>
        </w:rPr>
        <w:t xml:space="preserve">with Yahweh’s word </w:t>
      </w:r>
      <w:r w:rsidR="00192E36" w:rsidRPr="001F52A8">
        <w:rPr>
          <w:rFonts w:cstheme="minorHAnsi"/>
        </w:rPr>
        <w:t>(as in 3:4</w:t>
      </w:r>
      <w:r w:rsidR="00DB7B03" w:rsidRPr="001F52A8">
        <w:rPr>
          <w:rFonts w:cstheme="minorHAnsi"/>
        </w:rPr>
        <w:t>-</w:t>
      </w:r>
      <w:r w:rsidR="00192E36" w:rsidRPr="001F52A8">
        <w:rPr>
          <w:rFonts w:cstheme="minorHAnsi"/>
        </w:rPr>
        <w:t>14</w:t>
      </w:r>
      <w:r w:rsidR="00DC4588" w:rsidRPr="001F52A8">
        <w:rPr>
          <w:rFonts w:cstheme="minorHAnsi"/>
        </w:rPr>
        <w:t xml:space="preserve">), </w:t>
      </w:r>
      <w:r w:rsidR="00836822" w:rsidRPr="001F52A8">
        <w:rPr>
          <w:rFonts w:cstheme="minorHAnsi"/>
        </w:rPr>
        <w:t xml:space="preserve">and </w:t>
      </w:r>
      <w:r w:rsidR="00DC4588" w:rsidRPr="001F52A8">
        <w:rPr>
          <w:rFonts w:cstheme="minorHAnsi"/>
        </w:rPr>
        <w:t>that Yahweh’s word thus comes to Israel</w:t>
      </w:r>
      <w:r w:rsidR="000153F9" w:rsidRPr="001F52A8">
        <w:rPr>
          <w:rFonts w:cstheme="minorHAnsi"/>
        </w:rPr>
        <w:t xml:space="preserve"> as it </w:t>
      </w:r>
      <w:r w:rsidR="000153F9" w:rsidRPr="001F52A8">
        <w:rPr>
          <w:rFonts w:cstheme="minorHAnsi"/>
        </w:rPr>
        <w:lastRenderedPageBreak/>
        <w:t>did not previously (3:1)</w:t>
      </w:r>
      <w:r w:rsidR="00836822" w:rsidRPr="001F52A8">
        <w:rPr>
          <w:rFonts w:cstheme="minorHAnsi"/>
        </w:rPr>
        <w:t xml:space="preserve"> by means of Samuel’s word</w:t>
      </w:r>
      <w:r w:rsidR="00F85731" w:rsidRPr="001F52A8">
        <w:rPr>
          <w:rFonts w:cstheme="minorHAnsi"/>
        </w:rPr>
        <w:t xml:space="preserve"> (3:21 – 4:1).</w:t>
      </w:r>
      <w:r w:rsidR="00CF494F" w:rsidRPr="001F52A8">
        <w:rPr>
          <w:rFonts w:cstheme="minorHAnsi"/>
        </w:rPr>
        <w:t xml:space="preserve"> There was no slippage between Yahweh’s word coming to him and his word coming to the people</w:t>
      </w:r>
      <w:r w:rsidR="00110EFB" w:rsidRPr="001F52A8">
        <w:rPr>
          <w:rFonts w:cstheme="minorHAnsi"/>
        </w:rPr>
        <w:t xml:space="preserve">; as prophet </w:t>
      </w:r>
      <w:r w:rsidR="00267718" w:rsidRPr="001F52A8">
        <w:rPr>
          <w:rFonts w:cstheme="minorHAnsi"/>
        </w:rPr>
        <w:t xml:space="preserve">and priest </w:t>
      </w:r>
      <w:r w:rsidR="00110EFB" w:rsidRPr="001F52A8">
        <w:rPr>
          <w:rFonts w:cstheme="minorHAnsi"/>
        </w:rPr>
        <w:t>he was a truthful or trustworthy or reliable (</w:t>
      </w:r>
      <w:r w:rsidR="00110EFB" w:rsidRPr="001F52A8">
        <w:rPr>
          <w:rFonts w:cstheme="minorHAnsi"/>
          <w:i/>
          <w:iCs/>
        </w:rPr>
        <w:t>ne’ĕmān</w:t>
      </w:r>
      <w:r w:rsidR="00110EFB" w:rsidRPr="001F52A8">
        <w:rPr>
          <w:rFonts w:cstheme="minorHAnsi"/>
        </w:rPr>
        <w:t xml:space="preserve">; 3:20). </w:t>
      </w:r>
      <w:r w:rsidR="00767375" w:rsidRPr="001F52A8">
        <w:rPr>
          <w:rFonts w:cstheme="minorHAnsi"/>
        </w:rPr>
        <w:t>In place of Eli and his sons, Yahweh has declared the intention to “establish for myself a truthful priest such as acts with my mind and my spirit. I will build him a truthful household and it will walk about before my anointed for all time” (2:35). Samuel i</w:t>
      </w:r>
      <w:r w:rsidR="00110EFB" w:rsidRPr="001F52A8">
        <w:rPr>
          <w:rFonts w:cstheme="minorHAnsi"/>
        </w:rPr>
        <w:t xml:space="preserve">s </w:t>
      </w:r>
      <w:r w:rsidR="00267718" w:rsidRPr="001F52A8">
        <w:rPr>
          <w:rFonts w:cstheme="minorHAnsi"/>
        </w:rPr>
        <w:t xml:space="preserve">a first fulfillment of the promise </w:t>
      </w:r>
      <w:r w:rsidR="001651AF" w:rsidRPr="001F52A8">
        <w:rPr>
          <w:rFonts w:cstheme="minorHAnsi"/>
        </w:rPr>
        <w:t>of such a priest</w:t>
      </w:r>
      <w:r w:rsidR="00767375" w:rsidRPr="001F52A8">
        <w:rPr>
          <w:rFonts w:cstheme="minorHAnsi"/>
        </w:rPr>
        <w:t>, though his sons fail too</w:t>
      </w:r>
      <w:r w:rsidR="0070791A">
        <w:rPr>
          <w:rFonts w:cstheme="minorHAnsi"/>
        </w:rPr>
        <w:t>.</w:t>
      </w:r>
      <w:r w:rsidR="001D650A">
        <w:rPr>
          <w:rFonts w:cstheme="minorHAnsi"/>
        </w:rPr>
        <w:t xml:space="preserve"> So</w:t>
      </w:r>
      <w:r w:rsidR="00767375" w:rsidRPr="001F52A8">
        <w:rPr>
          <w:rFonts w:cstheme="minorHAnsi"/>
        </w:rPr>
        <w:t xml:space="preserve"> “for all time” </w:t>
      </w:r>
      <w:r w:rsidR="00403BFA">
        <w:rPr>
          <w:rFonts w:cstheme="minorHAnsi"/>
        </w:rPr>
        <w:t xml:space="preserve">again </w:t>
      </w:r>
      <w:r w:rsidR="00767375" w:rsidRPr="001F52A8">
        <w:rPr>
          <w:rFonts w:cstheme="minorHAnsi"/>
        </w:rPr>
        <w:t>doesn’t work out</w:t>
      </w:r>
      <w:r w:rsidR="001D650A">
        <w:rPr>
          <w:rFonts w:cstheme="minorHAnsi"/>
        </w:rPr>
        <w:t>, and t</w:t>
      </w:r>
      <w:r w:rsidR="00B74A14" w:rsidRPr="001F52A8">
        <w:rPr>
          <w:rFonts w:cstheme="minorHAnsi"/>
        </w:rPr>
        <w:t xml:space="preserve">he story will look for another fulfillment of the promise, </w:t>
      </w:r>
      <w:r w:rsidR="007360D1">
        <w:rPr>
          <w:rFonts w:cstheme="minorHAnsi"/>
        </w:rPr>
        <w:t xml:space="preserve">which will by implication come </w:t>
      </w:r>
      <w:r w:rsidR="00B74A14" w:rsidRPr="001F52A8">
        <w:rPr>
          <w:rFonts w:cstheme="minorHAnsi"/>
        </w:rPr>
        <w:t xml:space="preserve">in Zadoq. </w:t>
      </w:r>
      <w:r w:rsidR="00723309">
        <w:rPr>
          <w:rFonts w:cstheme="minorHAnsi"/>
        </w:rPr>
        <w:t>This</w:t>
      </w:r>
      <w:r w:rsidR="00A345DA" w:rsidRPr="001F52A8">
        <w:rPr>
          <w:rFonts w:cstheme="minorHAnsi"/>
        </w:rPr>
        <w:t xml:space="preserve"> failure is a concrete example of something broader. </w:t>
      </w:r>
      <w:r w:rsidR="001D650A">
        <w:rPr>
          <w:rFonts w:cstheme="minorHAnsi"/>
        </w:rPr>
        <w:t>R</w:t>
      </w:r>
      <w:r w:rsidR="00A345DA" w:rsidRPr="001F52A8">
        <w:rPr>
          <w:rFonts w:cstheme="minorHAnsi"/>
        </w:rPr>
        <w:t xml:space="preserve">eplacing </w:t>
      </w:r>
      <w:r w:rsidR="00836E88" w:rsidRPr="001F52A8">
        <w:t>Shiloh by Jerusalem doesn’t achieve much</w:t>
      </w:r>
      <w:r w:rsidR="009817BC" w:rsidRPr="001F52A8">
        <w:t xml:space="preserve">, nor does </w:t>
      </w:r>
      <w:r w:rsidR="00836E88" w:rsidRPr="001F52A8">
        <w:t>replac</w:t>
      </w:r>
      <w:r w:rsidR="001000DE">
        <w:t>ing</w:t>
      </w:r>
      <w:r w:rsidR="00836E88" w:rsidRPr="001F52A8">
        <w:t xml:space="preserve"> Eli’s line by Zadoq’s</w:t>
      </w:r>
      <w:r w:rsidR="009817BC" w:rsidRPr="001F52A8">
        <w:t>, nor does introduc</w:t>
      </w:r>
      <w:r w:rsidR="001000DE">
        <w:t>ing</w:t>
      </w:r>
      <w:r w:rsidR="009817BC" w:rsidRPr="001F52A8">
        <w:t xml:space="preserve"> prophets, nor does </w:t>
      </w:r>
      <w:r w:rsidR="007035C9" w:rsidRPr="001F52A8">
        <w:t>appoint</w:t>
      </w:r>
      <w:r w:rsidR="001000DE">
        <w:t>ing</w:t>
      </w:r>
      <w:r w:rsidR="00836E88" w:rsidRPr="001F52A8">
        <w:t xml:space="preserve"> kings</w:t>
      </w:r>
      <w:r w:rsidR="007035C9" w:rsidRPr="001F52A8">
        <w:t>. When situations get desperate,</w:t>
      </w:r>
      <w:r w:rsidR="0070013C" w:rsidRPr="001F52A8">
        <w:t xml:space="preserve"> </w:t>
      </w:r>
      <w:r w:rsidR="00836E88" w:rsidRPr="001F52A8">
        <w:t xml:space="preserve">God </w:t>
      </w:r>
      <w:r w:rsidR="0070013C" w:rsidRPr="001F52A8">
        <w:t xml:space="preserve">sometimes </w:t>
      </w:r>
      <w:r w:rsidR="00723309">
        <w:t>takes action</w:t>
      </w:r>
      <w:r w:rsidR="0070013C" w:rsidRPr="001F52A8">
        <w:t xml:space="preserve">, but it doesn’t move things on. </w:t>
      </w:r>
      <w:r w:rsidR="006715A1">
        <w:t xml:space="preserve">It’s even true of Jesus’s coming. </w:t>
      </w:r>
      <w:r w:rsidR="00B74A14" w:rsidRPr="001F52A8">
        <w:rPr>
          <w:rFonts w:cstheme="minorHAnsi"/>
        </w:rPr>
        <w:t xml:space="preserve">But meanwhile, </w:t>
      </w:r>
      <w:r w:rsidR="00F01972" w:rsidRPr="001F52A8">
        <w:rPr>
          <w:rFonts w:cstheme="minorHAnsi"/>
        </w:rPr>
        <w:t xml:space="preserve">Yahweh’s word comes to Samuel; Samuel’s word comes to Israel; </w:t>
      </w:r>
      <w:r w:rsidR="00B74A14" w:rsidRPr="001F52A8">
        <w:rPr>
          <w:rFonts w:cstheme="minorHAnsi"/>
        </w:rPr>
        <w:t xml:space="preserve">and </w:t>
      </w:r>
      <w:r w:rsidR="00F01972" w:rsidRPr="001F52A8">
        <w:rPr>
          <w:rFonts w:cstheme="minorHAnsi"/>
        </w:rPr>
        <w:t>Yahweh confirms all his words.</w:t>
      </w:r>
    </w:p>
    <w:p w14:paraId="7933A1B4" w14:textId="3321C590" w:rsidR="00C51101" w:rsidRDefault="00917248" w:rsidP="00DC53EB">
      <w:r w:rsidRPr="001F52A8">
        <w:t xml:space="preserve">The uniqueness of </w:t>
      </w:r>
      <w:r w:rsidR="001C38A7" w:rsidRPr="001F52A8">
        <w:t xml:space="preserve">Yahweh’s </w:t>
      </w:r>
      <w:r w:rsidR="00DE1D88" w:rsidRPr="001F52A8">
        <w:t>speaking to Samuel</w:t>
      </w:r>
      <w:r w:rsidR="001C38A7" w:rsidRPr="001F52A8">
        <w:t xml:space="preserve"> </w:t>
      </w:r>
      <w:r w:rsidR="00EF3619" w:rsidRPr="001F52A8">
        <w:t xml:space="preserve">links with the </w:t>
      </w:r>
      <w:r w:rsidR="00EF6263" w:rsidRPr="001F52A8">
        <w:t xml:space="preserve">significance </w:t>
      </w:r>
      <w:r w:rsidR="002A2579" w:rsidRPr="001F52A8">
        <w:t>of the action</w:t>
      </w:r>
      <w:r w:rsidR="00EF6263" w:rsidRPr="001F52A8">
        <w:t xml:space="preserve"> </w:t>
      </w:r>
      <w:r w:rsidR="000A5BA8" w:rsidRPr="001F52A8">
        <w:t xml:space="preserve">Yahweh </w:t>
      </w:r>
      <w:r w:rsidR="00110130" w:rsidRPr="001F52A8">
        <w:t xml:space="preserve">is about to </w:t>
      </w:r>
      <w:r w:rsidR="002A2579" w:rsidRPr="001F52A8">
        <w:t xml:space="preserve">take, which </w:t>
      </w:r>
      <w:r w:rsidR="00B34A8B" w:rsidRPr="001F52A8">
        <w:t xml:space="preserve">will </w:t>
      </w:r>
      <w:r w:rsidR="00C02AA0" w:rsidRPr="001F52A8">
        <w:t xml:space="preserve">shock </w:t>
      </w:r>
      <w:r w:rsidR="00A47AEA">
        <w:t>people’s</w:t>
      </w:r>
      <w:r w:rsidR="00C02AA0" w:rsidRPr="001F52A8">
        <w:t xml:space="preserve"> ears </w:t>
      </w:r>
      <w:r w:rsidR="00B34A8B" w:rsidRPr="001F52A8">
        <w:t>when they hear about it</w:t>
      </w:r>
      <w:r w:rsidR="006B7514" w:rsidRPr="001F52A8">
        <w:t>.</w:t>
      </w:r>
      <w:r w:rsidR="00C85B86" w:rsidRPr="001F52A8">
        <w:t xml:space="preserve"> </w:t>
      </w:r>
      <w:r w:rsidR="006448E0" w:rsidRPr="001F52A8">
        <w:t xml:space="preserve">Yahweh goes on to </w:t>
      </w:r>
      <w:r w:rsidR="000A5BA8" w:rsidRPr="001F52A8">
        <w:t>reiterate</w:t>
      </w:r>
      <w:r w:rsidR="00AF6405" w:rsidRPr="001F52A8">
        <w:t xml:space="preserve"> the message </w:t>
      </w:r>
      <w:r w:rsidR="006448E0" w:rsidRPr="001F52A8">
        <w:t xml:space="preserve">that </w:t>
      </w:r>
      <w:r w:rsidR="00347801" w:rsidRPr="001F52A8">
        <w:t>the divine messenger has already delivered</w:t>
      </w:r>
      <w:r w:rsidR="00A715A0" w:rsidRPr="001F52A8">
        <w:t xml:space="preserve"> about</w:t>
      </w:r>
      <w:r w:rsidR="00CF3DDD" w:rsidRPr="001F52A8">
        <w:t xml:space="preserve"> </w:t>
      </w:r>
      <w:r w:rsidR="003B1B94" w:rsidRPr="001F52A8">
        <w:t>removing Eli and his household</w:t>
      </w:r>
      <w:r w:rsidR="00E63B79" w:rsidRPr="001F52A8">
        <w:t xml:space="preserve"> “on that day</w:t>
      </w:r>
      <w:r w:rsidR="00C03239" w:rsidRPr="001F52A8">
        <w:t>.</w:t>
      </w:r>
      <w:r w:rsidR="00E63B79" w:rsidRPr="001F52A8">
        <w:t>”</w:t>
      </w:r>
      <w:r w:rsidR="00937F63" w:rsidRPr="001F52A8">
        <w:rPr>
          <w:rStyle w:val="FootnoteReference"/>
        </w:rPr>
        <w:footnoteReference w:id="74"/>
      </w:r>
      <w:r w:rsidR="00A715A0" w:rsidRPr="001F52A8">
        <w:t xml:space="preserve"> </w:t>
      </w:r>
      <w:r w:rsidR="00E34CD8">
        <w:t>T</w:t>
      </w:r>
      <w:r w:rsidR="00A715A0" w:rsidRPr="001F52A8">
        <w:t>his</w:t>
      </w:r>
      <w:r w:rsidR="004D653C" w:rsidRPr="001F52A8">
        <w:t xml:space="preserve"> </w:t>
      </w:r>
      <w:r w:rsidR="00980EF4">
        <w:t xml:space="preserve">expression covers more than that </w:t>
      </w:r>
      <w:r w:rsidR="004D653C" w:rsidRPr="001F52A8">
        <w:t>removing</w:t>
      </w:r>
      <w:r w:rsidR="00AD64F1">
        <w:t>, though Yahweh does not here indicate what else “that day” will bring</w:t>
      </w:r>
      <w:r w:rsidR="002B2AB6">
        <w:t>, so that f</w:t>
      </w:r>
      <w:r w:rsidR="002B2AB6" w:rsidRPr="001F52A8">
        <w:t>or the moment Yahweh’s announcement raises suspense</w:t>
      </w:r>
      <w:r w:rsidR="003F3DE1">
        <w:t>,</w:t>
      </w:r>
      <w:r w:rsidR="008E0436">
        <w:t xml:space="preserve"> </w:t>
      </w:r>
      <w:r w:rsidR="003F3DE1">
        <w:t>until</w:t>
      </w:r>
      <w:r w:rsidR="008E0436">
        <w:t xml:space="preserve"> 1 Samuel 4</w:t>
      </w:r>
      <w:r w:rsidR="003168BF">
        <w:t xml:space="preserve"> </w:t>
      </w:r>
      <w:r w:rsidR="003F3DE1">
        <w:t>relates</w:t>
      </w:r>
      <w:r w:rsidR="003168BF">
        <w:t xml:space="preserve"> the main catastrophe</w:t>
      </w:r>
      <w:r w:rsidR="003F3DE1">
        <w:t xml:space="preserve"> of which the </w:t>
      </w:r>
      <w:r w:rsidR="00C04712">
        <w:t xml:space="preserve">death of Eli and his sons is an </w:t>
      </w:r>
      <w:r w:rsidR="00256499">
        <w:t>incidental result.</w:t>
      </w:r>
    </w:p>
    <w:p w14:paraId="4B0039D4" w14:textId="77777777" w:rsidR="00C51101" w:rsidRDefault="00C51101">
      <w:pPr>
        <w:spacing w:after="160"/>
        <w:ind w:firstLine="0"/>
      </w:pPr>
      <w:r>
        <w:br w:type="page"/>
      </w:r>
    </w:p>
    <w:p w14:paraId="710267F9" w14:textId="688DA17A" w:rsidR="00455C51" w:rsidRDefault="00530FF6" w:rsidP="00574C70">
      <w:pPr>
        <w:pStyle w:val="Heading1"/>
        <w:numPr>
          <w:ilvl w:val="0"/>
          <w:numId w:val="19"/>
        </w:numPr>
      </w:pPr>
      <w:r>
        <w:lastRenderedPageBreak/>
        <w:t xml:space="preserve">Yahweh Who Designates </w:t>
      </w:r>
      <w:r w:rsidR="007C6A4D" w:rsidRPr="001F52A8">
        <w:t>a King</w:t>
      </w:r>
      <w:r w:rsidR="006659B7" w:rsidRPr="001F52A8">
        <w:t xml:space="preserve"> (1 Samuel 4:</w:t>
      </w:r>
      <w:r w:rsidR="00546FB2" w:rsidRPr="001F52A8">
        <w:t>1b</w:t>
      </w:r>
      <w:r w:rsidR="006659B7" w:rsidRPr="001F52A8">
        <w:t xml:space="preserve"> – 12:</w:t>
      </w:r>
      <w:r w:rsidR="0057271B" w:rsidRPr="001F52A8">
        <w:t>25)</w:t>
      </w:r>
    </w:p>
    <w:p w14:paraId="0B18DFAA" w14:textId="5B2A619A" w:rsidR="00C35987" w:rsidRPr="00C35987" w:rsidRDefault="008B690E" w:rsidP="00BF0257">
      <w:r w:rsidRPr="001F52A8">
        <w:t xml:space="preserve">Samuel does not begin by telling </w:t>
      </w:r>
      <w:r>
        <w:t>readers</w:t>
      </w:r>
      <w:r w:rsidRPr="001F52A8">
        <w:t xml:space="preserve"> its theme or its theological concerns, </w:t>
      </w:r>
      <w:r w:rsidR="00580ED6">
        <w:t>though</w:t>
      </w:r>
      <w:r w:rsidRPr="001F52A8">
        <w:t xml:space="preserve"> with hindsight </w:t>
      </w:r>
      <w:r>
        <w:t>they can</w:t>
      </w:r>
      <w:r w:rsidRPr="001F52A8">
        <w:t xml:space="preserve"> see them hinted in </w:t>
      </w:r>
      <w:r>
        <w:t>its</w:t>
      </w:r>
      <w:r w:rsidRPr="001F52A8">
        <w:t xml:space="preserve"> opening pages. </w:t>
      </w:r>
      <w:r w:rsidR="003A188B">
        <w:t>Samuel was the baby who was</w:t>
      </w:r>
      <w:r w:rsidRPr="001F52A8">
        <w:t xml:space="preserve"> </w:t>
      </w:r>
      <w:r w:rsidR="003A188B">
        <w:t>“asked for” (</w:t>
      </w:r>
      <w:r w:rsidR="003A188B">
        <w:rPr>
          <w:rFonts w:cstheme="minorHAnsi"/>
          <w:i/>
          <w:iCs/>
        </w:rPr>
        <w:t>šā’ûl</w:t>
      </w:r>
      <w:r w:rsidR="008D5AA1">
        <w:rPr>
          <w:rFonts w:cstheme="minorHAnsi"/>
        </w:rPr>
        <w:t>; 1:28</w:t>
      </w:r>
      <w:r w:rsidR="003A188B">
        <w:rPr>
          <w:rFonts w:cstheme="minorHAnsi"/>
        </w:rPr>
        <w:t xml:space="preserve">). </w:t>
      </w:r>
      <w:r w:rsidR="00B72E7F">
        <w:rPr>
          <w:rFonts w:cstheme="minorHAnsi"/>
        </w:rPr>
        <w:t xml:space="preserve">Hannah sang of Yahweh’s </w:t>
      </w:r>
      <w:r w:rsidR="004A0411">
        <w:rPr>
          <w:rFonts w:cstheme="minorHAnsi"/>
        </w:rPr>
        <w:t>“</w:t>
      </w:r>
      <w:r w:rsidR="00B72E7F">
        <w:rPr>
          <w:rFonts w:cstheme="minorHAnsi"/>
        </w:rPr>
        <w:t>anointed</w:t>
      </w:r>
      <w:r w:rsidR="004A0411">
        <w:rPr>
          <w:rFonts w:cstheme="minorHAnsi"/>
        </w:rPr>
        <w:t xml:space="preserve">” (2:10). </w:t>
      </w:r>
      <w:r w:rsidR="008104B0">
        <w:rPr>
          <w:rFonts w:cstheme="minorHAnsi"/>
        </w:rPr>
        <w:t xml:space="preserve">The calamity that follows Yahweh’s summons of Samuel will lead into </w:t>
      </w:r>
      <w:r w:rsidR="0035195C">
        <w:rPr>
          <w:rFonts w:cstheme="minorHAnsi"/>
        </w:rPr>
        <w:t xml:space="preserve">the anointing of one </w:t>
      </w:r>
      <w:r w:rsidR="00BF0257">
        <w:rPr>
          <w:rFonts w:cstheme="minorHAnsi"/>
        </w:rPr>
        <w:t>whom the people ask for.</w:t>
      </w:r>
      <w:r w:rsidR="008D5AA1">
        <w:rPr>
          <w:rFonts w:cstheme="minorHAnsi"/>
        </w:rPr>
        <w:t xml:space="preserve"> </w:t>
      </w:r>
    </w:p>
    <w:p w14:paraId="35C68E27" w14:textId="6255DEA1" w:rsidR="00224609" w:rsidRPr="001F52A8" w:rsidRDefault="00AA2794" w:rsidP="000B0A0F">
      <w:pPr>
        <w:pStyle w:val="Heading2"/>
      </w:pPr>
      <w:r w:rsidRPr="001F52A8">
        <w:t>The God of Bet Shemesh</w:t>
      </w:r>
    </w:p>
    <w:p w14:paraId="10B72B64" w14:textId="49C31ABB" w:rsidR="006713B9" w:rsidRPr="001F52A8" w:rsidRDefault="00775521" w:rsidP="008410CC">
      <w:r w:rsidRPr="001F52A8">
        <w:t>In MT</w:t>
      </w:r>
      <w:r w:rsidR="003457AF" w:rsidRPr="001F52A8">
        <w:t xml:space="preserve">’s versification, the </w:t>
      </w:r>
      <w:r w:rsidR="008731CB" w:rsidRPr="001F52A8">
        <w:t>covenant chest</w:t>
      </w:r>
      <w:r w:rsidR="008731CB">
        <w:t xml:space="preserve">’s </w:t>
      </w:r>
      <w:r w:rsidR="003457AF" w:rsidRPr="001F52A8">
        <w:t>adventures begin</w:t>
      </w:r>
      <w:r w:rsidR="005E7242">
        <w:t xml:space="preserve"> when</w:t>
      </w:r>
      <w:r w:rsidR="00DE7D5B" w:rsidRPr="001F52A8">
        <w:t xml:space="preserve"> </w:t>
      </w:r>
      <w:r w:rsidR="004F21C3" w:rsidRPr="001F52A8">
        <w:t>“</w:t>
      </w:r>
      <w:r w:rsidR="003B62C1">
        <w:t>Samuel’s</w:t>
      </w:r>
      <w:r w:rsidR="004F21C3" w:rsidRPr="001F52A8">
        <w:t xml:space="preserve"> word came to all Israel</w:t>
      </w:r>
      <w:r w:rsidR="00EC22CD">
        <w:t>. A</w:t>
      </w:r>
      <w:r w:rsidR="004F21C3" w:rsidRPr="001F52A8">
        <w:t xml:space="preserve">nd </w:t>
      </w:r>
      <w:r w:rsidR="00DE7D5B" w:rsidRPr="001F52A8">
        <w:t xml:space="preserve">Israel went out to meet the Philistines in battle” (4:1). </w:t>
      </w:r>
      <w:r w:rsidR="0092114A">
        <w:t>By</w:t>
      </w:r>
      <w:r w:rsidR="006F7FB6" w:rsidRPr="001F52A8">
        <w:t xml:space="preserve"> implication</w:t>
      </w:r>
      <w:r w:rsidR="0092114A">
        <w:t>,</w:t>
      </w:r>
      <w:r w:rsidR="00A80476" w:rsidRPr="001F52A8">
        <w:t xml:space="preserve"> Samuel’s message commissioned the battle</w:t>
      </w:r>
      <w:r w:rsidR="00493368">
        <w:t xml:space="preserve">, </w:t>
      </w:r>
      <w:r w:rsidR="00493368" w:rsidRPr="001F52A8">
        <w:rPr>
          <w:rFonts w:ascii="Calibri" w:hAnsi="Calibri" w:cs="Calibri"/>
        </w:rPr>
        <w:t xml:space="preserve">to bring about the fulfillment of the threats in </w:t>
      </w:r>
      <w:r w:rsidR="00493368">
        <w:rPr>
          <w:rFonts w:ascii="Calibri" w:hAnsi="Calibri" w:cs="Calibri"/>
        </w:rPr>
        <w:t xml:space="preserve">1 Sam </w:t>
      </w:r>
      <w:r w:rsidR="00493368" w:rsidRPr="001F52A8">
        <w:rPr>
          <w:rFonts w:ascii="Calibri" w:hAnsi="Calibri" w:cs="Calibri"/>
        </w:rPr>
        <w:t>2:27-34; 3:11-14</w:t>
      </w:r>
      <w:r w:rsidR="00D40DB7" w:rsidRPr="001F52A8">
        <w:t>.</w:t>
      </w:r>
      <w:r w:rsidR="006C301F">
        <w:rPr>
          <w:rStyle w:val="FootnoteReference"/>
        </w:rPr>
        <w:footnoteReference w:id="75"/>
      </w:r>
      <w:r w:rsidR="00D40DB7" w:rsidRPr="001F52A8">
        <w:t xml:space="preserve"> </w:t>
      </w:r>
      <w:r w:rsidR="00DC5E67" w:rsidRPr="001F52A8">
        <w:rPr>
          <w:rFonts w:ascii="Calibri" w:hAnsi="Calibri" w:cs="Calibri"/>
        </w:rPr>
        <w:t>But</w:t>
      </w:r>
      <w:r w:rsidR="00FD4CC4" w:rsidRPr="001F52A8">
        <w:rPr>
          <w:rFonts w:ascii="Calibri" w:hAnsi="Calibri" w:cs="Calibri"/>
        </w:rPr>
        <w:t xml:space="preserve"> </w:t>
      </w:r>
      <w:r w:rsidR="006129DA" w:rsidRPr="001F52A8">
        <w:rPr>
          <w:rFonts w:ascii="Calibri" w:hAnsi="Calibri" w:cs="Calibri"/>
        </w:rPr>
        <w:t>Samuel</w:t>
      </w:r>
      <w:r w:rsidR="00A11C1E">
        <w:rPr>
          <w:rFonts w:ascii="Calibri" w:hAnsi="Calibri" w:cs="Calibri"/>
        </w:rPr>
        <w:t xml:space="preserve"> is missing</w:t>
      </w:r>
      <w:r w:rsidR="00834A7D" w:rsidRPr="001F52A8">
        <w:rPr>
          <w:rFonts w:ascii="Calibri" w:hAnsi="Calibri" w:cs="Calibri"/>
        </w:rPr>
        <w:t xml:space="preserve"> from 4:1b – 7:1</w:t>
      </w:r>
      <w:r w:rsidR="00AB72B2">
        <w:rPr>
          <w:rFonts w:ascii="Calibri" w:hAnsi="Calibri" w:cs="Calibri"/>
        </w:rPr>
        <w:t>,</w:t>
      </w:r>
      <w:r w:rsidR="00FD4CC4" w:rsidRPr="001F52A8">
        <w:rPr>
          <w:rFonts w:ascii="Calibri" w:hAnsi="Calibri" w:cs="Calibri"/>
        </w:rPr>
        <w:t xml:space="preserve"> </w:t>
      </w:r>
      <w:r w:rsidR="00583896">
        <w:rPr>
          <w:rFonts w:ascii="Calibri" w:hAnsi="Calibri" w:cs="Calibri"/>
        </w:rPr>
        <w:t xml:space="preserve">and more likely </w:t>
      </w:r>
      <w:r w:rsidR="00FB20AD" w:rsidRPr="001F52A8">
        <w:t>the account of his recognition (3:19</w:t>
      </w:r>
      <w:r w:rsidR="00E47099" w:rsidRPr="001F52A8">
        <w:t xml:space="preserve"> – 4:1a</w:t>
      </w:r>
      <w:r w:rsidR="00FB20AD" w:rsidRPr="001F52A8">
        <w:t xml:space="preserve">) </w:t>
      </w:r>
      <w:r w:rsidR="00AB72B2">
        <w:t>i</w:t>
      </w:r>
      <w:r w:rsidR="00E47099" w:rsidRPr="001F52A8">
        <w:t>s</w:t>
      </w:r>
      <w:r w:rsidR="00FB20AD" w:rsidRPr="001F52A8">
        <w:t xml:space="preserve"> anticipatory</w:t>
      </w:r>
      <w:r w:rsidR="00AB72B2">
        <w:t>;</w:t>
      </w:r>
      <w:r w:rsidR="00B95CAC" w:rsidRPr="001F52A8">
        <w:rPr>
          <w:rStyle w:val="FootnoteReference"/>
        </w:rPr>
        <w:footnoteReference w:id="76"/>
      </w:r>
      <w:r w:rsidR="00FB20AD" w:rsidRPr="001F52A8">
        <w:t xml:space="preserve"> </w:t>
      </w:r>
      <w:r w:rsidR="00E47099" w:rsidRPr="001F52A8">
        <w:t xml:space="preserve">through </w:t>
      </w:r>
      <w:r w:rsidR="00834A7D" w:rsidRPr="001F52A8">
        <w:t>what follows</w:t>
      </w:r>
      <w:r w:rsidR="00275926" w:rsidRPr="001F52A8">
        <w:t xml:space="preserve"> </w:t>
      </w:r>
      <w:r w:rsidR="00FB20AD" w:rsidRPr="001F52A8">
        <w:t>he is still a boy at Shiloh</w:t>
      </w:r>
      <w:r w:rsidR="00DC5645">
        <w:t>.</w:t>
      </w:r>
      <w:r w:rsidR="00275926" w:rsidRPr="001F52A8">
        <w:t xml:space="preserve"> Eli and his sons are still in charge</w:t>
      </w:r>
      <w:r w:rsidR="004C2570">
        <w:t>, and if</w:t>
      </w:r>
      <w:r w:rsidR="00EC5997">
        <w:t xml:space="preserve"> anything, </w:t>
      </w:r>
      <w:r w:rsidR="00161A71">
        <w:t xml:space="preserve">his absence from the </w:t>
      </w:r>
      <w:r w:rsidR="00281FAB">
        <w:t>narrative</w:t>
      </w:r>
      <w:r w:rsidR="004C2570">
        <w:t xml:space="preserve"> </w:t>
      </w:r>
      <w:r w:rsidR="006C66D2">
        <w:t>frees him from any blame for what happens.</w:t>
      </w:r>
      <w:r w:rsidR="006C66D2">
        <w:rPr>
          <w:rStyle w:val="FootnoteReference"/>
          <w:rFonts w:cstheme="minorHAnsi"/>
        </w:rPr>
        <w:footnoteReference w:id="77"/>
      </w:r>
      <w:r w:rsidR="004C2570">
        <w:t xml:space="preserve"> </w:t>
      </w:r>
      <w:r w:rsidR="00A13837" w:rsidRPr="001F52A8">
        <w:rPr>
          <w:rFonts w:ascii="Calibri" w:hAnsi="Calibri" w:cs="Calibri"/>
        </w:rPr>
        <w:t>T</w:t>
      </w:r>
      <w:r w:rsidR="00A13837" w:rsidRPr="001F52A8">
        <w:t>h</w:t>
      </w:r>
      <w:r w:rsidR="00DC5645">
        <w:t>is</w:t>
      </w:r>
      <w:r w:rsidR="00A13837" w:rsidRPr="001F52A8">
        <w:t xml:space="preserve"> story </w:t>
      </w:r>
      <w:r w:rsidR="00C256D1" w:rsidRPr="001F52A8">
        <w:t xml:space="preserve">then has </w:t>
      </w:r>
      <w:r w:rsidR="00A13837" w:rsidRPr="001F52A8">
        <w:t xml:space="preserve">a dramatic beginning </w:t>
      </w:r>
      <w:r w:rsidR="00ED24D3">
        <w:t xml:space="preserve">in </w:t>
      </w:r>
      <w:r w:rsidR="00EC22CD">
        <w:t>4:1b</w:t>
      </w:r>
      <w:r w:rsidR="001F144E">
        <w:t xml:space="preserve"> that does not give any background</w:t>
      </w:r>
      <w:r w:rsidR="00A13837" w:rsidRPr="001F52A8">
        <w:t>.</w:t>
      </w:r>
      <w:r w:rsidR="0059061B">
        <w:rPr>
          <w:rStyle w:val="FootnoteReference"/>
        </w:rPr>
        <w:footnoteReference w:id="78"/>
      </w:r>
    </w:p>
    <w:p w14:paraId="525B790B" w14:textId="6DD06296" w:rsidR="00221176" w:rsidRPr="001F52A8" w:rsidRDefault="00F93C33" w:rsidP="00F61402">
      <w:r w:rsidRPr="001F52A8">
        <w:t>There is less disagreement about the end of th</w:t>
      </w:r>
      <w:r w:rsidR="005C7195" w:rsidRPr="001F52A8">
        <w:t>e story of the chest</w:t>
      </w:r>
      <w:r w:rsidR="0068586A" w:rsidRPr="001F52A8">
        <w:t xml:space="preserve">, though </w:t>
      </w:r>
      <w:r w:rsidR="009778B6" w:rsidRPr="001F52A8">
        <w:t xml:space="preserve">there is </w:t>
      </w:r>
      <w:r w:rsidR="0068586A" w:rsidRPr="001F52A8">
        <w:t>some ambiguity about it</w:t>
      </w:r>
      <w:r w:rsidR="00B939D5">
        <w:t>s</w:t>
      </w:r>
      <w:r w:rsidR="0068586A" w:rsidRPr="001F52A8">
        <w:t xml:space="preserve"> mean</w:t>
      </w:r>
      <w:r w:rsidR="00B939D5">
        <w:t>ing</w:t>
      </w:r>
      <w:r w:rsidR="005F7558" w:rsidRPr="001F52A8">
        <w:t xml:space="preserve">. </w:t>
      </w:r>
      <w:r w:rsidR="00EF3212" w:rsidRPr="001F52A8">
        <w:t>M</w:t>
      </w:r>
      <w:r w:rsidR="005F7558" w:rsidRPr="001F52A8">
        <w:t xml:space="preserve">odern translations agree with MT </w:t>
      </w:r>
      <w:r w:rsidR="00E4226A" w:rsidRPr="001F52A8">
        <w:t>against the medieval chapter division</w:t>
      </w:r>
      <w:r w:rsidR="00EF3212" w:rsidRPr="001F52A8">
        <w:t xml:space="preserve"> </w:t>
      </w:r>
      <w:r w:rsidR="00814A1B" w:rsidRPr="001F52A8">
        <w:t xml:space="preserve">that </w:t>
      </w:r>
      <w:r w:rsidR="0068586A" w:rsidRPr="001F52A8">
        <w:t>the story</w:t>
      </w:r>
      <w:r w:rsidR="00814A1B" w:rsidRPr="001F52A8">
        <w:t xml:space="preserve"> ends with the people of Bet-shemesh </w:t>
      </w:r>
      <w:r w:rsidR="0067051F" w:rsidRPr="001F52A8">
        <w:t>getting the chest o</w:t>
      </w:r>
      <w:r w:rsidR="001F3B6B" w:rsidRPr="001F52A8">
        <w:t>ff</w:t>
      </w:r>
      <w:r w:rsidR="0067051F" w:rsidRPr="001F52A8">
        <w:t xml:space="preserve"> their hands</w:t>
      </w:r>
      <w:r w:rsidR="00EF3212" w:rsidRPr="001F52A8">
        <w:t xml:space="preserve"> (that is, 7:1 is the end of the story</w:t>
      </w:r>
      <w:r w:rsidR="00541F99" w:rsidRPr="001F52A8">
        <w:t>). The</w:t>
      </w:r>
      <w:r w:rsidR="00B939D5">
        <w:t>y</w:t>
      </w:r>
      <w:r w:rsidR="00541F99" w:rsidRPr="001F52A8">
        <w:t xml:space="preserve"> </w:t>
      </w:r>
      <w:r w:rsidR="007819BA" w:rsidRPr="001F52A8">
        <w:t>are keen to pass it on because</w:t>
      </w:r>
      <w:r w:rsidR="00072BDB" w:rsidRPr="001F52A8">
        <w:t xml:space="preserve"> of a conviction expressed in their</w:t>
      </w:r>
      <w:r w:rsidR="000B402A" w:rsidRPr="001F52A8">
        <w:t xml:space="preserve"> question, “Who can stand before [that is, stand in attendance on] Yahweh, this holy God?”</w:t>
      </w:r>
      <w:r w:rsidR="00562912" w:rsidRPr="001F52A8">
        <w:t xml:space="preserve"> It is </w:t>
      </w:r>
      <w:r w:rsidR="00072BDB" w:rsidRPr="001F52A8">
        <w:t xml:space="preserve">a key </w:t>
      </w:r>
      <w:r w:rsidR="00F06730" w:rsidRPr="001F52A8">
        <w:t>theological question raised by the story</w:t>
      </w:r>
      <w:r w:rsidR="00AB1194" w:rsidRPr="001F52A8">
        <w:t xml:space="preserve">, which in effect </w:t>
      </w:r>
      <w:r w:rsidR="007A4940" w:rsidRPr="001F52A8">
        <w:t>7:2-</w:t>
      </w:r>
      <w:r w:rsidR="00FD6FBB" w:rsidRPr="001F52A8">
        <w:t>17 will answer.</w:t>
      </w:r>
    </w:p>
    <w:p w14:paraId="733A0895" w14:textId="15820F44" w:rsidR="00BA2E45" w:rsidRPr="001F52A8" w:rsidRDefault="009031C4" w:rsidP="003D18BF">
      <w:r w:rsidRPr="001F52A8">
        <w:t xml:space="preserve">The </w:t>
      </w:r>
      <w:r w:rsidR="00F44D95" w:rsidRPr="001F52A8">
        <w:t xml:space="preserve">Israelites and the Philistines </w:t>
      </w:r>
      <w:r w:rsidR="008A7E34" w:rsidRPr="001F52A8">
        <w:t xml:space="preserve">are both seeking to consolidate </w:t>
      </w:r>
      <w:r w:rsidR="00D528E6" w:rsidRPr="001F52A8">
        <w:t xml:space="preserve">and extend </w:t>
      </w:r>
      <w:r w:rsidR="00777A64" w:rsidRPr="001F52A8">
        <w:t>a holding o</w:t>
      </w:r>
      <w:r w:rsidR="00D528E6" w:rsidRPr="001F52A8">
        <w:t>n</w:t>
      </w:r>
      <w:r w:rsidR="00777A64" w:rsidRPr="001F52A8">
        <w:t xml:space="preserve"> land, the </w:t>
      </w:r>
      <w:r w:rsidR="00513CC4" w:rsidRPr="001F52A8">
        <w:t xml:space="preserve">Israelites </w:t>
      </w:r>
      <w:r w:rsidR="00575F2D" w:rsidRPr="001F52A8">
        <w:t>aim</w:t>
      </w:r>
      <w:r w:rsidR="00513CC4" w:rsidRPr="001F52A8">
        <w:t>ing to expand westward</w:t>
      </w:r>
      <w:r w:rsidR="00246A56" w:rsidRPr="001F52A8">
        <w:t xml:space="preserve"> and the Philistines </w:t>
      </w:r>
      <w:r w:rsidR="00DF5BE2" w:rsidRPr="001F52A8">
        <w:t>northward</w:t>
      </w:r>
      <w:r w:rsidR="00246A56" w:rsidRPr="001F52A8">
        <w:t>; they meet</w:t>
      </w:r>
      <w:r w:rsidR="00EC169A" w:rsidRPr="001F52A8">
        <w:t xml:space="preserve"> in the </w:t>
      </w:r>
      <w:r w:rsidR="00346755" w:rsidRPr="001F52A8">
        <w:t>borderland</w:t>
      </w:r>
      <w:r w:rsidR="0052433B" w:rsidRPr="001F52A8">
        <w:t>s</w:t>
      </w:r>
      <w:r w:rsidR="00AC6C98" w:rsidRPr="001F52A8">
        <w:t xml:space="preserve"> in between. </w:t>
      </w:r>
      <w:r w:rsidR="009D2E85" w:rsidRPr="001F52A8">
        <w:t xml:space="preserve">Joshua 13 had noted that </w:t>
      </w:r>
      <w:r w:rsidR="00A91D85" w:rsidRPr="001F52A8">
        <w:t xml:space="preserve">Israel had not yet got control of the </w:t>
      </w:r>
      <w:r w:rsidR="009D2E85" w:rsidRPr="001F52A8">
        <w:t xml:space="preserve">Philistine areas </w:t>
      </w:r>
      <w:r w:rsidR="00F47A8E" w:rsidRPr="001F52A8">
        <w:t xml:space="preserve">and Judges has reported </w:t>
      </w:r>
      <w:r w:rsidR="00305680" w:rsidRPr="001F52A8">
        <w:t>ongoing</w:t>
      </w:r>
      <w:r w:rsidR="00F47A8E" w:rsidRPr="001F52A8">
        <w:t xml:space="preserve"> clashes </w:t>
      </w:r>
      <w:r w:rsidR="00405001" w:rsidRPr="001F52A8">
        <w:t>between the Israelites and the Philistines</w:t>
      </w:r>
      <w:r w:rsidR="00FF224B" w:rsidRPr="001F52A8">
        <w:t xml:space="preserve">, </w:t>
      </w:r>
      <w:r w:rsidR="00395FC3" w:rsidRPr="001F52A8">
        <w:t>who</w:t>
      </w:r>
      <w:r w:rsidR="00FF224B" w:rsidRPr="001F52A8">
        <w:t xml:space="preserve"> </w:t>
      </w:r>
      <w:r w:rsidR="00627532">
        <w:t>dominate</w:t>
      </w:r>
      <w:r w:rsidR="00FF224B" w:rsidRPr="001F52A8">
        <w:t xml:space="preserve"> the Jezreel plain.</w:t>
      </w:r>
      <w:r w:rsidR="00C7632C" w:rsidRPr="001F52A8">
        <w:t xml:space="preserve"> </w:t>
      </w:r>
      <w:r w:rsidR="00915498">
        <w:t>O</w:t>
      </w:r>
      <w:r w:rsidR="00F55570" w:rsidRPr="001F52A8">
        <w:t xml:space="preserve">ne could see the </w:t>
      </w:r>
      <w:r w:rsidR="00915498">
        <w:t xml:space="preserve">engagement’s </w:t>
      </w:r>
      <w:r w:rsidR="00F55570" w:rsidRPr="001F52A8">
        <w:t>theological rationa</w:t>
      </w:r>
      <w:r w:rsidR="005B6F47" w:rsidRPr="001F52A8">
        <w:t xml:space="preserve">le as lying in the Israelites’ destiny to control the whole of Canaan, </w:t>
      </w:r>
      <w:r w:rsidR="00416A79" w:rsidRPr="001F52A8">
        <w:t xml:space="preserve">which </w:t>
      </w:r>
      <w:r w:rsidR="003D18BF" w:rsidRPr="001F52A8">
        <w:t xml:space="preserve">(sort of) </w:t>
      </w:r>
      <w:r w:rsidR="00416A79" w:rsidRPr="001F52A8">
        <w:t xml:space="preserve">answers the question </w:t>
      </w:r>
      <w:r w:rsidR="005C1496" w:rsidRPr="001F52A8">
        <w:t xml:space="preserve">why Yahweh </w:t>
      </w:r>
      <w:r w:rsidR="00416A79" w:rsidRPr="001F52A8">
        <w:t xml:space="preserve">is </w:t>
      </w:r>
      <w:r w:rsidR="005C1496" w:rsidRPr="001F52A8">
        <w:t>on Israel’s side and not the Philistines</w:t>
      </w:r>
      <w:r w:rsidR="003D18BF" w:rsidRPr="001F52A8">
        <w:t>’,</w:t>
      </w:r>
      <w:r w:rsidR="005C1496" w:rsidRPr="001F52A8">
        <w:rPr>
          <w:rStyle w:val="FootnoteReference"/>
        </w:rPr>
        <w:footnoteReference w:id="79"/>
      </w:r>
      <w:r w:rsidR="003D18BF" w:rsidRPr="001F52A8">
        <w:t xml:space="preserve"> </w:t>
      </w:r>
      <w:r w:rsidR="00E7732E" w:rsidRPr="001F52A8">
        <w:t xml:space="preserve">but </w:t>
      </w:r>
      <w:r w:rsidR="00783A18" w:rsidRPr="001F52A8">
        <w:t>the story</w:t>
      </w:r>
      <w:r w:rsidR="00E7732E" w:rsidRPr="001F52A8">
        <w:t xml:space="preserve"> does not make that point</w:t>
      </w:r>
      <w:r w:rsidR="00206E84" w:rsidRPr="001F52A8">
        <w:t>.</w:t>
      </w:r>
      <w:r w:rsidR="00BA2E45" w:rsidRPr="001F52A8">
        <w:t xml:space="preserve"> </w:t>
      </w:r>
      <w:r w:rsidR="00850D61">
        <w:t>The narrative</w:t>
      </w:r>
      <w:r w:rsidR="00BA2E45" w:rsidRPr="001F52A8">
        <w:t xml:space="preserve"> takes war for granted, and specifically takes for granted Israel’s engagement in war. </w:t>
      </w:r>
    </w:p>
    <w:p w14:paraId="6039B4E5" w14:textId="75649B0F" w:rsidR="006116ED" w:rsidRPr="00731FDC" w:rsidRDefault="009B64DC" w:rsidP="00731FDC">
      <w:r w:rsidRPr="001F52A8">
        <w:rPr>
          <w:rFonts w:ascii="Calibri" w:hAnsi="Calibri" w:cs="Calibri"/>
        </w:rPr>
        <w:t xml:space="preserve">Whoever started it, </w:t>
      </w:r>
      <w:r w:rsidR="00E5684B" w:rsidRPr="001F52A8">
        <w:t>Israel’s reversal</w:t>
      </w:r>
      <w:r w:rsidR="00D31B91" w:rsidRPr="001F52A8">
        <w:t xml:space="preserve"> in</w:t>
      </w:r>
      <w:r w:rsidR="00C7632C" w:rsidRPr="001F52A8">
        <w:t xml:space="preserve"> a first engagement</w:t>
      </w:r>
      <w:r w:rsidR="00AB4645" w:rsidRPr="001F52A8">
        <w:t xml:space="preserve"> makes</w:t>
      </w:r>
      <w:r w:rsidR="00095F59" w:rsidRPr="001F52A8">
        <w:t xml:space="preserve"> </w:t>
      </w:r>
      <w:r w:rsidR="00AB4645" w:rsidRPr="001F52A8">
        <w:t xml:space="preserve">the </w:t>
      </w:r>
      <w:r w:rsidR="00095F59" w:rsidRPr="001F52A8">
        <w:t xml:space="preserve">Israelite elders </w:t>
      </w:r>
      <w:r w:rsidR="00A61DC9" w:rsidRPr="001F52A8">
        <w:t xml:space="preserve">ask </w:t>
      </w:r>
      <w:r w:rsidR="00D40D52" w:rsidRPr="001F52A8">
        <w:t>a good</w:t>
      </w:r>
      <w:r w:rsidR="00A61DC9" w:rsidRPr="001F52A8">
        <w:t xml:space="preserve"> question, </w:t>
      </w:r>
      <w:r w:rsidR="008230D9" w:rsidRPr="001F52A8">
        <w:t xml:space="preserve">“Why has Yahweh </w:t>
      </w:r>
      <w:r w:rsidR="00216E43" w:rsidRPr="001F52A8">
        <w:t>knocked us down today in front of the Philistines</w:t>
      </w:r>
      <w:r w:rsidR="00735909" w:rsidRPr="001F52A8">
        <w:t>?</w:t>
      </w:r>
      <w:r w:rsidR="00F96E4A" w:rsidRPr="001F52A8">
        <w:t>” (1 Sam 4:3</w:t>
      </w:r>
      <w:r w:rsidR="00FC0E09" w:rsidRPr="001F52A8">
        <w:t>a</w:t>
      </w:r>
      <w:r w:rsidR="00F96E4A" w:rsidRPr="001F52A8">
        <w:t>)</w:t>
      </w:r>
      <w:r w:rsidR="00D40D52" w:rsidRPr="001F52A8">
        <w:t xml:space="preserve">. </w:t>
      </w:r>
      <w:r w:rsidR="00C06291" w:rsidRPr="001F52A8">
        <w:t>Actual</w:t>
      </w:r>
      <w:r w:rsidR="003F6E28" w:rsidRPr="001F52A8">
        <w:t>l</w:t>
      </w:r>
      <w:r w:rsidR="00C06291" w:rsidRPr="001F52A8">
        <w:t>y the narrative didn’t say that Yahweh had done so, but if it is the right question,</w:t>
      </w:r>
      <w:r w:rsidR="00CB1468" w:rsidRPr="001F52A8">
        <w:t xml:space="preserve"> earlier narratives have suggested one or two possible answers </w:t>
      </w:r>
      <w:r w:rsidR="0076088E" w:rsidRPr="001F52A8">
        <w:t>(see, e.g., Josh 8; Judg</w:t>
      </w:r>
      <w:r w:rsidR="00856DC1" w:rsidRPr="001F52A8">
        <w:t xml:space="preserve"> </w:t>
      </w:r>
      <w:r w:rsidR="00B6155C" w:rsidRPr="001F52A8">
        <w:t>3:3; 10:6</w:t>
      </w:r>
      <w:r w:rsidR="00DB7B03" w:rsidRPr="001F52A8">
        <w:t>-</w:t>
      </w:r>
      <w:r w:rsidR="00B6155C" w:rsidRPr="001F52A8">
        <w:t>7</w:t>
      </w:r>
      <w:r w:rsidR="00AA0B1D" w:rsidRPr="001F52A8">
        <w:t>)</w:t>
      </w:r>
      <w:r w:rsidR="00021496">
        <w:t>. It</w:t>
      </w:r>
      <w:r w:rsidR="00F96E4A" w:rsidRPr="001F52A8">
        <w:t xml:space="preserve"> turns out</w:t>
      </w:r>
      <w:r w:rsidR="00021496">
        <w:t>, however,</w:t>
      </w:r>
      <w:r w:rsidR="00F96E4A" w:rsidRPr="001F52A8">
        <w:t xml:space="preserve"> to be a rhetorical question</w:t>
      </w:r>
      <w:r w:rsidR="00572CE8" w:rsidRPr="001F52A8">
        <w:t>.</w:t>
      </w:r>
      <w:r w:rsidR="00286797" w:rsidRPr="001F52A8">
        <w:rPr>
          <w:rStyle w:val="FootnoteReference"/>
        </w:rPr>
        <w:footnoteReference w:id="80"/>
      </w:r>
      <w:r w:rsidR="00B9644B" w:rsidRPr="001F52A8">
        <w:t xml:space="preserve"> </w:t>
      </w:r>
      <w:r w:rsidR="00C071A5">
        <w:t>There is no discussion</w:t>
      </w:r>
      <w:r w:rsidR="00B9644B" w:rsidRPr="001F52A8">
        <w:rPr>
          <w:rFonts w:ascii="Calibri" w:hAnsi="Calibri" w:cs="Calibri"/>
        </w:rPr>
        <w:t xml:space="preserve">, </w:t>
      </w:r>
      <w:r w:rsidR="00C071A5">
        <w:rPr>
          <w:rFonts w:ascii="Calibri" w:hAnsi="Calibri" w:cs="Calibri"/>
        </w:rPr>
        <w:t>“</w:t>
      </w:r>
      <w:r w:rsidR="00B9644B" w:rsidRPr="001F52A8">
        <w:rPr>
          <w:rFonts w:ascii="Calibri" w:hAnsi="Calibri" w:cs="Calibri"/>
        </w:rPr>
        <w:t>no consultation of anyone—prominently Samuel. Rather, at</w:t>
      </w:r>
      <w:r w:rsidR="005B41D8" w:rsidRPr="001F52A8">
        <w:rPr>
          <w:rFonts w:ascii="Calibri" w:hAnsi="Calibri" w:cs="Calibri"/>
        </w:rPr>
        <w:t xml:space="preserve"> </w:t>
      </w:r>
      <w:r w:rsidR="00B9644B" w:rsidRPr="001F52A8">
        <w:rPr>
          <w:rFonts w:ascii="Calibri" w:hAnsi="Calibri" w:cs="Calibri"/>
        </w:rPr>
        <w:t>once the solution</w:t>
      </w:r>
      <w:r w:rsidR="005B41D8" w:rsidRPr="001F52A8">
        <w:rPr>
          <w:rFonts w:ascii="Calibri" w:hAnsi="Calibri" w:cs="Calibri"/>
        </w:rPr>
        <w:t>.”</w:t>
      </w:r>
      <w:r w:rsidR="005B41D8" w:rsidRPr="001F52A8">
        <w:rPr>
          <w:rStyle w:val="FootnoteReference"/>
          <w:rFonts w:ascii="Calibri" w:hAnsi="Calibri" w:cs="Calibri"/>
        </w:rPr>
        <w:footnoteReference w:id="81"/>
      </w:r>
      <w:r w:rsidR="006A4CCC">
        <w:rPr>
          <w:rFonts w:ascii="Calibri" w:hAnsi="Calibri" w:cs="Calibri"/>
        </w:rPr>
        <w:t xml:space="preserve"> </w:t>
      </w:r>
      <w:r w:rsidR="00C071A5">
        <w:rPr>
          <w:rFonts w:ascii="Calibri" w:hAnsi="Calibri" w:cs="Calibri"/>
        </w:rPr>
        <w:t>“T</w:t>
      </w:r>
      <w:r w:rsidR="00C009B5" w:rsidRPr="001F52A8">
        <w:t>hey have been left in the lurch”</w:t>
      </w:r>
      <w:r w:rsidR="00C071A5">
        <w:t>;</w:t>
      </w:r>
      <w:r w:rsidR="003729F3" w:rsidRPr="001F52A8">
        <w:rPr>
          <w:rStyle w:val="FootnoteReference"/>
        </w:rPr>
        <w:footnoteReference w:id="82"/>
      </w:r>
      <w:r w:rsidR="00C009B5" w:rsidRPr="001F52A8">
        <w:t xml:space="preserve"> </w:t>
      </w:r>
      <w:r w:rsidR="006A4CCC">
        <w:t>t</w:t>
      </w:r>
      <w:r w:rsidR="00572CE8" w:rsidRPr="001F52A8">
        <w:t>he</w:t>
      </w:r>
      <w:r w:rsidR="00F16A3F" w:rsidRPr="001F52A8">
        <w:t>ir</w:t>
      </w:r>
      <w:r w:rsidR="00572CE8" w:rsidRPr="001F52A8">
        <w:t xml:space="preserve"> </w:t>
      </w:r>
      <w:r w:rsidR="00413B64" w:rsidRPr="001F52A8">
        <w:t xml:space="preserve">solution is to fetch </w:t>
      </w:r>
      <w:r w:rsidR="00CD03E2" w:rsidRPr="001F52A8">
        <w:t xml:space="preserve">“the chest of the </w:t>
      </w:r>
      <w:r w:rsidR="000A63AA" w:rsidRPr="001F52A8">
        <w:lastRenderedPageBreak/>
        <w:t>covenant of Yahweh” from Shiloh</w:t>
      </w:r>
      <w:r w:rsidR="00AA39CE" w:rsidRPr="001F52A8">
        <w:t xml:space="preserve"> “so that he may come among us</w:t>
      </w:r>
      <w:r w:rsidR="0061153D" w:rsidRPr="001F52A8">
        <w:t xml:space="preserve"> and deliver us from our enemies</w:t>
      </w:r>
      <w:r w:rsidR="00F16A3F" w:rsidRPr="001F52A8">
        <w:t>’ fist</w:t>
      </w:r>
      <w:r w:rsidR="008A1CD5" w:rsidRPr="001F52A8">
        <w:t>” (1 Sam 4:3</w:t>
      </w:r>
      <w:r w:rsidR="00FC0E09" w:rsidRPr="001F52A8">
        <w:t>b</w:t>
      </w:r>
      <w:r w:rsidR="008A1CD5" w:rsidRPr="001F52A8">
        <w:t>).</w:t>
      </w:r>
      <w:r w:rsidR="00147A91" w:rsidRPr="001F52A8">
        <w:t xml:space="preserve"> </w:t>
      </w:r>
      <w:r w:rsidR="00E3087D" w:rsidRPr="001F52A8">
        <w:t xml:space="preserve">The chest </w:t>
      </w:r>
      <w:r w:rsidR="00D2260C" w:rsidRPr="001F52A8">
        <w:t>had rings and poles</w:t>
      </w:r>
      <w:r w:rsidR="00FC0E09" w:rsidRPr="001F52A8">
        <w:t xml:space="preserve"> to</w:t>
      </w:r>
      <w:r w:rsidR="00D2260C" w:rsidRPr="001F52A8">
        <w:t xml:space="preserve"> mak</w:t>
      </w:r>
      <w:r w:rsidR="00FC0E09" w:rsidRPr="001F52A8">
        <w:t>e</w:t>
      </w:r>
      <w:r w:rsidR="00D2260C" w:rsidRPr="001F52A8">
        <w:t xml:space="preserve"> it </w:t>
      </w:r>
      <w:r w:rsidR="00503C4D" w:rsidRPr="001F52A8">
        <w:t>portable</w:t>
      </w:r>
      <w:r w:rsidR="00536A1C" w:rsidRPr="001F52A8">
        <w:t xml:space="preserve">, and it had been </w:t>
      </w:r>
      <w:r w:rsidR="00846C94" w:rsidRPr="001F52A8">
        <w:t xml:space="preserve">carried </w:t>
      </w:r>
      <w:r w:rsidR="00B61CE6" w:rsidRPr="001F52A8">
        <w:t>around in a similar connection before (see Josh 6)</w:t>
      </w:r>
      <w:r w:rsidR="00503C4D" w:rsidRPr="001F52A8">
        <w:t xml:space="preserve">. </w:t>
      </w:r>
      <w:r w:rsidR="000B45A2" w:rsidRPr="001F52A8">
        <w:t>B</w:t>
      </w:r>
      <w:r w:rsidR="00147A91" w:rsidRPr="001F52A8">
        <w:t xml:space="preserve">ringing </w:t>
      </w:r>
      <w:r w:rsidR="007E0F58">
        <w:t>it</w:t>
      </w:r>
      <w:r w:rsidR="00147A91" w:rsidRPr="001F52A8">
        <w:t xml:space="preserve"> </w:t>
      </w:r>
      <w:r w:rsidR="000B45A2" w:rsidRPr="001F52A8">
        <w:t xml:space="preserve">would </w:t>
      </w:r>
      <w:r w:rsidR="00147A91" w:rsidRPr="001F52A8">
        <w:t xml:space="preserve">mean bringing </w:t>
      </w:r>
      <w:r w:rsidR="00C7277D" w:rsidRPr="001F52A8">
        <w:t xml:space="preserve">the </w:t>
      </w:r>
      <w:r w:rsidR="009654B5" w:rsidRPr="001F52A8">
        <w:t>stones eng</w:t>
      </w:r>
      <w:r w:rsidR="00BF0962" w:rsidRPr="001F52A8">
        <w:t>rav</w:t>
      </w:r>
      <w:r w:rsidR="009654B5" w:rsidRPr="001F52A8">
        <w:t xml:space="preserve">ed with the basic terms of the </w:t>
      </w:r>
      <w:r w:rsidR="00C7277D" w:rsidRPr="001F52A8">
        <w:t>c</w:t>
      </w:r>
      <w:r w:rsidR="00983A1D" w:rsidRPr="001F52A8">
        <w:t>ovenant</w:t>
      </w:r>
      <w:r w:rsidR="00BF0962" w:rsidRPr="001F52A8">
        <w:t>, which were</w:t>
      </w:r>
      <w:r w:rsidR="00983A1D" w:rsidRPr="001F52A8">
        <w:t xml:space="preserve"> inside it</w:t>
      </w:r>
      <w:r w:rsidR="00BF0962" w:rsidRPr="001F52A8">
        <w:t>,</w:t>
      </w:r>
      <w:r w:rsidR="00983A1D" w:rsidRPr="001F52A8">
        <w:t xml:space="preserve"> a</w:t>
      </w:r>
      <w:r w:rsidR="00BF0962" w:rsidRPr="001F52A8">
        <w:t>long with</w:t>
      </w:r>
      <w:r w:rsidR="00983A1D" w:rsidRPr="001F52A8">
        <w:t xml:space="preserve"> the sphinx-like creatures on top of it,</w:t>
      </w:r>
      <w:r w:rsidR="00B06A71" w:rsidRPr="001F52A8">
        <w:t xml:space="preserve"> and the assumed presence of Yahweh</w:t>
      </w:r>
      <w:r w:rsidR="00241750" w:rsidRPr="001F52A8">
        <w:t xml:space="preserve"> sitting</w:t>
      </w:r>
      <w:r w:rsidR="00B06A71" w:rsidRPr="001F52A8">
        <w:t xml:space="preserve"> enthroned over it.</w:t>
      </w:r>
      <w:r w:rsidR="00C42B7F" w:rsidRPr="001F52A8">
        <w:t xml:space="preserve"> T</w:t>
      </w:r>
      <w:r w:rsidR="00670695" w:rsidRPr="001F52A8">
        <w:t>he one enthroned is Yahweh Armies</w:t>
      </w:r>
      <w:r w:rsidR="000021F6">
        <w:t>, which</w:t>
      </w:r>
      <w:r w:rsidR="00670695" w:rsidRPr="001F52A8">
        <w:t xml:space="preserve"> would be significant in the circumstances. </w:t>
      </w:r>
      <w:r w:rsidR="006116ED" w:rsidRPr="001F52A8">
        <w:t xml:space="preserve">The elders </w:t>
      </w:r>
      <w:r w:rsidR="00351FC1">
        <w:t xml:space="preserve">are pardonably hazy about the relationship between </w:t>
      </w:r>
      <w:r w:rsidR="00EF19E3">
        <w:t>Yahweh’s presence in the tent and his presence in the battle</w:t>
      </w:r>
      <w:r w:rsidR="00D66348" w:rsidRPr="001F52A8">
        <w:t>,</w:t>
      </w:r>
      <w:r w:rsidR="006116ED" w:rsidRPr="001F52A8">
        <w:t xml:space="preserve"> but </w:t>
      </w:r>
      <w:r w:rsidR="00EF19E3">
        <w:t xml:space="preserve">anyway he has evidently </w:t>
      </w:r>
      <w:r w:rsidR="00324D70" w:rsidRPr="001F52A8">
        <w:t xml:space="preserve">not been </w:t>
      </w:r>
      <w:r w:rsidR="006116ED" w:rsidRPr="001F52A8">
        <w:t>exercis</w:t>
      </w:r>
      <w:r w:rsidR="00324D70" w:rsidRPr="001F52A8">
        <w:t>ing</w:t>
      </w:r>
      <w:r w:rsidR="006116ED" w:rsidRPr="001F52A8">
        <w:t xml:space="preserve"> his so</w:t>
      </w:r>
      <w:r w:rsidR="00291EBF" w:rsidRPr="001F52A8">
        <w:t xml:space="preserve">vereignty </w:t>
      </w:r>
      <w:r w:rsidR="00D66348" w:rsidRPr="001F52A8">
        <w:t xml:space="preserve">as </w:t>
      </w:r>
      <w:r w:rsidR="006624B8" w:rsidRPr="001F52A8">
        <w:t>Yahweh Armies</w:t>
      </w:r>
      <w:r w:rsidR="00635484">
        <w:t xml:space="preserve"> </w:t>
      </w:r>
      <w:r w:rsidR="00EF19E3">
        <w:t>on Israel’s behalf</w:t>
      </w:r>
      <w:r w:rsidR="006624B8" w:rsidRPr="001F52A8">
        <w:t xml:space="preserve"> </w:t>
      </w:r>
      <w:r w:rsidR="00291EBF" w:rsidRPr="001F52A8">
        <w:t xml:space="preserve">and needs to be reminded of </w:t>
      </w:r>
      <w:r w:rsidR="00F24682" w:rsidRPr="001F52A8">
        <w:t>the</w:t>
      </w:r>
      <w:r w:rsidR="00291EBF" w:rsidRPr="001F52A8">
        <w:t xml:space="preserve"> covenant</w:t>
      </w:r>
      <w:r w:rsidR="00ED2610" w:rsidRPr="001F52A8">
        <w:t xml:space="preserve">, </w:t>
      </w:r>
      <w:r w:rsidR="00F24682" w:rsidRPr="001F52A8">
        <w:t>of his pledge to them</w:t>
      </w:r>
      <w:r w:rsidR="00291EBF" w:rsidRPr="001F52A8">
        <w:t>.</w:t>
      </w:r>
      <w:r w:rsidR="00291EBF" w:rsidRPr="001F52A8">
        <w:rPr>
          <w:rStyle w:val="FootnoteReference"/>
        </w:rPr>
        <w:footnoteReference w:id="83"/>
      </w:r>
    </w:p>
    <w:p w14:paraId="46FAEB2B" w14:textId="084ABCDC" w:rsidR="00500A11" w:rsidRPr="001F52A8" w:rsidRDefault="007A5125" w:rsidP="000B7567">
      <w:r w:rsidRPr="001F52A8">
        <w:t xml:space="preserve">The chest’s arrival issues in </w:t>
      </w:r>
      <w:r w:rsidR="007A36C0" w:rsidRPr="001F52A8">
        <w:t>an earth-shaking shout among the Israelites</w:t>
      </w:r>
      <w:r w:rsidR="00281A4D" w:rsidRPr="001F52A8">
        <w:t xml:space="preserve">. When intelligence reaches the Philistines </w:t>
      </w:r>
      <w:r w:rsidR="009A4F76" w:rsidRPr="001F52A8">
        <w:t>regarding its explanation, it issues in</w:t>
      </w:r>
      <w:r w:rsidR="004A67FF">
        <w:t xml:space="preserve"> </w:t>
      </w:r>
      <w:r w:rsidR="001B629B" w:rsidRPr="001F52A8">
        <w:t>fear among the Philistines</w:t>
      </w:r>
      <w:r w:rsidR="00EC3C9B">
        <w:t xml:space="preserve"> of</w:t>
      </w:r>
      <w:r w:rsidR="00893826" w:rsidRPr="001F52A8">
        <w:t xml:space="preserve"> the </w:t>
      </w:r>
      <w:r w:rsidR="00A442D0">
        <w:t>“</w:t>
      </w:r>
      <w:r w:rsidR="00893826" w:rsidRPr="001F52A8">
        <w:t xml:space="preserve">powerful gods” </w:t>
      </w:r>
      <w:r w:rsidR="00E941CA" w:rsidRPr="001F52A8">
        <w:t>who are now present in the Israelite camp</w:t>
      </w:r>
      <w:r w:rsidR="001A6D46" w:rsidRPr="001F52A8">
        <w:t>. T</w:t>
      </w:r>
      <w:r w:rsidR="00702DB5" w:rsidRPr="001F52A8">
        <w:t>he</w:t>
      </w:r>
      <w:r w:rsidR="000C52FF">
        <w:t>y</w:t>
      </w:r>
      <w:r w:rsidR="00702DB5" w:rsidRPr="001F52A8">
        <w:t xml:space="preserve"> </w:t>
      </w:r>
      <w:r w:rsidR="00DA3F36">
        <w:t xml:space="preserve">thus </w:t>
      </w:r>
      <w:r w:rsidR="00537A80" w:rsidRPr="001F52A8">
        <w:t xml:space="preserve">have half of an </w:t>
      </w:r>
      <w:r w:rsidR="001D644F" w:rsidRPr="001F52A8">
        <w:t xml:space="preserve">understanding of Israelite </w:t>
      </w:r>
      <w:r w:rsidR="000C52FF">
        <w:t>theology</w:t>
      </w:r>
      <w:r w:rsidR="001E3DCC" w:rsidRPr="001F52A8">
        <w:t>, and t</w:t>
      </w:r>
      <w:r w:rsidR="00A538BF" w:rsidRPr="001F52A8">
        <w:t>he</w:t>
      </w:r>
      <w:r w:rsidR="001A6D46" w:rsidRPr="001F52A8">
        <w:t>y</w:t>
      </w:r>
      <w:r w:rsidR="00A538BF" w:rsidRPr="001F52A8">
        <w:t xml:space="preserve"> articulat</w:t>
      </w:r>
      <w:r w:rsidR="001A6D46" w:rsidRPr="001F52A8">
        <w:t>e</w:t>
      </w:r>
      <w:r w:rsidR="00A538BF" w:rsidRPr="001F52A8">
        <w:t xml:space="preserve"> the Israelites</w:t>
      </w:r>
      <w:r w:rsidR="000C52FF">
        <w:t>’ own</w:t>
      </w:r>
      <w:r w:rsidR="00A538BF" w:rsidRPr="001F52A8">
        <w:t xml:space="preserve"> implicit</w:t>
      </w:r>
      <w:r w:rsidR="000C52FF">
        <w:t xml:space="preserve"> assumption</w:t>
      </w:r>
      <w:r w:rsidR="00E53EE1" w:rsidRPr="001F52A8">
        <w:t>, that the</w:t>
      </w:r>
      <w:r w:rsidR="00742E5A">
        <w:t xml:space="preserve"> chest’s</w:t>
      </w:r>
      <w:r w:rsidR="00E53EE1" w:rsidRPr="001F52A8">
        <w:t xml:space="preserve"> presence </w:t>
      </w:r>
      <w:r w:rsidR="009C68BA" w:rsidRPr="001F52A8">
        <w:t>means</w:t>
      </w:r>
      <w:r w:rsidR="00742E5A">
        <w:t xml:space="preserve"> the</w:t>
      </w:r>
      <w:r w:rsidR="009C68BA" w:rsidRPr="001F52A8">
        <w:t xml:space="preserve"> presence of the God who</w:t>
      </w:r>
      <w:r w:rsidR="001F6447" w:rsidRPr="001F52A8">
        <w:t xml:space="preserve"> </w:t>
      </w:r>
      <w:r w:rsidR="002C5D1E" w:rsidRPr="001F52A8">
        <w:t xml:space="preserve">delivered Israel from the Egyptians </w:t>
      </w:r>
      <w:r w:rsidR="00E57D0C" w:rsidRPr="001F52A8">
        <w:t xml:space="preserve">by </w:t>
      </w:r>
      <w:r w:rsidR="005B3C59" w:rsidRPr="001F52A8">
        <w:t xml:space="preserve">his </w:t>
      </w:r>
      <w:r w:rsidR="00D10827" w:rsidRPr="001F52A8">
        <w:t xml:space="preserve">hitting </w:t>
      </w:r>
      <w:r w:rsidR="009C08B2" w:rsidRPr="001F52A8">
        <w:t xml:space="preserve">them </w:t>
      </w:r>
      <w:r w:rsidR="00D10827" w:rsidRPr="001F52A8">
        <w:t>with his hand</w:t>
      </w:r>
      <w:r w:rsidR="00DF20FF">
        <w:t xml:space="preserve"> </w:t>
      </w:r>
      <w:r w:rsidR="009C08B2" w:rsidRPr="001F52A8">
        <w:t xml:space="preserve">and specifically by </w:t>
      </w:r>
      <w:r w:rsidR="00C735CE" w:rsidRPr="001F52A8">
        <w:t xml:space="preserve">bringing down epidemics upon them </w:t>
      </w:r>
      <w:r w:rsidR="00111D67">
        <w:t>(4:8; cf.</w:t>
      </w:r>
      <w:r w:rsidR="007C6351" w:rsidRPr="001F52A8">
        <w:t xml:space="preserve"> </w:t>
      </w:r>
      <w:r w:rsidR="00C735CE" w:rsidRPr="001F52A8">
        <w:t>Exod 3:</w:t>
      </w:r>
      <w:r w:rsidR="005B3C59" w:rsidRPr="001F52A8">
        <w:t>9, 19-</w:t>
      </w:r>
      <w:r w:rsidR="00E4309A" w:rsidRPr="001F52A8">
        <w:t>2</w:t>
      </w:r>
      <w:r w:rsidR="00C735CE" w:rsidRPr="001F52A8">
        <w:t>0</w:t>
      </w:r>
      <w:r w:rsidR="00312798" w:rsidRPr="001F52A8">
        <w:t>; 6:1</w:t>
      </w:r>
      <w:r w:rsidR="00277717" w:rsidRPr="001F52A8">
        <w:t>; 7:4, 5</w:t>
      </w:r>
      <w:r w:rsidR="00C735CE" w:rsidRPr="001F52A8">
        <w:t>).</w:t>
      </w:r>
      <w:r w:rsidR="001F443D" w:rsidRPr="001F52A8">
        <w:t xml:space="preserve"> </w:t>
      </w:r>
      <w:r w:rsidR="000B7567" w:rsidRPr="001F52A8">
        <w:t>Unfortunately, the</w:t>
      </w:r>
      <w:r w:rsidR="001900E8">
        <w:t>ir insight</w:t>
      </w:r>
      <w:r w:rsidR="000B7567" w:rsidRPr="001F52A8">
        <w:t xml:space="preserve"> galvanizes them for a fight and they defeat the Israelites, capture the chest, and kill Hophni and Phinehas, though</w:t>
      </w:r>
      <w:r w:rsidR="004B6B7F" w:rsidRPr="001F52A8">
        <w:t xml:space="preserve"> they fail to see the implications of </w:t>
      </w:r>
      <w:r w:rsidR="008E40EE">
        <w:t>knowing</w:t>
      </w:r>
      <w:r w:rsidR="004B6B7F" w:rsidRPr="001F52A8">
        <w:t xml:space="preserve"> that Yahweh</w:t>
      </w:r>
      <w:r w:rsidR="00962976" w:rsidRPr="001F52A8">
        <w:t>’s hand operates by bringing epidemics.</w:t>
      </w:r>
      <w:r w:rsidR="00500A11" w:rsidRPr="001F52A8">
        <w:t xml:space="preserve"> </w:t>
      </w:r>
      <w:r w:rsidR="00F25F98">
        <w:t>Yahweh’s han</w:t>
      </w:r>
      <w:r w:rsidR="00500A11" w:rsidRPr="001F52A8">
        <w:t>d</w:t>
      </w:r>
      <w:r w:rsidR="00221430">
        <w:t xml:space="preserve"> and t</w:t>
      </w:r>
      <w:r w:rsidR="00221430" w:rsidRPr="001F52A8">
        <w:t xml:space="preserve">he Philistines’ fist and hand </w:t>
      </w:r>
      <w:r w:rsidR="00500A11" w:rsidRPr="001F52A8">
        <w:t>are key motifs in the story (4:3, 8; 5:6, 7, 9, 11; 6:3, 5, 9) and its sequel (7:3, 8, 13, 14). The fist (</w:t>
      </w:r>
      <w:r w:rsidR="00500A11" w:rsidRPr="001F52A8">
        <w:rPr>
          <w:i/>
          <w:iCs/>
        </w:rPr>
        <w:t>kap</w:t>
      </w:r>
      <w:r w:rsidR="00500A11" w:rsidRPr="001F52A8">
        <w:t>)</w:t>
      </w:r>
      <w:r w:rsidR="00500A11" w:rsidRPr="001F52A8">
        <w:rPr>
          <w:i/>
          <w:iCs/>
        </w:rPr>
        <w:t xml:space="preserve"> </w:t>
      </w:r>
      <w:r w:rsidR="00500A11" w:rsidRPr="001F52A8">
        <w:t>suggests a hand that grasps in a way that cannot be evaded, though also a hand that hits – which is the implication of the more general word for hand (</w:t>
      </w:r>
      <w:r w:rsidR="00500A11" w:rsidRPr="001F52A8">
        <w:rPr>
          <w:i/>
          <w:iCs/>
        </w:rPr>
        <w:t>yad</w:t>
      </w:r>
      <w:r w:rsidR="00500A11" w:rsidRPr="001F52A8">
        <w:t>). The Philistines’ gods losing both fists and hands (5:4) adds to the pointed nature of the story.</w:t>
      </w:r>
      <w:r w:rsidR="0032198E">
        <w:t xml:space="preserve"> While t</w:t>
      </w:r>
      <w:r w:rsidR="0032198E" w:rsidRPr="001F52A8">
        <w:t>he</w:t>
      </w:r>
      <w:r w:rsidR="001C3882">
        <w:t xml:space="preserve"> Philistines’</w:t>
      </w:r>
      <w:r w:rsidR="0032198E" w:rsidRPr="001F52A8">
        <w:t xml:space="preserve"> awareness of Yahweh as the God who brought the Israelites out of Egypt makes them like Rahab, they do not</w:t>
      </w:r>
      <w:r w:rsidR="00ED4F7B">
        <w:t xml:space="preserve"> </w:t>
      </w:r>
      <w:r w:rsidR="0032198E">
        <w:t>draw the inferences that</w:t>
      </w:r>
      <w:r w:rsidR="0032198E" w:rsidRPr="001F52A8">
        <w:t xml:space="preserve"> she did, as the Israelites </w:t>
      </w:r>
      <w:r w:rsidR="0032198E">
        <w:t>resemble</w:t>
      </w:r>
      <w:r w:rsidR="0032198E" w:rsidRPr="001F52A8">
        <w:t xml:space="preserve"> the Israelites in the Rahab story, but not enough.</w:t>
      </w:r>
    </w:p>
    <w:p w14:paraId="68A41A07" w14:textId="330B6CF0" w:rsidR="00547946" w:rsidRDefault="00FC25DF" w:rsidP="001A7F83">
      <w:r w:rsidRPr="001F52A8">
        <w:t>When Eli hears about the</w:t>
      </w:r>
      <w:r w:rsidR="006C5BD1" w:rsidRPr="001F52A8">
        <w:t xml:space="preserve"> defeat, his sons’ deaths, and specifically </w:t>
      </w:r>
      <w:r w:rsidR="000C1007" w:rsidRPr="001F52A8">
        <w:t xml:space="preserve">the chest’s capture, the aged priest </w:t>
      </w:r>
      <w:r w:rsidR="00AF7AF8">
        <w:t xml:space="preserve">and judge </w:t>
      </w:r>
      <w:r w:rsidR="000C1007" w:rsidRPr="001F52A8">
        <w:t>drops dead</w:t>
      </w:r>
      <w:r w:rsidR="00CE4DE3" w:rsidRPr="001F52A8">
        <w:t xml:space="preserve">. </w:t>
      </w:r>
      <w:r w:rsidR="007C5DBA" w:rsidRPr="001F52A8">
        <w:t xml:space="preserve">By implication, 2:27-34 and 3:10-14 find fulfillment. </w:t>
      </w:r>
      <w:r w:rsidR="00CE4DE3" w:rsidRPr="001F52A8">
        <w:t xml:space="preserve">The news </w:t>
      </w:r>
      <w:r w:rsidR="001B2EEB" w:rsidRPr="001F52A8">
        <w:t xml:space="preserve">(especially the news about the chest) </w:t>
      </w:r>
      <w:r w:rsidR="00CE4DE3" w:rsidRPr="001F52A8">
        <w:t>sends</w:t>
      </w:r>
      <w:r w:rsidR="003519E9" w:rsidRPr="001F52A8">
        <w:t xml:space="preserve"> </w:t>
      </w:r>
      <w:r w:rsidR="00BF4304">
        <w:t>Eli’s</w:t>
      </w:r>
      <w:r w:rsidR="003519E9" w:rsidRPr="001F52A8">
        <w:t xml:space="preserve"> pregnant daughter-in-law</w:t>
      </w:r>
      <w:r w:rsidR="00CE4DE3" w:rsidRPr="001F52A8">
        <w:t xml:space="preserve"> into labor</w:t>
      </w:r>
      <w:r w:rsidR="00AF540C">
        <w:t>, and s</w:t>
      </w:r>
      <w:r w:rsidR="00F0720B" w:rsidRPr="001F52A8">
        <w:t>he also dies, but n</w:t>
      </w:r>
      <w:r w:rsidR="001B2EEB" w:rsidRPr="001F52A8">
        <w:t>ot</w:t>
      </w:r>
      <w:r w:rsidR="00F0720B" w:rsidRPr="001F52A8">
        <w:t xml:space="preserve"> before she names he</w:t>
      </w:r>
      <w:r w:rsidR="00BF4304">
        <w:t>r</w:t>
      </w:r>
      <w:r w:rsidR="00F0720B" w:rsidRPr="001F52A8">
        <w:t xml:space="preserve"> child Ichabod</w:t>
      </w:r>
      <w:r w:rsidR="00AF540C">
        <w:t xml:space="preserve">. The name </w:t>
      </w:r>
      <w:r w:rsidR="005B5CBB" w:rsidRPr="001F52A8">
        <w:t xml:space="preserve">would literally mean </w:t>
      </w:r>
      <w:r w:rsidR="00F83BFA" w:rsidRPr="001F52A8">
        <w:t xml:space="preserve">“Where is honor” or </w:t>
      </w:r>
      <w:r w:rsidR="005B5CBB" w:rsidRPr="001F52A8">
        <w:t>“Alas,</w:t>
      </w:r>
      <w:r w:rsidR="00F83BFA" w:rsidRPr="001F52A8">
        <w:t xml:space="preserve"> honor</w:t>
      </w:r>
      <w:r w:rsidR="00AF6CD1" w:rsidRPr="001F52A8">
        <w:t>” or “Dis-h</w:t>
      </w:r>
      <w:r w:rsidR="009067F9" w:rsidRPr="001F52A8">
        <w:t>onor</w:t>
      </w:r>
      <w:r w:rsidR="00674B11" w:rsidRPr="001F52A8">
        <w:t xml:space="preserve">,” but she explains </w:t>
      </w:r>
      <w:r w:rsidR="006E5C1F">
        <w:t xml:space="preserve">it </w:t>
      </w:r>
      <w:r w:rsidR="00674B11" w:rsidRPr="001F52A8">
        <w:t>as meaning “honor has gone into exile</w:t>
      </w:r>
      <w:r w:rsidR="00457480" w:rsidRPr="001F52A8">
        <w:t xml:space="preserve"> from Israel.”</w:t>
      </w:r>
      <w:r w:rsidR="00F67D4D" w:rsidRPr="001F52A8">
        <w:t xml:space="preserve"> The chest has gone to Philistia; the honor has gone t</w:t>
      </w:r>
      <w:r w:rsidR="006E5C1F">
        <w:t>here</w:t>
      </w:r>
      <w:r w:rsidR="00173225" w:rsidRPr="001F52A8">
        <w:t xml:space="preserve">. </w:t>
      </w:r>
      <w:r w:rsidR="00703E34" w:rsidRPr="001F52A8">
        <w:t>T</w:t>
      </w:r>
      <w:r w:rsidR="0043751F" w:rsidRPr="001F52A8">
        <w:t>he simpl</w:t>
      </w:r>
      <w:r w:rsidR="00B463D2" w:rsidRPr="001F52A8">
        <w:t>e</w:t>
      </w:r>
      <w:r w:rsidR="0043751F" w:rsidRPr="001F52A8">
        <w:t xml:space="preserve"> term “honor” (</w:t>
      </w:r>
      <w:r w:rsidR="0043751F" w:rsidRPr="001F52A8">
        <w:rPr>
          <w:i/>
          <w:iCs/>
        </w:rPr>
        <w:t>k</w:t>
      </w:r>
      <w:r w:rsidR="0043751F" w:rsidRPr="001F52A8">
        <w:rPr>
          <w:rFonts w:cstheme="minorHAnsi"/>
          <w:i/>
          <w:iCs/>
        </w:rPr>
        <w:t>ā</w:t>
      </w:r>
      <w:r w:rsidR="00B463D2" w:rsidRPr="001F52A8">
        <w:rPr>
          <w:rFonts w:cstheme="minorHAnsi"/>
          <w:i/>
          <w:iCs/>
        </w:rPr>
        <w:t>b</w:t>
      </w:r>
      <w:r w:rsidR="0043751F" w:rsidRPr="001F52A8">
        <w:rPr>
          <w:rFonts w:cstheme="minorHAnsi"/>
          <w:i/>
          <w:iCs/>
        </w:rPr>
        <w:t>ô</w:t>
      </w:r>
      <w:r w:rsidR="00B463D2" w:rsidRPr="001F52A8">
        <w:rPr>
          <w:rFonts w:cstheme="minorHAnsi"/>
          <w:i/>
          <w:iCs/>
        </w:rPr>
        <w:t>d</w:t>
      </w:r>
      <w:r w:rsidR="00B463D2" w:rsidRPr="001F52A8">
        <w:rPr>
          <w:rFonts w:cstheme="minorHAnsi"/>
        </w:rPr>
        <w:t>) hardly refers to Yahweh</w:t>
      </w:r>
      <w:r w:rsidR="00DB7F5B">
        <w:rPr>
          <w:rFonts w:cstheme="minorHAnsi"/>
        </w:rPr>
        <w:t>;</w:t>
      </w:r>
      <w:r w:rsidR="00DD5C0F" w:rsidRPr="001F52A8">
        <w:t xml:space="preserve"> </w:t>
      </w:r>
      <w:r w:rsidR="00DA3F00" w:rsidRPr="001F52A8">
        <w:t xml:space="preserve">Hannah described Yahweh </w:t>
      </w:r>
      <w:r w:rsidR="00300DDA">
        <w:t>enabling</w:t>
      </w:r>
      <w:r w:rsidR="00AB1CF3" w:rsidRPr="001F52A8">
        <w:t xml:space="preserve"> poor and needy to poss</w:t>
      </w:r>
      <w:r w:rsidR="00574A67" w:rsidRPr="001F52A8">
        <w:t>ess a throne of honor (2:8)</w:t>
      </w:r>
      <w:r w:rsidR="00DB7F5B">
        <w:t>, and</w:t>
      </w:r>
      <w:r w:rsidR="00DD5C0F" w:rsidRPr="001F52A8">
        <w:t xml:space="preserve"> </w:t>
      </w:r>
      <w:r w:rsidR="00011C3F" w:rsidRPr="001F52A8">
        <w:t>it is Israel’s honor that gone into exile and been replaced by sham</w:t>
      </w:r>
      <w:r w:rsidR="001E73CB" w:rsidRPr="001F52A8">
        <w:t xml:space="preserve">e (cf. the collocation in </w:t>
      </w:r>
      <w:r w:rsidR="002751E1" w:rsidRPr="001F52A8">
        <w:t>Ps 4:</w:t>
      </w:r>
      <w:r w:rsidR="00511BD0" w:rsidRPr="001F52A8">
        <w:t xml:space="preserve">2 [3]; </w:t>
      </w:r>
      <w:r w:rsidR="001E73CB" w:rsidRPr="001F52A8">
        <w:t xml:space="preserve">Isa 61:6-7). </w:t>
      </w:r>
    </w:p>
    <w:p w14:paraId="5AFC055D" w14:textId="36C0C5C2" w:rsidR="00A51E7D" w:rsidRPr="001F52A8" w:rsidRDefault="001A7F83" w:rsidP="001A4EBB">
      <w:r>
        <w:t>In due course</w:t>
      </w:r>
      <w:r w:rsidR="00E94335" w:rsidRPr="001F52A8">
        <w:t xml:space="preserve"> </w:t>
      </w:r>
      <w:r w:rsidR="00174763" w:rsidRPr="001F52A8">
        <w:t>the Philistines’ priests and diviners advise their people to give honor to Yahweh, who might then lighten his hand on them, their gods, and their country (6:5</w:t>
      </w:r>
      <w:r>
        <w:t>). It is t</w:t>
      </w:r>
      <w:r w:rsidRPr="001F52A8">
        <w:t xml:space="preserve">he only other reference to honor in Samuel; the only reference in Joshua and Judges </w:t>
      </w:r>
      <w:r w:rsidR="00AC62B9">
        <w:t>occurs</w:t>
      </w:r>
      <w:r w:rsidRPr="001F52A8">
        <w:t xml:space="preserve"> when Joshua urges Achan to give honor to Yahweh before he dies (Josh 7:19), though the Exodus story relates how Yahweh had decided to gain honor from the Egyptians (</w:t>
      </w:r>
      <w:r w:rsidRPr="001F52A8">
        <w:rPr>
          <w:i/>
          <w:iCs/>
        </w:rPr>
        <w:t>k</w:t>
      </w:r>
      <w:r w:rsidRPr="001F52A8">
        <w:rPr>
          <w:rFonts w:cstheme="minorHAnsi"/>
          <w:i/>
          <w:iCs/>
        </w:rPr>
        <w:t>ābēd</w:t>
      </w:r>
      <w:r w:rsidRPr="001F52A8">
        <w:rPr>
          <w:rFonts w:cstheme="minorHAnsi"/>
        </w:rPr>
        <w:t xml:space="preserve"> niphal,</w:t>
      </w:r>
      <w:r w:rsidRPr="001F52A8">
        <w:rPr>
          <w:rFonts w:cstheme="minorHAnsi"/>
          <w:i/>
          <w:iCs/>
        </w:rPr>
        <w:t xml:space="preserve"> </w:t>
      </w:r>
      <w:r w:rsidRPr="001F52A8">
        <w:t>Exod 14:7, 17, 18)</w:t>
      </w:r>
      <w:r w:rsidR="003554D4">
        <w:t>. So</w:t>
      </w:r>
      <w:r w:rsidRPr="001F52A8">
        <w:t xml:space="preserve"> here the Philistines realize that they had better give it. </w:t>
      </w:r>
      <w:r w:rsidR="002D4DD9">
        <w:t>They</w:t>
      </w:r>
      <w:r w:rsidR="00983E02" w:rsidRPr="001F52A8">
        <w:t xml:space="preserve"> </w:t>
      </w:r>
      <w:r w:rsidR="00C37CBC" w:rsidRPr="001F52A8">
        <w:t xml:space="preserve">no more think of Yahweh as simply located in the chest than the </w:t>
      </w:r>
      <w:r w:rsidR="002D4DD9">
        <w:t>Israelite</w:t>
      </w:r>
      <w:r w:rsidR="00C37CBC" w:rsidRPr="001F52A8">
        <w:t xml:space="preserve">s do </w:t>
      </w:r>
      <w:r w:rsidR="005A0539" w:rsidRPr="001F52A8">
        <w:t>(</w:t>
      </w:r>
      <w:r w:rsidR="00C37CBC" w:rsidRPr="001F52A8">
        <w:t xml:space="preserve">otherwise they would also probably not be sending it off </w:t>
      </w:r>
      <w:r w:rsidR="00C37CBC" w:rsidRPr="001F52A8">
        <w:rPr>
          <w:i/>
          <w:iCs/>
        </w:rPr>
        <w:t>with</w:t>
      </w:r>
      <w:r w:rsidR="00C37CBC" w:rsidRPr="001F52A8">
        <w:t xml:space="preserve"> an offering</w:t>
      </w:r>
      <w:r w:rsidR="005A0539" w:rsidRPr="001F52A8">
        <w:t>)</w:t>
      </w:r>
      <w:r w:rsidR="00C37CBC" w:rsidRPr="001F52A8">
        <w:t xml:space="preserve">. </w:t>
      </w:r>
      <w:r w:rsidR="005A0539" w:rsidRPr="001F52A8">
        <w:t>But they</w:t>
      </w:r>
      <w:r w:rsidR="00C37CBC" w:rsidRPr="001F52A8">
        <w:t xml:space="preserve"> </w:t>
      </w:r>
      <w:r w:rsidR="00983E02" w:rsidRPr="001F52A8">
        <w:t xml:space="preserve">have discovered that the chest is too hot to handle. </w:t>
      </w:r>
      <w:r w:rsidR="003F62F5" w:rsidRPr="001F52A8">
        <w:rPr>
          <w:rFonts w:ascii="Calibri" w:hAnsi="Calibri" w:cs="Calibri"/>
        </w:rPr>
        <w:t xml:space="preserve">“Israel may be defeated in spite of its possession of God's ark and the ark itself may be seized, but all this is not to imply that God has lost any of his power </w:t>
      </w:r>
      <w:r w:rsidR="003F62F5" w:rsidRPr="001F52A8">
        <w:rPr>
          <w:rFonts w:ascii="Calibri" w:hAnsi="Calibri" w:cs="Calibri"/>
        </w:rPr>
        <w:lastRenderedPageBreak/>
        <w:t>over other people's gods.”</w:t>
      </w:r>
      <w:r w:rsidR="003F62F5" w:rsidRPr="001F52A8">
        <w:rPr>
          <w:rStyle w:val="FootnoteReference"/>
          <w:rFonts w:cstheme="minorHAnsi"/>
        </w:rPr>
        <w:footnoteReference w:id="84"/>
      </w:r>
      <w:r w:rsidR="003F62F5" w:rsidRPr="001F52A8">
        <w:rPr>
          <w:rFonts w:ascii="Calibri" w:hAnsi="Calibri" w:cs="Calibri"/>
        </w:rPr>
        <w:t xml:space="preserve"> </w:t>
      </w:r>
      <w:r w:rsidR="00B44A5C" w:rsidRPr="001F52A8">
        <w:t>Not only does Yahweh raise his hand against their images; they themselves are afflicted by epidem</w:t>
      </w:r>
      <w:r w:rsidR="00C37CBC" w:rsidRPr="001F52A8">
        <w:t>i</w:t>
      </w:r>
      <w:r w:rsidR="00B44A5C" w:rsidRPr="001F52A8">
        <w:t>cs.</w:t>
      </w:r>
      <w:r w:rsidR="00983E02" w:rsidRPr="001F52A8">
        <w:t xml:space="preserve"> </w:t>
      </w:r>
      <w:r w:rsidR="00CA2D05">
        <w:t>Although t</w:t>
      </w:r>
      <w:r w:rsidR="00983E02" w:rsidRPr="001F52A8">
        <w:t xml:space="preserve">he </w:t>
      </w:r>
      <w:r w:rsidR="00CA2D05">
        <w:t xml:space="preserve">chest’s </w:t>
      </w:r>
      <w:r w:rsidR="00983E02" w:rsidRPr="001F52A8">
        <w:t xml:space="preserve">presence does </w:t>
      </w:r>
      <w:r w:rsidR="0061358B" w:rsidRPr="001F52A8">
        <w:t xml:space="preserve">not exactly </w:t>
      </w:r>
      <w:r w:rsidR="00983E02" w:rsidRPr="001F52A8">
        <w:t xml:space="preserve">mean </w:t>
      </w:r>
      <w:r w:rsidR="00CA2D05">
        <w:t>Yahweh’s</w:t>
      </w:r>
      <w:r w:rsidR="00983E02" w:rsidRPr="001F52A8">
        <w:t xml:space="preserve"> presence</w:t>
      </w:r>
      <w:r w:rsidR="00CA2D05">
        <w:t>,</w:t>
      </w:r>
      <w:r w:rsidR="0061358B" w:rsidRPr="001F52A8">
        <w:t xml:space="preserve"> it does draw forth Yahweh’s action.</w:t>
      </w:r>
      <w:r w:rsidR="00B54469" w:rsidRPr="001F52A8">
        <w:t xml:space="preserve"> In another ironic link, the Israelites’ cry (</w:t>
      </w:r>
      <w:r w:rsidR="00B54469" w:rsidRPr="001F52A8">
        <w:rPr>
          <w:rFonts w:cstheme="minorHAnsi"/>
          <w:i/>
          <w:iCs/>
        </w:rPr>
        <w:t>šaw‘â</w:t>
      </w:r>
      <w:r w:rsidR="00B54469" w:rsidRPr="001F52A8">
        <w:rPr>
          <w:rFonts w:cstheme="minorHAnsi"/>
        </w:rPr>
        <w:t xml:space="preserve">) </w:t>
      </w:r>
      <w:r w:rsidR="00B54469" w:rsidRPr="001F52A8">
        <w:t>for deliverance (</w:t>
      </w:r>
      <w:r w:rsidR="00B54469" w:rsidRPr="001F52A8">
        <w:rPr>
          <w:i/>
          <w:iCs/>
        </w:rPr>
        <w:t>y</w:t>
      </w:r>
      <w:r w:rsidR="00B54469" w:rsidRPr="001F52A8">
        <w:rPr>
          <w:rFonts w:cstheme="minorHAnsi"/>
          <w:i/>
          <w:iCs/>
        </w:rPr>
        <w:t>əšû‘â</w:t>
      </w:r>
      <w:r w:rsidR="00B54469" w:rsidRPr="001F52A8">
        <w:rPr>
          <w:rFonts w:cstheme="minorHAnsi"/>
        </w:rPr>
        <w:t xml:space="preserve">) </w:t>
      </w:r>
      <w:r w:rsidR="00DC1C9F">
        <w:rPr>
          <w:rFonts w:cstheme="minorHAnsi"/>
        </w:rPr>
        <w:t xml:space="preserve">had gone </w:t>
      </w:r>
      <w:r w:rsidR="00B54469" w:rsidRPr="001F52A8">
        <w:rPr>
          <w:rFonts w:cstheme="minorHAnsi"/>
        </w:rPr>
        <w:t>up to God in Egypt (Exod 2:23, the only preceding occurrence of th</w:t>
      </w:r>
      <w:r w:rsidR="00DC1C9F">
        <w:rPr>
          <w:rFonts w:cstheme="minorHAnsi"/>
        </w:rPr>
        <w:t>is</w:t>
      </w:r>
      <w:r w:rsidR="00B54469" w:rsidRPr="001F52A8">
        <w:rPr>
          <w:rFonts w:cstheme="minorHAnsi"/>
        </w:rPr>
        <w:t xml:space="preserve"> word for “cry”), </w:t>
      </w:r>
      <w:r w:rsidR="00E724AB">
        <w:rPr>
          <w:rFonts w:cstheme="minorHAnsi"/>
        </w:rPr>
        <w:t xml:space="preserve">and </w:t>
      </w:r>
      <w:r w:rsidR="00B54469" w:rsidRPr="001F52A8">
        <w:rPr>
          <w:rFonts w:cstheme="minorHAnsi"/>
        </w:rPr>
        <w:t xml:space="preserve">the Philistines’ </w:t>
      </w:r>
      <w:r w:rsidR="00E724AB">
        <w:rPr>
          <w:rFonts w:cstheme="minorHAnsi"/>
        </w:rPr>
        <w:t>“</w:t>
      </w:r>
      <w:r w:rsidR="00B54469" w:rsidRPr="001F52A8">
        <w:rPr>
          <w:rFonts w:cstheme="minorHAnsi"/>
        </w:rPr>
        <w:t>cry</w:t>
      </w:r>
      <w:r w:rsidR="00E724AB">
        <w:rPr>
          <w:rFonts w:cstheme="minorHAnsi"/>
        </w:rPr>
        <w:t>”</w:t>
      </w:r>
      <w:r w:rsidR="00B54469" w:rsidRPr="001F52A8">
        <w:rPr>
          <w:rFonts w:cstheme="minorHAnsi"/>
        </w:rPr>
        <w:t xml:space="preserve"> now goes up to the heavens (5:12).</w:t>
      </w:r>
      <w:r w:rsidR="00A22CB6" w:rsidRPr="001F52A8">
        <w:t xml:space="preserve"> </w:t>
      </w:r>
    </w:p>
    <w:p w14:paraId="6A713DCB" w14:textId="46F628C9" w:rsidR="000A4EF3" w:rsidRPr="001F52A8" w:rsidRDefault="00B61885" w:rsidP="000A4EF3">
      <w:r w:rsidRPr="001F52A8">
        <w:t>The</w:t>
      </w:r>
      <w:r w:rsidR="00A22CB6" w:rsidRPr="001F52A8">
        <w:t xml:space="preserve"> Philistines</w:t>
      </w:r>
      <w:r w:rsidRPr="001F52A8">
        <w:t xml:space="preserve"> realize they must send the chest off to its “place” (</w:t>
      </w:r>
      <w:r w:rsidRPr="001F52A8">
        <w:rPr>
          <w:i/>
          <w:iCs/>
        </w:rPr>
        <w:t>m</w:t>
      </w:r>
      <w:r w:rsidRPr="001F52A8">
        <w:rPr>
          <w:rFonts w:cstheme="minorHAnsi"/>
          <w:i/>
          <w:iCs/>
        </w:rPr>
        <w:t>ā</w:t>
      </w:r>
      <w:r w:rsidR="00206100" w:rsidRPr="001F52A8">
        <w:rPr>
          <w:rFonts w:cstheme="minorHAnsi"/>
          <w:i/>
          <w:iCs/>
        </w:rPr>
        <w:t>q</w:t>
      </w:r>
      <w:r w:rsidRPr="001F52A8">
        <w:rPr>
          <w:rFonts w:cstheme="minorHAnsi"/>
          <w:i/>
          <w:iCs/>
        </w:rPr>
        <w:t>ô</w:t>
      </w:r>
      <w:r w:rsidR="00206100" w:rsidRPr="001F52A8">
        <w:rPr>
          <w:rFonts w:cstheme="minorHAnsi"/>
          <w:i/>
          <w:iCs/>
        </w:rPr>
        <w:t>m</w:t>
      </w:r>
      <w:r w:rsidR="008D79B9">
        <w:rPr>
          <w:rFonts w:cstheme="minorHAnsi"/>
        </w:rPr>
        <w:t>; 6:2</w:t>
      </w:r>
      <w:r w:rsidR="00FA0A9D" w:rsidRPr="001F52A8">
        <w:rPr>
          <w:rFonts w:cstheme="minorHAnsi"/>
        </w:rPr>
        <w:t>)</w:t>
      </w:r>
      <w:r w:rsidR="00480851" w:rsidRPr="001F52A8">
        <w:rPr>
          <w:rFonts w:cstheme="minorHAnsi"/>
        </w:rPr>
        <w:t>,</w:t>
      </w:r>
      <w:r w:rsidRPr="001F52A8">
        <w:t xml:space="preserve"> </w:t>
      </w:r>
      <w:r w:rsidR="00D65E97">
        <w:t>appar</w:t>
      </w:r>
      <w:r w:rsidR="00480851" w:rsidRPr="001F52A8">
        <w:t>ent</w:t>
      </w:r>
      <w:r w:rsidRPr="001F52A8">
        <w:t>ly its country not its s</w:t>
      </w:r>
      <w:r w:rsidR="00787018">
        <w:t>anctuary</w:t>
      </w:r>
      <w:r w:rsidRPr="001F52A8">
        <w:t xml:space="preserve"> (which they have destroyed?)</w:t>
      </w:r>
      <w:r w:rsidR="00D66AC9" w:rsidRPr="001F52A8">
        <w:t>.</w:t>
      </w:r>
      <w:r w:rsidR="00D66AC9" w:rsidRPr="001F52A8">
        <w:rPr>
          <w:rStyle w:val="FootnoteReference"/>
        </w:rPr>
        <w:footnoteReference w:id="85"/>
      </w:r>
      <w:r w:rsidR="00D66AC9" w:rsidRPr="001F52A8">
        <w:t xml:space="preserve"> </w:t>
      </w:r>
      <w:r w:rsidR="009769E9" w:rsidRPr="001F52A8">
        <w:t>The</w:t>
      </w:r>
      <w:r w:rsidR="00480851" w:rsidRPr="001F52A8">
        <w:t>ir</w:t>
      </w:r>
      <w:r w:rsidR="009769E9" w:rsidRPr="001F52A8">
        <w:t xml:space="preserve"> diviners and priests </w:t>
      </w:r>
      <w:r w:rsidR="0093719A" w:rsidRPr="001F52A8">
        <w:t xml:space="preserve">advise sending </w:t>
      </w:r>
      <w:r w:rsidR="00480851" w:rsidRPr="001F52A8">
        <w:t>it</w:t>
      </w:r>
      <w:r w:rsidR="0093719A" w:rsidRPr="001F52A8">
        <w:t xml:space="preserve"> with a </w:t>
      </w:r>
      <w:r w:rsidR="00E029A2" w:rsidRPr="001F52A8">
        <w:t xml:space="preserve">reparation offering </w:t>
      </w:r>
      <w:r w:rsidR="00A9190D" w:rsidRPr="001F52A8">
        <w:t>to make up for the offense they have committed</w:t>
      </w:r>
      <w:r w:rsidR="00FD400A">
        <w:t xml:space="preserve">. </w:t>
      </w:r>
      <w:r w:rsidR="00086130" w:rsidRPr="001F52A8">
        <w:t xml:space="preserve">The </w:t>
      </w:r>
      <w:r w:rsidR="00000F20">
        <w:t xml:space="preserve">chest and </w:t>
      </w:r>
      <w:r w:rsidR="00086130" w:rsidRPr="001F52A8">
        <w:t xml:space="preserve">offering </w:t>
      </w:r>
      <w:r w:rsidR="00E561E6">
        <w:t>are</w:t>
      </w:r>
      <w:r w:rsidR="00C76E08" w:rsidRPr="001F52A8">
        <w:t xml:space="preserve"> </w:t>
      </w:r>
      <w:r w:rsidR="003E27BC" w:rsidRPr="001F52A8">
        <w:t>set on a new cart hauled by milch cows</w:t>
      </w:r>
      <w:r w:rsidR="00175688" w:rsidRPr="001F52A8">
        <w:t>. Though separated from their calves, they make straight for Bet-shemesh</w:t>
      </w:r>
      <w:r w:rsidR="00D16E90" w:rsidRPr="001F52A8">
        <w:t>, which proves they know where the chest’s home is.</w:t>
      </w:r>
      <w:r w:rsidR="0028423F" w:rsidRPr="001F52A8">
        <w:t xml:space="preserve"> The people </w:t>
      </w:r>
      <w:r w:rsidR="000E563C">
        <w:t>there</w:t>
      </w:r>
      <w:r w:rsidR="00AA7E6E" w:rsidRPr="001F52A8">
        <w:t xml:space="preserve"> </w:t>
      </w:r>
      <w:r w:rsidR="003169AA" w:rsidRPr="001F52A8">
        <w:t>welcome it and make of</w:t>
      </w:r>
      <w:r w:rsidR="00C35C17" w:rsidRPr="001F52A8">
        <w:t>ferings to Yahweh</w:t>
      </w:r>
      <w:r w:rsidR="008702B4" w:rsidRPr="001F52A8">
        <w:t xml:space="preserve">. But then </w:t>
      </w:r>
      <w:r w:rsidR="003F2CF7" w:rsidRPr="001F52A8">
        <w:t xml:space="preserve">some of them </w:t>
      </w:r>
      <w:r w:rsidR="008B63D8" w:rsidRPr="001F52A8">
        <w:t>look</w:t>
      </w:r>
      <w:r w:rsidR="00C567D7" w:rsidRPr="001F52A8">
        <w:t xml:space="preserve"> at the chest</w:t>
      </w:r>
      <w:r w:rsidR="0081536F" w:rsidRPr="001F52A8">
        <w:t xml:space="preserve"> (or look into it)</w:t>
      </w:r>
      <w:r w:rsidR="008B63D8" w:rsidRPr="001F52A8">
        <w:t xml:space="preserve"> and Yahweh str</w:t>
      </w:r>
      <w:r w:rsidR="0081536F" w:rsidRPr="001F52A8">
        <w:t>ikes</w:t>
      </w:r>
      <w:r w:rsidR="008B63D8" w:rsidRPr="001F52A8">
        <w:t xml:space="preserve"> down a large number, which le</w:t>
      </w:r>
      <w:r w:rsidR="00472E28" w:rsidRPr="001F52A8">
        <w:t>ads</w:t>
      </w:r>
      <w:r w:rsidR="008B63D8" w:rsidRPr="001F52A8">
        <w:t xml:space="preserve"> the town </w:t>
      </w:r>
      <w:r w:rsidR="006640E5" w:rsidRPr="001F52A8">
        <w:t>to ask</w:t>
      </w:r>
      <w:r w:rsidR="00DD32B3">
        <w:t xml:space="preserve"> that question</w:t>
      </w:r>
      <w:r w:rsidR="004266F2" w:rsidRPr="001F52A8">
        <w:t>,</w:t>
      </w:r>
      <w:r w:rsidR="006640E5" w:rsidRPr="001F52A8">
        <w:t xml:space="preserve"> “Who</w:t>
      </w:r>
      <w:r w:rsidR="00F6555F" w:rsidRPr="001F52A8">
        <w:t xml:space="preserve"> can stand before </w:t>
      </w:r>
      <w:r w:rsidR="004266F2" w:rsidRPr="001F52A8">
        <w:t xml:space="preserve">Yahweh?” </w:t>
      </w:r>
      <w:r w:rsidR="00603403" w:rsidRPr="001F52A8">
        <w:t>Something like electricity attaches to holy ones</w:t>
      </w:r>
      <w:r w:rsidR="007E1D80">
        <w:t>.</w:t>
      </w:r>
      <w:r w:rsidR="00603403">
        <w:t xml:space="preserve"> </w:t>
      </w:r>
      <w:r w:rsidR="000A4EF3" w:rsidRPr="001F52A8">
        <w:t xml:space="preserve">While one might be nervous about being in the presence of any holy one, a particular nervousness could attach to standing before Yahweh as </w:t>
      </w:r>
      <w:r w:rsidR="000A4EF3" w:rsidRPr="001F52A8">
        <w:rPr>
          <w:i/>
          <w:iCs/>
        </w:rPr>
        <w:t>the</w:t>
      </w:r>
      <w:r w:rsidR="000A4EF3" w:rsidRPr="001F52A8">
        <w:t xml:space="preserve"> holy one</w:t>
      </w:r>
      <w:r w:rsidR="0032029F">
        <w:t>, and p</w:t>
      </w:r>
      <w:r w:rsidR="000A4EF3" w:rsidRPr="001F52A8">
        <w:t>articular vulnerability attaches to people who “stand before” the holy one in the sense of serving him</w:t>
      </w:r>
      <w:r w:rsidR="0032029F">
        <w:t>. T</w:t>
      </w:r>
      <w:r w:rsidR="000A4EF3" w:rsidRPr="001F52A8">
        <w:t xml:space="preserve">he wording suggest that the disaster at Bet-shemesh happened in the context of </w:t>
      </w:r>
      <w:r w:rsidR="00DB76B0">
        <w:t xml:space="preserve">some </w:t>
      </w:r>
      <w:r w:rsidR="000A4EF3" w:rsidRPr="001F52A8">
        <w:t>act of service</w:t>
      </w:r>
      <w:r w:rsidR="007C6C45">
        <w:t xml:space="preserve"> that</w:t>
      </w:r>
      <w:r w:rsidR="0032029F" w:rsidRPr="001F52A8">
        <w:t xml:space="preserve"> </w:t>
      </w:r>
      <w:r w:rsidR="007B41D3">
        <w:t>somehow turned out to be</w:t>
      </w:r>
      <w:r w:rsidR="0032029F" w:rsidRPr="001F52A8">
        <w:t xml:space="preserve"> an act of contempt</w:t>
      </w:r>
      <w:r w:rsidR="007B41D3">
        <w:t xml:space="preserve"> </w:t>
      </w:r>
      <w:r w:rsidR="007D3D1D">
        <w:t>and</w:t>
      </w:r>
      <w:r w:rsidR="00595265">
        <w:t xml:space="preserve"> led to a catastrophe.</w:t>
      </w:r>
    </w:p>
    <w:p w14:paraId="4C870BB0" w14:textId="0EF4858E" w:rsidR="004633AB" w:rsidRPr="001F52A8" w:rsidRDefault="00470024" w:rsidP="007028DC">
      <w:pPr>
        <w:rPr>
          <w:rFonts w:cstheme="minorHAnsi"/>
        </w:rPr>
      </w:pPr>
      <w:r w:rsidRPr="001F52A8">
        <w:rPr>
          <w:rFonts w:ascii="Calibri" w:hAnsi="Calibri" w:cs="Calibri"/>
        </w:rPr>
        <w:t xml:space="preserve">The chest means death and destruction. </w:t>
      </w:r>
      <w:r w:rsidR="00D16A75" w:rsidRPr="001F52A8">
        <w:t>If</w:t>
      </w:r>
      <w:r w:rsidR="0036506E" w:rsidRPr="001F52A8">
        <w:t xml:space="preserve"> the Israelites </w:t>
      </w:r>
      <w:r w:rsidR="007A3BDA" w:rsidRPr="001F52A8">
        <w:t xml:space="preserve">properly </w:t>
      </w:r>
      <w:r w:rsidR="00D16A75" w:rsidRPr="001F52A8">
        <w:t xml:space="preserve">laughed through the </w:t>
      </w:r>
      <w:r w:rsidR="006811D0" w:rsidRPr="001F52A8">
        <w:t xml:space="preserve">story of the </w:t>
      </w:r>
      <w:r w:rsidR="00E109B4" w:rsidRPr="001F52A8">
        <w:t>Philistines and the covenant chest, “</w:t>
      </w:r>
      <w:r w:rsidR="0036506E" w:rsidRPr="001F52A8">
        <w:rPr>
          <w:rFonts w:ascii="Calibri" w:hAnsi="Calibri" w:cs="Calibri"/>
        </w:rPr>
        <w:t>laughter may have</w:t>
      </w:r>
      <w:r w:rsidR="00E109B4" w:rsidRPr="001F52A8">
        <w:rPr>
          <w:rFonts w:ascii="Calibri" w:hAnsi="Calibri" w:cs="Calibri"/>
        </w:rPr>
        <w:t xml:space="preserve"> </w:t>
      </w:r>
      <w:r w:rsidR="0036506E" w:rsidRPr="001F52A8">
        <w:rPr>
          <w:rFonts w:ascii="Calibri" w:hAnsi="Calibri" w:cs="Calibri"/>
        </w:rPr>
        <w:t>died on their lips on hearing the end of the story</w:t>
      </w:r>
      <w:r w:rsidR="00E109B4" w:rsidRPr="001F52A8">
        <w:rPr>
          <w:rFonts w:ascii="Calibri" w:hAnsi="Calibri" w:cs="Calibri"/>
        </w:rPr>
        <w:t>.”</w:t>
      </w:r>
      <w:r w:rsidR="00E109B4" w:rsidRPr="001F52A8">
        <w:rPr>
          <w:rStyle w:val="FootnoteReference"/>
          <w:rFonts w:ascii="Calibri" w:hAnsi="Calibri" w:cs="Calibri"/>
        </w:rPr>
        <w:footnoteReference w:id="86"/>
      </w:r>
      <w:r w:rsidR="006811D0" w:rsidRPr="001F52A8">
        <w:rPr>
          <w:rFonts w:ascii="Calibri" w:hAnsi="Calibri" w:cs="Calibri"/>
        </w:rPr>
        <w:t xml:space="preserve"> </w:t>
      </w:r>
      <w:r w:rsidR="004073CE" w:rsidRPr="001F52A8">
        <w:t xml:space="preserve">The chest really does </w:t>
      </w:r>
      <w:r w:rsidR="001F31E3" w:rsidRPr="001F52A8">
        <w:t>convey the presence of Yahweh</w:t>
      </w:r>
      <w:r w:rsidR="0074329A">
        <w:t>, the</w:t>
      </w:r>
      <w:r w:rsidR="001F31E3" w:rsidRPr="001F52A8">
        <w:t xml:space="preserve"> powerful God</w:t>
      </w:r>
      <w:r w:rsidR="0074329A">
        <w:t>. Y</w:t>
      </w:r>
      <w:r w:rsidR="00D11CAB" w:rsidRPr="001F52A8">
        <w:t xml:space="preserve">ou cannot take </w:t>
      </w:r>
      <w:r w:rsidR="0074329A">
        <w:t xml:space="preserve">him </w:t>
      </w:r>
      <w:r w:rsidR="007D3D1D">
        <w:t xml:space="preserve">for </w:t>
      </w:r>
      <w:r w:rsidR="00D11CAB" w:rsidRPr="001F52A8">
        <w:t>granted but neither can you mess with him, whether you are Philistine or Israelite.</w:t>
      </w:r>
      <w:r w:rsidR="00D1342A" w:rsidRPr="001F52A8">
        <w:t xml:space="preserve"> “</w:t>
      </w:r>
      <w:r w:rsidR="00D1342A" w:rsidRPr="001F52A8">
        <w:rPr>
          <w:rFonts w:cstheme="minorHAnsi"/>
        </w:rPr>
        <w:t>The ark in and out of</w:t>
      </w:r>
      <w:r w:rsidR="00D1342A" w:rsidRPr="001F52A8">
        <w:t xml:space="preserve"> </w:t>
      </w:r>
      <w:r w:rsidR="00D1342A" w:rsidRPr="001F52A8">
        <w:rPr>
          <w:rFonts w:cstheme="minorHAnsi"/>
        </w:rPr>
        <w:t>battle entails defeat and disaster for both communities.”</w:t>
      </w:r>
      <w:r w:rsidR="00D1342A" w:rsidRPr="001F52A8">
        <w:rPr>
          <w:rStyle w:val="FootnoteReference"/>
          <w:rFonts w:cstheme="minorHAnsi"/>
        </w:rPr>
        <w:footnoteReference w:id="87"/>
      </w:r>
      <w:r w:rsidR="00FE08C1" w:rsidRPr="001F52A8">
        <w:rPr>
          <w:rFonts w:cstheme="minorHAnsi"/>
        </w:rPr>
        <w:t xml:space="preserve"> </w:t>
      </w:r>
      <w:r w:rsidR="00F24392">
        <w:rPr>
          <w:rFonts w:cstheme="minorHAnsi"/>
        </w:rPr>
        <w:t>B</w:t>
      </w:r>
      <w:r w:rsidR="003B7817" w:rsidRPr="001F52A8">
        <w:rPr>
          <w:rFonts w:cstheme="minorHAnsi"/>
        </w:rPr>
        <w:t>oth get the chest</w:t>
      </w:r>
      <w:r w:rsidR="008B677F" w:rsidRPr="001F52A8">
        <w:rPr>
          <w:rFonts w:cstheme="minorHAnsi"/>
        </w:rPr>
        <w:t xml:space="preserve"> (4:</w:t>
      </w:r>
      <w:r w:rsidR="005C782B" w:rsidRPr="001F52A8">
        <w:rPr>
          <w:rFonts w:cstheme="minorHAnsi"/>
        </w:rPr>
        <w:t xml:space="preserve">3, </w:t>
      </w:r>
      <w:r w:rsidR="008B677F" w:rsidRPr="001F52A8">
        <w:rPr>
          <w:rFonts w:cstheme="minorHAnsi"/>
        </w:rPr>
        <w:t>11, 17, 21</w:t>
      </w:r>
      <w:r w:rsidR="003B7817" w:rsidRPr="001F52A8">
        <w:rPr>
          <w:rFonts w:cstheme="minorHAnsi"/>
        </w:rPr>
        <w:t>,</w:t>
      </w:r>
      <w:r w:rsidR="008B677F" w:rsidRPr="001F52A8">
        <w:rPr>
          <w:rFonts w:cstheme="minorHAnsi"/>
        </w:rPr>
        <w:t xml:space="preserve"> 22; 5:1),</w:t>
      </w:r>
      <w:r w:rsidR="003B7817" w:rsidRPr="001F52A8">
        <w:rPr>
          <w:rFonts w:cstheme="minorHAnsi"/>
        </w:rPr>
        <w:t xml:space="preserve"> </w:t>
      </w:r>
      <w:r w:rsidR="001A4F3E" w:rsidRPr="001F52A8">
        <w:rPr>
          <w:rFonts w:cstheme="minorHAnsi"/>
        </w:rPr>
        <w:t>both shout (4:5</w:t>
      </w:r>
      <w:r w:rsidR="00C22958" w:rsidRPr="001F52A8">
        <w:rPr>
          <w:rFonts w:cstheme="minorHAnsi"/>
        </w:rPr>
        <w:t>, 14; 5:9, 11)</w:t>
      </w:r>
      <w:r w:rsidR="00F24392">
        <w:rPr>
          <w:rFonts w:cstheme="minorHAnsi"/>
        </w:rPr>
        <w:t>,</w:t>
      </w:r>
      <w:r w:rsidR="007028DC" w:rsidRPr="001F52A8">
        <w:rPr>
          <w:rFonts w:cstheme="minorHAnsi"/>
        </w:rPr>
        <w:t xml:space="preserve"> </w:t>
      </w:r>
      <w:r w:rsidR="00F24392" w:rsidRPr="001F52A8">
        <w:rPr>
          <w:rFonts w:cstheme="minorHAnsi"/>
        </w:rPr>
        <w:t>Yahweh afflicts both, strikes both down</w:t>
      </w:r>
      <w:r w:rsidR="00F24392">
        <w:rPr>
          <w:rFonts w:cstheme="minorHAnsi"/>
        </w:rPr>
        <w:t>.</w:t>
      </w:r>
    </w:p>
    <w:p w14:paraId="6C15617A" w14:textId="787040D8" w:rsidR="001F501A" w:rsidRDefault="00F4538C" w:rsidP="006811D0">
      <w:r w:rsidRPr="001F52A8">
        <w:t xml:space="preserve">The </w:t>
      </w:r>
      <w:r w:rsidR="003C7749" w:rsidRPr="001F52A8">
        <w:t>story</w:t>
      </w:r>
      <w:r w:rsidRPr="001F52A8">
        <w:t xml:space="preserve"> doesn’t make sense, </w:t>
      </w:r>
      <w:r w:rsidR="002870A9">
        <w:t>which is</w:t>
      </w:r>
      <w:r w:rsidRPr="001F52A8">
        <w:t xml:space="preserve"> why th</w:t>
      </w:r>
      <w:r w:rsidR="007403E2">
        <w:t>at</w:t>
      </w:r>
      <w:r w:rsidRPr="001F52A8">
        <w:t xml:space="preserve"> question ma</w:t>
      </w:r>
      <w:r w:rsidR="007403E2">
        <w:t>de</w:t>
      </w:r>
      <w:r w:rsidRPr="001F52A8">
        <w:t xml:space="preserve"> sense.</w:t>
      </w:r>
      <w:r w:rsidRPr="001F52A8">
        <w:rPr>
          <w:rStyle w:val="FootnoteReference"/>
        </w:rPr>
        <w:footnoteReference w:id="88"/>
      </w:r>
      <w:r w:rsidR="009D6BCA" w:rsidRPr="001F52A8">
        <w:t xml:space="preserve"> </w:t>
      </w:r>
      <w:r w:rsidR="007028DC" w:rsidRPr="001F52A8">
        <w:t xml:space="preserve">Yahweh does not explain what has happened. </w:t>
      </w:r>
      <w:r w:rsidR="003C7749" w:rsidRPr="001F52A8">
        <w:t xml:space="preserve">No one says they should repent; that </w:t>
      </w:r>
      <w:r w:rsidR="00ED5A76">
        <w:t>possibility</w:t>
      </w:r>
      <w:r w:rsidR="003C7749" w:rsidRPr="001F52A8">
        <w:t xml:space="preserve"> arises only twenty years later (7:2-6). </w:t>
      </w:r>
      <w:r w:rsidR="007028DC" w:rsidRPr="001F52A8">
        <w:t>The narrator does not explain</w:t>
      </w:r>
      <w:r w:rsidR="00ED5A76">
        <w:t>. I</w:t>
      </w:r>
      <w:r w:rsidR="007028DC" w:rsidRPr="001F52A8">
        <w:t>nterpreters speak of omniscient narrators</w:t>
      </w:r>
      <w:r w:rsidR="00ED5A76">
        <w:t>;</w:t>
      </w:r>
      <w:r w:rsidR="007028DC" w:rsidRPr="001F52A8">
        <w:t xml:space="preserve"> in the Scriptures</w:t>
      </w:r>
      <w:r w:rsidR="00ED5A76">
        <w:t>,</w:t>
      </w:r>
      <w:r w:rsidR="007028DC" w:rsidRPr="001F52A8">
        <w:t xml:space="preserve"> narrators may have some supernatural knowledge, but if they possess omniscience, they keep it to themselves. </w:t>
      </w:r>
      <w:r w:rsidR="00E63634" w:rsidRPr="001F52A8">
        <w:t>There is no theodicy. “He is Yahweh – he does what is good in his eyes” (3:18).</w:t>
      </w:r>
      <w:r w:rsidR="00E63634" w:rsidRPr="001F52A8">
        <w:rPr>
          <w:rStyle w:val="FootnoteReference"/>
        </w:rPr>
        <w:footnoteReference w:id="89"/>
      </w:r>
      <w:r w:rsidR="00807855" w:rsidRPr="001F52A8">
        <w:t xml:space="preserve"> </w:t>
      </w:r>
    </w:p>
    <w:p w14:paraId="15C2D45C" w14:textId="171B4A5D" w:rsidR="00412B85" w:rsidRPr="001F52A8" w:rsidRDefault="00807855" w:rsidP="00A96321">
      <w:r w:rsidRPr="001F52A8">
        <w:t>Once again</w:t>
      </w:r>
      <w:r w:rsidR="004735A8">
        <w:t>, having</w:t>
      </w:r>
      <w:r w:rsidRPr="001F52A8">
        <w:t xml:space="preserve"> ask</w:t>
      </w:r>
      <w:r w:rsidR="004735A8">
        <w:t>ed</w:t>
      </w:r>
      <w:r w:rsidRPr="001F52A8">
        <w:t xml:space="preserve"> a question</w:t>
      </w:r>
      <w:r w:rsidR="004735A8">
        <w:t>, they</w:t>
      </w:r>
      <w:r w:rsidRPr="001F52A8">
        <w:t xml:space="preserve"> take action</w:t>
      </w:r>
      <w:r w:rsidR="00E87CFD">
        <w:t>,</w:t>
      </w:r>
      <w:r w:rsidRPr="001F52A8">
        <w:rPr>
          <w:rStyle w:val="FootnoteReference"/>
        </w:rPr>
        <w:footnoteReference w:id="90"/>
      </w:r>
      <w:r w:rsidRPr="001F52A8">
        <w:t xml:space="preserve"> </w:t>
      </w:r>
      <w:r w:rsidR="006811D0" w:rsidRPr="001F52A8">
        <w:t>send</w:t>
      </w:r>
      <w:r w:rsidR="00E87CFD">
        <w:t>ing</w:t>
      </w:r>
      <w:r w:rsidR="006811D0" w:rsidRPr="001F52A8">
        <w:t xml:space="preserve"> the chest off to Qiryat-ye‘arim</w:t>
      </w:r>
      <w:r w:rsidR="00E87CFD">
        <w:t>. It</w:t>
      </w:r>
      <w:r w:rsidR="006811D0" w:rsidRPr="001F52A8">
        <w:t xml:space="preserve"> is not too far</w:t>
      </w:r>
      <w:r w:rsidR="00E87CFD">
        <w:t>,</w:t>
      </w:r>
      <w:r w:rsidR="006811D0" w:rsidRPr="001F52A8">
        <w:t xml:space="preserve"> and nearer than Shiloh, which loses its significance</w:t>
      </w:r>
      <w:r w:rsidR="00ED4F7B">
        <w:t xml:space="preserve"> </w:t>
      </w:r>
      <w:r w:rsidR="006811D0" w:rsidRPr="001F52A8">
        <w:t>as Israel’s central sanctuary</w:t>
      </w:r>
      <w:r w:rsidR="00FF6AF7">
        <w:t xml:space="preserve"> even if it has not been destroyed</w:t>
      </w:r>
      <w:r w:rsidR="006811D0" w:rsidRPr="001F52A8">
        <w:t xml:space="preserve">. </w:t>
      </w:r>
      <w:r w:rsidR="00B257C6">
        <w:t>Further, it seems not to count as a fully Israelite town</w:t>
      </w:r>
      <w:r w:rsidR="00C67C52">
        <w:t>; it</w:t>
      </w:r>
      <w:r w:rsidR="006811D0" w:rsidRPr="001F52A8">
        <w:t xml:space="preserve"> belong</w:t>
      </w:r>
      <w:r w:rsidR="00FF6AF7">
        <w:t>ed</w:t>
      </w:r>
      <w:r w:rsidR="006811D0" w:rsidRPr="001F52A8">
        <w:t xml:space="preserve"> to the Gibeonites (Josh 9:17)</w:t>
      </w:r>
      <w:r w:rsidR="00785A7B">
        <w:t>.</w:t>
      </w:r>
      <w:r w:rsidR="00ED4F7B">
        <w:t xml:space="preserve"> </w:t>
      </w:r>
      <w:r w:rsidR="00FD374F">
        <w:t>After t</w:t>
      </w:r>
      <w:r w:rsidR="006811D0" w:rsidRPr="001F52A8">
        <w:t>he</w:t>
      </w:r>
      <w:r w:rsidR="00C67C52">
        <w:t xml:space="preserve"> Gibeonites</w:t>
      </w:r>
      <w:r w:rsidR="006811D0" w:rsidRPr="001F52A8">
        <w:t xml:space="preserve"> tricked Joshua into not eliminating them</w:t>
      </w:r>
      <w:r w:rsidR="00FD374F">
        <w:t>, h</w:t>
      </w:r>
      <w:r w:rsidR="006811D0" w:rsidRPr="001F52A8">
        <w:t xml:space="preserve">e let them become manual laborers, looking after practical and menial aspects of worship, which fits the role they receive here. </w:t>
      </w:r>
      <w:r w:rsidR="00DE3228">
        <w:t>The</w:t>
      </w:r>
      <w:r w:rsidR="0087526C">
        <w:t>y</w:t>
      </w:r>
      <w:r w:rsidR="00AD3E27" w:rsidRPr="001F52A8">
        <w:t xml:space="preserve"> set </w:t>
      </w:r>
      <w:r w:rsidR="00F31B94">
        <w:t>someone</w:t>
      </w:r>
      <w:r w:rsidR="00AD3E27" w:rsidRPr="001F52A8">
        <w:t xml:space="preserve"> apart </w:t>
      </w:r>
      <w:r w:rsidR="007A0565">
        <w:t>to look after the chest</w:t>
      </w:r>
      <w:r w:rsidR="00AD3E27" w:rsidRPr="001F52A8">
        <w:t>, mak</w:t>
      </w:r>
      <w:r w:rsidR="00DE3228">
        <w:t>ing</w:t>
      </w:r>
      <w:r w:rsidR="00AD3E27" w:rsidRPr="001F52A8">
        <w:t xml:space="preserve"> </w:t>
      </w:r>
      <w:r w:rsidR="00F31B94">
        <w:t>him</w:t>
      </w:r>
      <w:r w:rsidR="00AD3E27" w:rsidRPr="001F52A8">
        <w:t xml:space="preserve"> holy (1 Sam 7:1).</w:t>
      </w:r>
    </w:p>
    <w:p w14:paraId="747C7EF0" w14:textId="50E8FFBF" w:rsidR="00CB653A" w:rsidRPr="001F52A8" w:rsidRDefault="00112B79" w:rsidP="000B0A0F">
      <w:pPr>
        <w:pStyle w:val="Heading2"/>
      </w:pPr>
      <w:r w:rsidRPr="001F52A8">
        <w:lastRenderedPageBreak/>
        <w:t>Being the People</w:t>
      </w:r>
      <w:r w:rsidR="00C80991" w:rsidRPr="001F52A8">
        <w:t xml:space="preserve"> of God</w:t>
      </w:r>
    </w:p>
    <w:p w14:paraId="79EE077C" w14:textId="4587D9DD" w:rsidR="00172612" w:rsidRPr="001F52A8" w:rsidRDefault="009C190C" w:rsidP="00BC34E2">
      <w:r w:rsidRPr="001F52A8">
        <w:t xml:space="preserve">The return of the chest </w:t>
      </w:r>
      <w:r w:rsidR="00650003" w:rsidRPr="001F52A8">
        <w:t xml:space="preserve">is not an indication that relationships </w:t>
      </w:r>
      <w:r w:rsidR="00B92F65" w:rsidRPr="001F52A8">
        <w:t xml:space="preserve">between Israel and the Philistines are resolved. </w:t>
      </w:r>
      <w:r w:rsidR="00D758A3" w:rsidRPr="001F52A8">
        <w:t xml:space="preserve">The Israelites still need </w:t>
      </w:r>
      <w:r w:rsidR="002E6770" w:rsidRPr="001F52A8">
        <w:t xml:space="preserve">rescuing or delivering from </w:t>
      </w:r>
      <w:r w:rsidR="00225393">
        <w:t xml:space="preserve">the </w:t>
      </w:r>
      <w:r w:rsidR="002E6770" w:rsidRPr="001F52A8">
        <w:t>Philistines (</w:t>
      </w:r>
      <w:r w:rsidR="00BA13D5" w:rsidRPr="001F52A8">
        <w:t xml:space="preserve">7:3, 8). </w:t>
      </w:r>
      <w:r w:rsidR="00EB7754" w:rsidRPr="001F52A8">
        <w:t xml:space="preserve">They are </w:t>
      </w:r>
      <w:r w:rsidR="00CA5A77">
        <w:t>now</w:t>
      </w:r>
      <w:r w:rsidR="00EB7754" w:rsidRPr="001F52A8">
        <w:t xml:space="preserve"> to have an “ostensibly” important meeting with the Philistines, but a more important meeting with Yahweh.</w:t>
      </w:r>
      <w:r w:rsidR="00EB7754" w:rsidRPr="001F52A8">
        <w:rPr>
          <w:rStyle w:val="FootnoteReference"/>
        </w:rPr>
        <w:footnoteReference w:id="91"/>
      </w:r>
      <w:r w:rsidR="009B168D" w:rsidRPr="001F52A8">
        <w:t xml:space="preserve"> </w:t>
      </w:r>
      <w:r w:rsidR="00DD2183" w:rsidRPr="001F52A8">
        <w:t>Samuel</w:t>
      </w:r>
      <w:r w:rsidR="004339DF" w:rsidRPr="001F52A8">
        <w:t xml:space="preserve"> has</w:t>
      </w:r>
      <w:r w:rsidR="00967F6D" w:rsidRPr="001F52A8">
        <w:t xml:space="preserve"> grow</w:t>
      </w:r>
      <w:r w:rsidR="004339DF" w:rsidRPr="001F52A8">
        <w:t>n</w:t>
      </w:r>
      <w:r w:rsidR="00967F6D" w:rsidRPr="001F52A8">
        <w:t xml:space="preserve"> up and</w:t>
      </w:r>
      <w:r w:rsidR="00B53F96" w:rsidRPr="001F52A8">
        <w:t xml:space="preserve"> Yahweh </w:t>
      </w:r>
      <w:r w:rsidR="004339DF" w:rsidRPr="001F52A8">
        <w:t xml:space="preserve">has been </w:t>
      </w:r>
      <w:r w:rsidR="00B53F96" w:rsidRPr="001F52A8">
        <w:t>speaking through him and fulfilling his words</w:t>
      </w:r>
      <w:r w:rsidR="00311573">
        <w:t>. H</w:t>
      </w:r>
      <w:r w:rsidR="004339DF" w:rsidRPr="001F52A8">
        <w:t>e</w:t>
      </w:r>
      <w:r w:rsidR="0052746B" w:rsidRPr="001F52A8">
        <w:t xml:space="preserve"> </w:t>
      </w:r>
      <w:r w:rsidR="00BF13A7" w:rsidRPr="001F52A8">
        <w:t>h</w:t>
      </w:r>
      <w:r w:rsidR="004339DF" w:rsidRPr="001F52A8">
        <w:t>a</w:t>
      </w:r>
      <w:r w:rsidR="00BF13A7" w:rsidRPr="001F52A8">
        <w:t>s com</w:t>
      </w:r>
      <w:r w:rsidR="004339DF" w:rsidRPr="001F52A8">
        <w:t>e</w:t>
      </w:r>
      <w:r w:rsidR="00BF13A7" w:rsidRPr="001F52A8">
        <w:t xml:space="preserve"> to be recognized as </w:t>
      </w:r>
      <w:r w:rsidR="00BF13A7" w:rsidRPr="001F52A8">
        <w:rPr>
          <w:rFonts w:cstheme="minorHAnsi"/>
        </w:rPr>
        <w:t xml:space="preserve">trustworthy as </w:t>
      </w:r>
      <w:r w:rsidR="004339DF" w:rsidRPr="001F52A8">
        <w:rPr>
          <w:rFonts w:cstheme="minorHAnsi"/>
        </w:rPr>
        <w:t>a prophet</w:t>
      </w:r>
      <w:r w:rsidR="00A56281" w:rsidRPr="001F52A8">
        <w:t xml:space="preserve"> (3:19 – 4:1a), and his moment has arrived. </w:t>
      </w:r>
      <w:r w:rsidR="00AA35A3" w:rsidRPr="001F52A8">
        <w:t xml:space="preserve">He declares that Israel must turn to Yahweh with </w:t>
      </w:r>
      <w:r w:rsidR="00CE32DF" w:rsidRPr="001F52A8">
        <w:t>their</w:t>
      </w:r>
      <w:r w:rsidR="00AA35A3" w:rsidRPr="001F52A8">
        <w:t xml:space="preserve"> entire mind</w:t>
      </w:r>
      <w:r w:rsidR="00E517D4" w:rsidRPr="001F52A8">
        <w:t xml:space="preserve"> (7:3).</w:t>
      </w:r>
      <w:r w:rsidR="00766EEA" w:rsidRPr="001F52A8">
        <w:t xml:space="preserve"> Turning</w:t>
      </w:r>
      <w:r w:rsidR="00994A54" w:rsidRPr="001F52A8">
        <w:t xml:space="preserve"> (</w:t>
      </w:r>
      <w:r w:rsidR="00994A54" w:rsidRPr="001F52A8">
        <w:rPr>
          <w:rFonts w:cstheme="minorHAnsi"/>
          <w:i/>
          <w:iCs/>
        </w:rPr>
        <w:t>šû</w:t>
      </w:r>
      <w:r w:rsidR="00994A54" w:rsidRPr="001F52A8">
        <w:rPr>
          <w:i/>
          <w:iCs/>
        </w:rPr>
        <w:t>b</w:t>
      </w:r>
      <w:r w:rsidR="00994A54" w:rsidRPr="001F52A8">
        <w:t>)</w:t>
      </w:r>
      <w:r w:rsidR="00766EEA" w:rsidRPr="001F52A8">
        <w:t xml:space="preserve"> is something one does with one’s body</w:t>
      </w:r>
      <w:r w:rsidR="00994A54" w:rsidRPr="001F52A8">
        <w:t xml:space="preserve">, but it needs to </w:t>
      </w:r>
      <w:r w:rsidR="00D36300" w:rsidRPr="001F52A8">
        <w:t>involve the mind</w:t>
      </w:r>
      <w:r w:rsidR="00344CB4">
        <w:t xml:space="preserve"> (</w:t>
      </w:r>
      <w:r w:rsidR="00344CB4">
        <w:rPr>
          <w:i/>
          <w:iCs/>
        </w:rPr>
        <w:t>l</w:t>
      </w:r>
      <w:r w:rsidR="00344CB4">
        <w:rPr>
          <w:rFonts w:cstheme="minorHAnsi"/>
          <w:i/>
          <w:iCs/>
        </w:rPr>
        <w:t>ēbāb</w:t>
      </w:r>
      <w:r w:rsidR="00344CB4">
        <w:rPr>
          <w:rFonts w:cstheme="minorHAnsi"/>
        </w:rPr>
        <w:t>)</w:t>
      </w:r>
      <w:r w:rsidR="00D36300" w:rsidRPr="001F52A8">
        <w:t>.</w:t>
      </w:r>
      <w:r w:rsidR="00DF0D84">
        <w:t xml:space="preserve"> It means not</w:t>
      </w:r>
      <w:r w:rsidR="00D36300" w:rsidRPr="001F52A8">
        <w:t xml:space="preserve"> just mind or inner person a</w:t>
      </w:r>
      <w:r w:rsidR="005739F3">
        <w:t>s opposed to</w:t>
      </w:r>
      <w:r w:rsidR="00D36300" w:rsidRPr="001F52A8">
        <w:t xml:space="preserve"> something outward</w:t>
      </w:r>
      <w:r w:rsidR="00D37813">
        <w:t>,</w:t>
      </w:r>
      <w:r w:rsidR="00D36300" w:rsidRPr="001F52A8">
        <w:t xml:space="preserve"> no</w:t>
      </w:r>
      <w:r w:rsidR="00D37813">
        <w:t>r</w:t>
      </w:r>
      <w:r w:rsidR="00D36300" w:rsidRPr="001F52A8">
        <w:t xml:space="preserve"> an outward turning </w:t>
      </w:r>
      <w:r w:rsidR="00AB2D12" w:rsidRPr="001F52A8">
        <w:t>with</w:t>
      </w:r>
      <w:r w:rsidR="004B079E">
        <w:t>out</w:t>
      </w:r>
      <w:r w:rsidR="00AB2D12" w:rsidRPr="001F52A8">
        <w:t xml:space="preserve"> a change in inner attitude</w:t>
      </w:r>
      <w:r w:rsidR="004B079E">
        <w:t>, nor</w:t>
      </w:r>
      <w:r w:rsidR="00AB2D12" w:rsidRPr="001F52A8">
        <w:t xml:space="preserve"> a </w:t>
      </w:r>
      <w:r w:rsidR="00FE758F" w:rsidRPr="001F52A8">
        <w:t>half-hearted such change, but one of the whole mind.</w:t>
      </w:r>
      <w:r w:rsidR="00E517D4" w:rsidRPr="001F52A8">
        <w:t xml:space="preserve"> </w:t>
      </w:r>
      <w:r w:rsidR="00C54C62" w:rsidRPr="001F52A8">
        <w:t xml:space="preserve">Israel </w:t>
      </w:r>
      <w:r w:rsidR="007352AA" w:rsidRPr="001F52A8">
        <w:t>need</w:t>
      </w:r>
      <w:r w:rsidR="00BC34E2">
        <w:t>s</w:t>
      </w:r>
      <w:r w:rsidR="007352AA" w:rsidRPr="001F52A8">
        <w:t xml:space="preserve"> to</w:t>
      </w:r>
      <w:r w:rsidR="00A67472" w:rsidRPr="001F52A8">
        <w:t xml:space="preserve"> </w:t>
      </w:r>
      <w:r w:rsidR="00314424">
        <w:t>jettison</w:t>
      </w:r>
      <w:r w:rsidR="00314424" w:rsidRPr="001F52A8">
        <w:t xml:space="preserve"> </w:t>
      </w:r>
      <w:r w:rsidR="00314424">
        <w:t>alien</w:t>
      </w:r>
      <w:r w:rsidR="00E50183" w:rsidRPr="001F52A8">
        <w:t xml:space="preserve"> gods</w:t>
      </w:r>
      <w:r w:rsidR="00685BB7" w:rsidRPr="001F52A8">
        <w:t>,</w:t>
      </w:r>
      <w:r w:rsidR="00C51575" w:rsidRPr="001F52A8">
        <w:t xml:space="preserve"> the</w:t>
      </w:r>
      <w:r w:rsidR="00F8236C" w:rsidRPr="001F52A8">
        <w:t xml:space="preserve"> </w:t>
      </w:r>
      <w:r w:rsidR="00793C29" w:rsidRPr="001F52A8">
        <w:t>Ba‘als</w:t>
      </w:r>
      <w:r w:rsidR="00E50183" w:rsidRPr="001F52A8">
        <w:t xml:space="preserve"> and </w:t>
      </w:r>
      <w:r w:rsidR="00880541" w:rsidRPr="001F52A8">
        <w:t xml:space="preserve">the </w:t>
      </w:r>
      <w:r w:rsidR="00E50183" w:rsidRPr="001F52A8">
        <w:t>As</w:t>
      </w:r>
      <w:r w:rsidR="00880541" w:rsidRPr="001F52A8">
        <w:t>h</w:t>
      </w:r>
      <w:r w:rsidR="00F8236C" w:rsidRPr="001F52A8">
        <w:t>tarts</w:t>
      </w:r>
      <w:r w:rsidR="00A91E4B" w:rsidRPr="001F52A8">
        <w:t xml:space="preserve">, fix </w:t>
      </w:r>
      <w:r w:rsidR="00652385">
        <w:t>its</w:t>
      </w:r>
      <w:r w:rsidR="00A91E4B" w:rsidRPr="001F52A8">
        <w:t xml:space="preserve"> mind on Yahweh, and serve Yahweh alone</w:t>
      </w:r>
      <w:r w:rsidR="00947A0D" w:rsidRPr="001F52A8">
        <w:t>.</w:t>
      </w:r>
      <w:r w:rsidR="003F187B" w:rsidRPr="001F52A8">
        <w:t xml:space="preserve"> </w:t>
      </w:r>
      <w:r w:rsidR="001536D4">
        <w:t>Samuel’s</w:t>
      </w:r>
      <w:r w:rsidR="003F187B" w:rsidRPr="001F52A8">
        <w:t xml:space="preserve"> challenge </w:t>
      </w:r>
      <w:r w:rsidR="001536D4">
        <w:t>resembles the one in</w:t>
      </w:r>
      <w:r w:rsidR="003F187B" w:rsidRPr="001F52A8">
        <w:t xml:space="preserve"> Joshua (</w:t>
      </w:r>
      <w:r w:rsidR="00BC0F63" w:rsidRPr="001F52A8">
        <w:t>Josh 24:14-15</w:t>
      </w:r>
      <w:r w:rsidR="005372C1" w:rsidRPr="001F52A8">
        <w:t>, 20</w:t>
      </w:r>
      <w:r w:rsidR="000D7A23" w:rsidRPr="001F52A8">
        <w:t>, 23</w:t>
      </w:r>
      <w:r w:rsidR="003F187B" w:rsidRPr="001F52A8">
        <w:t>)</w:t>
      </w:r>
      <w:r w:rsidR="00914819" w:rsidRPr="001F52A8">
        <w:t xml:space="preserve"> and Judges (</w:t>
      </w:r>
      <w:r w:rsidR="00172612" w:rsidRPr="001F52A8">
        <w:t xml:space="preserve">Judg </w:t>
      </w:r>
      <w:r w:rsidR="006C78A4" w:rsidRPr="001F52A8">
        <w:t>2:</w:t>
      </w:r>
      <w:r w:rsidR="00C10334" w:rsidRPr="001F52A8">
        <w:t>1</w:t>
      </w:r>
      <w:r w:rsidR="00163DD1" w:rsidRPr="001F52A8">
        <w:t>1-1</w:t>
      </w:r>
      <w:r w:rsidR="00C10334" w:rsidRPr="001F52A8">
        <w:t>3</w:t>
      </w:r>
      <w:r w:rsidR="00163DD1" w:rsidRPr="001F52A8">
        <w:t xml:space="preserve">; </w:t>
      </w:r>
      <w:r w:rsidR="00D658FF" w:rsidRPr="001F52A8">
        <w:t>10:6-16</w:t>
      </w:r>
      <w:r w:rsidR="00914819" w:rsidRPr="001F52A8">
        <w:t>)</w:t>
      </w:r>
      <w:r w:rsidR="003219BF" w:rsidRPr="001F52A8">
        <w:t>.</w:t>
      </w:r>
      <w:r w:rsidR="005C11D2" w:rsidRPr="001F52A8">
        <w:t xml:space="preserve"> </w:t>
      </w:r>
      <w:r w:rsidR="00090AAC">
        <w:t>I</w:t>
      </w:r>
      <w:r w:rsidR="005C11D2" w:rsidRPr="001F52A8">
        <w:t xml:space="preserve">t suggests a recurrent issue for the people of God, an inclination </w:t>
      </w:r>
      <w:r w:rsidR="00B0512A" w:rsidRPr="001F52A8">
        <w:t xml:space="preserve">to </w:t>
      </w:r>
      <w:r w:rsidR="0014396F" w:rsidRPr="001F52A8">
        <w:t xml:space="preserve">put faith in </w:t>
      </w:r>
      <w:r w:rsidR="00E51D72" w:rsidRPr="001F52A8">
        <w:t xml:space="preserve">the </w:t>
      </w:r>
      <w:r w:rsidR="00D975CD">
        <w:t xml:space="preserve">culture’s </w:t>
      </w:r>
      <w:r w:rsidR="00E51D72" w:rsidRPr="001F52A8">
        <w:t>resources instead of the God</w:t>
      </w:r>
      <w:r w:rsidR="00042DD5" w:rsidRPr="001F52A8">
        <w:t xml:space="preserve"> </w:t>
      </w:r>
      <w:r w:rsidR="0014396F" w:rsidRPr="001F52A8">
        <w:t xml:space="preserve">who had </w:t>
      </w:r>
      <w:r w:rsidR="00863DEA" w:rsidRPr="001F52A8">
        <w:t>proved himself</w:t>
      </w:r>
      <w:r w:rsidR="0014396F" w:rsidRPr="001F52A8">
        <w:t xml:space="preserve"> in the past</w:t>
      </w:r>
      <w:r w:rsidR="00180F2C" w:rsidRPr="001F52A8">
        <w:t>. A</w:t>
      </w:r>
      <w:r w:rsidR="00042DD5" w:rsidRPr="001F52A8">
        <w:t xml:space="preserve">nd </w:t>
      </w:r>
      <w:r w:rsidR="00180F2C" w:rsidRPr="001F52A8">
        <w:t xml:space="preserve">it suggests </w:t>
      </w:r>
      <w:r w:rsidR="00042DD5" w:rsidRPr="001F52A8">
        <w:t>a need to clean things up</w:t>
      </w:r>
      <w:r w:rsidR="008A1493" w:rsidRPr="001F52A8">
        <w:t xml:space="preserve"> in this connection</w:t>
      </w:r>
      <w:r w:rsidR="00BF2A93" w:rsidRPr="001F52A8">
        <w:t xml:space="preserve"> from time to time</w:t>
      </w:r>
      <w:r w:rsidR="008A1493" w:rsidRPr="001F52A8">
        <w:t>.</w:t>
      </w:r>
      <w:r w:rsidR="00FD1CF4" w:rsidRPr="001F52A8">
        <w:t xml:space="preserve"> </w:t>
      </w:r>
      <w:r w:rsidR="00FE4A81">
        <w:t>I</w:t>
      </w:r>
      <w:r w:rsidR="00FE4A81" w:rsidRPr="001F52A8">
        <w:t xml:space="preserve">s there a link with </w:t>
      </w:r>
      <w:r w:rsidR="00AD5F5E">
        <w:t>Israel’s</w:t>
      </w:r>
      <w:r w:rsidR="00FE4A81">
        <w:t xml:space="preserve"> </w:t>
      </w:r>
      <w:r w:rsidR="00FE4A81" w:rsidRPr="001F52A8">
        <w:t>let</w:t>
      </w:r>
      <w:r w:rsidR="00FE4A81">
        <w:t>ting</w:t>
      </w:r>
      <w:r w:rsidR="00FE4A81" w:rsidRPr="001F52A8">
        <w:t xml:space="preserve"> the chest sit in a Gibeonite town for twenty years?</w:t>
      </w:r>
      <w:r w:rsidR="00FE4A81">
        <w:t xml:space="preserve"> </w:t>
      </w:r>
      <w:r w:rsidR="00FD1CF4" w:rsidRPr="001F52A8">
        <w:t>There are times when one has to wait</w:t>
      </w:r>
      <w:r w:rsidR="0005058C">
        <w:t xml:space="preserve"> a</w:t>
      </w:r>
      <w:r w:rsidR="00FD1CF4" w:rsidRPr="001F52A8">
        <w:t xml:space="preserve">nd times </w:t>
      </w:r>
      <w:r w:rsidR="00756C9B" w:rsidRPr="001F52A8">
        <w:t xml:space="preserve">to take action. </w:t>
      </w:r>
      <w:r w:rsidR="0005058C">
        <w:t>S</w:t>
      </w:r>
      <w:r w:rsidR="00756C9B" w:rsidRPr="001F52A8">
        <w:t>uch a moment</w:t>
      </w:r>
      <w:r w:rsidR="0005058C">
        <w:t xml:space="preserve"> has arrived</w:t>
      </w:r>
      <w:r w:rsidR="00756C9B" w:rsidRPr="001F52A8">
        <w:t>.</w:t>
      </w:r>
    </w:p>
    <w:p w14:paraId="39D9CD84" w14:textId="6A08465D" w:rsidR="00590272" w:rsidRPr="001F52A8" w:rsidRDefault="00095C9C" w:rsidP="00FF0EA9">
      <w:r>
        <w:t>Perhaps it is</w:t>
      </w:r>
      <w:r w:rsidR="00756C9B" w:rsidRPr="001F52A8">
        <w:t xml:space="preserve"> a prophet’s job to recognize such a time</w:t>
      </w:r>
      <w:r>
        <w:t>, and then</w:t>
      </w:r>
      <w:r w:rsidR="00756C9B" w:rsidRPr="001F52A8">
        <w:t xml:space="preserve"> to discern the action that needs </w:t>
      </w:r>
      <w:r w:rsidR="003437AA" w:rsidRPr="001F52A8">
        <w:t>taking. The</w:t>
      </w:r>
      <w:r w:rsidR="00DA33E5" w:rsidRPr="001F52A8">
        <w:t xml:space="preserve">re is </w:t>
      </w:r>
      <w:r w:rsidR="00AA30F3">
        <w:t>a negative action, the jettisoning, and then</w:t>
      </w:r>
      <w:r w:rsidR="00931501" w:rsidRPr="001F52A8">
        <w:t xml:space="preserve"> a gathering</w:t>
      </w:r>
      <w:r w:rsidR="007939A0" w:rsidRPr="001F52A8">
        <w:t>, at Mizpah</w:t>
      </w:r>
      <w:r w:rsidR="00B906AF" w:rsidRPr="001F52A8">
        <w:t xml:space="preserve"> (7:5)</w:t>
      </w:r>
      <w:r w:rsidR="00900772">
        <w:t>. It is</w:t>
      </w:r>
      <w:r w:rsidR="001C4552" w:rsidRPr="001F52A8">
        <w:t xml:space="preserve"> </w:t>
      </w:r>
      <w:r w:rsidR="00A51822" w:rsidRPr="001F52A8">
        <w:t>one of the cent</w:t>
      </w:r>
      <w:r w:rsidR="00436F86" w:rsidRPr="001F52A8">
        <w:t xml:space="preserve">ers of Samuel’s activity (7:16) and </w:t>
      </w:r>
      <w:r w:rsidR="0061221D">
        <w:t>i</w:t>
      </w:r>
      <w:r w:rsidR="00436F86" w:rsidRPr="001F52A8">
        <w:t>t</w:t>
      </w:r>
      <w:r w:rsidR="003D47F3" w:rsidRPr="001F52A8">
        <w:t xml:space="preserve"> </w:t>
      </w:r>
      <w:r w:rsidR="003F7A70" w:rsidRPr="001F52A8">
        <w:t xml:space="preserve">recalls </w:t>
      </w:r>
      <w:r w:rsidR="009140A9" w:rsidRPr="001F52A8">
        <w:t>another historic occasion (</w:t>
      </w:r>
      <w:r w:rsidR="00826E83" w:rsidRPr="001F52A8">
        <w:t>Judg 20</w:t>
      </w:r>
      <w:r w:rsidR="009140A9" w:rsidRPr="001F52A8">
        <w:t>)</w:t>
      </w:r>
      <w:r w:rsidR="001C4552" w:rsidRPr="001F52A8">
        <w:t>.</w:t>
      </w:r>
      <w:r w:rsidR="00942124" w:rsidRPr="001F52A8">
        <w:t xml:space="preserve"> </w:t>
      </w:r>
      <w:r w:rsidR="00A627B6">
        <w:t>H</w:t>
      </w:r>
      <w:r w:rsidR="00942124" w:rsidRPr="001F52A8">
        <w:t xml:space="preserve">ere </w:t>
      </w:r>
      <w:r w:rsidR="00753CAD" w:rsidRPr="001F52A8">
        <w:t>Samuel pleads for them</w:t>
      </w:r>
      <w:r w:rsidR="001C4F65">
        <w:t>. It</w:t>
      </w:r>
      <w:r w:rsidR="00942124" w:rsidRPr="001F52A8">
        <w:t xml:space="preserve"> is his responsibility and </w:t>
      </w:r>
      <w:r w:rsidR="0039030B" w:rsidRPr="001F52A8">
        <w:t xml:space="preserve">vocation </w:t>
      </w:r>
      <w:r w:rsidR="00942124" w:rsidRPr="001F52A8">
        <w:t xml:space="preserve">both </w:t>
      </w:r>
      <w:r w:rsidR="0061563F" w:rsidRPr="001F52A8">
        <w:t>as a priest</w:t>
      </w:r>
      <w:r w:rsidR="009A5DA0" w:rsidRPr="001F52A8">
        <w:t xml:space="preserve"> and prophet</w:t>
      </w:r>
      <w:r w:rsidR="001C4F65">
        <w:t>, and t</w:t>
      </w:r>
      <w:r w:rsidR="00775181" w:rsidRPr="001F52A8">
        <w:t>hey urge him not to be deaf to them</w:t>
      </w:r>
      <w:r w:rsidR="006B7229" w:rsidRPr="001F52A8">
        <w:t xml:space="preserve"> </w:t>
      </w:r>
      <w:r w:rsidR="00EA2CAE">
        <w:t>or</w:t>
      </w:r>
      <w:r w:rsidR="006B7229" w:rsidRPr="001F52A8">
        <w:t xml:space="preserve"> </w:t>
      </w:r>
      <w:r w:rsidR="00042C62">
        <w:t>fail to</w:t>
      </w:r>
      <w:r w:rsidR="00775181" w:rsidRPr="001F52A8">
        <w:t xml:space="preserve"> cry out to Yahweh for them (7:8</w:t>
      </w:r>
      <w:r w:rsidR="00ED3724" w:rsidRPr="001F52A8">
        <w:t>, 9</w:t>
      </w:r>
      <w:r w:rsidR="00775181" w:rsidRPr="001F52A8">
        <w:t>)</w:t>
      </w:r>
      <w:r w:rsidR="006B7229" w:rsidRPr="001F52A8">
        <w:t>.</w:t>
      </w:r>
      <w:r w:rsidR="00775181" w:rsidRPr="001F52A8">
        <w:t xml:space="preserve"> </w:t>
      </w:r>
      <w:r w:rsidR="00DC3F06" w:rsidRPr="001F52A8">
        <w:t>They draw water and pour it before Yahweh</w:t>
      </w:r>
      <w:r w:rsidR="00F74F6C">
        <w:t>,</w:t>
      </w:r>
      <w:r w:rsidR="00DC3F06" w:rsidRPr="001F52A8">
        <w:t xml:space="preserve"> </w:t>
      </w:r>
      <w:r w:rsidR="00D52291" w:rsidRPr="001F52A8">
        <w:t>and they fast</w:t>
      </w:r>
      <w:r w:rsidR="00F82E50" w:rsidRPr="001F52A8">
        <w:t>. I</w:t>
      </w:r>
      <w:r w:rsidR="005B3973" w:rsidRPr="001F52A8">
        <w:t xml:space="preserve">t is the only First Testament reference </w:t>
      </w:r>
      <w:r w:rsidR="00A86121" w:rsidRPr="001F52A8">
        <w:t xml:space="preserve">to </w:t>
      </w:r>
      <w:r w:rsidR="001D7982" w:rsidRPr="001F52A8">
        <w:t>a</w:t>
      </w:r>
      <w:r w:rsidR="005B3973" w:rsidRPr="001F52A8">
        <w:t xml:space="preserve"> water libation, though </w:t>
      </w:r>
      <w:r w:rsidR="001D7982" w:rsidRPr="001F52A8">
        <w:t>the practice is known from elsewhere a</w:t>
      </w:r>
      <w:r w:rsidR="00A86121" w:rsidRPr="001F52A8">
        <w:t>nd</w:t>
      </w:r>
      <w:r w:rsidR="001D7982" w:rsidRPr="001F52A8">
        <w:t xml:space="preserve"> appears </w:t>
      </w:r>
      <w:r w:rsidR="00732A1E" w:rsidRPr="001F52A8">
        <w:t>in the Mishnah (Sukkah 4:9)</w:t>
      </w:r>
      <w:r w:rsidR="004B270F" w:rsidRPr="001F52A8">
        <w:t xml:space="preserve">; it might symbolize pouring out yourself </w:t>
      </w:r>
      <w:r w:rsidR="007274B3" w:rsidRPr="001F52A8">
        <w:t>(</w:t>
      </w:r>
      <w:r w:rsidR="006D40C5">
        <w:t>Tg</w:t>
      </w:r>
      <w:r w:rsidR="00872F59">
        <w:t xml:space="preserve">; cf. </w:t>
      </w:r>
      <w:r w:rsidR="00C65254" w:rsidRPr="001F52A8">
        <w:t>Lam 2:19</w:t>
      </w:r>
      <w:r w:rsidR="007274B3" w:rsidRPr="001F52A8">
        <w:t>)</w:t>
      </w:r>
      <w:r w:rsidR="00021D94" w:rsidRPr="001F52A8">
        <w:rPr>
          <w:rStyle w:val="FootnoteReference"/>
        </w:rPr>
        <w:footnoteReference w:id="92"/>
      </w:r>
      <w:r w:rsidR="006D61E6" w:rsidRPr="001F52A8">
        <w:t xml:space="preserve"> or it might go along with fasting and denote</w:t>
      </w:r>
      <w:r w:rsidR="00D52291" w:rsidRPr="001F52A8">
        <w:t xml:space="preserve"> that people were </w:t>
      </w:r>
      <w:r w:rsidR="00AE64C6">
        <w:t xml:space="preserve">not </w:t>
      </w:r>
      <w:r w:rsidR="00D52291" w:rsidRPr="001F52A8">
        <w:t>even drinking water.</w:t>
      </w:r>
      <w:r w:rsidR="006D4281" w:rsidRPr="001F52A8">
        <w:t xml:space="preserve"> </w:t>
      </w:r>
      <w:r w:rsidR="00AE64C6">
        <w:t>P</w:t>
      </w:r>
      <w:r w:rsidR="00C53535" w:rsidRPr="001F52A8">
        <w:t xml:space="preserve">eople would </w:t>
      </w:r>
      <w:r w:rsidR="00AE64C6">
        <w:t xml:space="preserve">often </w:t>
      </w:r>
      <w:r w:rsidR="00C53535" w:rsidRPr="001F52A8">
        <w:t xml:space="preserve">make a burnt offering </w:t>
      </w:r>
      <w:r w:rsidR="00100054" w:rsidRPr="001F52A8">
        <w:t>when they were pleading with Yahweh for something</w:t>
      </w:r>
      <w:r w:rsidR="00AE64C6">
        <w:t>, as we</w:t>
      </w:r>
      <w:r w:rsidR="00100054" w:rsidRPr="001F52A8">
        <w:t xml:space="preserve"> m</w:t>
      </w:r>
      <w:r w:rsidR="00AB290E">
        <w:t xml:space="preserve">ight </w:t>
      </w:r>
      <w:r w:rsidR="00100054" w:rsidRPr="001F52A8">
        <w:t xml:space="preserve">make a gift to someone when we ask a favor. </w:t>
      </w:r>
      <w:r w:rsidR="00AE64C6">
        <w:t>While i</w:t>
      </w:r>
      <w:r w:rsidR="00B80896" w:rsidRPr="001F52A8">
        <w:t>t c</w:t>
      </w:r>
      <w:r w:rsidR="00774FDB">
        <w:t>an</w:t>
      </w:r>
      <w:r w:rsidR="00B80896" w:rsidRPr="001F52A8">
        <w:t xml:space="preserve"> be a sign </w:t>
      </w:r>
      <w:r w:rsidR="00AE64C6">
        <w:t>of</w:t>
      </w:r>
      <w:r w:rsidR="00B80896" w:rsidRPr="001F52A8">
        <w:t xml:space="preserve"> a sad understanding of the relationship, it can be a sign that we are not asking </w:t>
      </w:r>
      <w:r w:rsidR="003F0D76" w:rsidRPr="001F52A8">
        <w:t>for a favor in a way that costs us nothing</w:t>
      </w:r>
      <w:r w:rsidR="0097736C" w:rsidRPr="001F52A8">
        <w:t xml:space="preserve"> (2 Sam 2</w:t>
      </w:r>
      <w:r w:rsidR="00E814C5" w:rsidRPr="001F52A8">
        <w:t>4:24)</w:t>
      </w:r>
      <w:r w:rsidR="00D65B7E">
        <w:t>.</w:t>
      </w:r>
      <w:r w:rsidR="00B80896" w:rsidRPr="001F52A8">
        <w:t xml:space="preserve"> </w:t>
      </w:r>
      <w:r w:rsidR="006343D5" w:rsidRPr="001F52A8">
        <w:t xml:space="preserve">Samuel </w:t>
      </w:r>
      <w:r w:rsidR="006F166D" w:rsidRPr="001F52A8">
        <w:t xml:space="preserve">makes a particularly sacrificial burnt offering for them (7:9): the whole </w:t>
      </w:r>
      <w:r w:rsidR="00B57910" w:rsidRPr="001F52A8">
        <w:t xml:space="preserve">event makes for a </w:t>
      </w:r>
      <w:r w:rsidR="006F166D" w:rsidRPr="001F52A8">
        <w:t>marked contrast with 2:12-17.</w:t>
      </w:r>
      <w:r w:rsidR="00B57910" w:rsidRPr="001F52A8">
        <w:t xml:space="preserve"> </w:t>
      </w:r>
      <w:r w:rsidR="00910010" w:rsidRPr="001F52A8">
        <w:t>They acknowledge, “We have offended against Yahweh” (7:</w:t>
      </w:r>
      <w:r w:rsidR="00CD5968" w:rsidRPr="001F52A8">
        <w:t>6</w:t>
      </w:r>
      <w:r w:rsidR="00910010" w:rsidRPr="001F52A8">
        <w:t>)</w:t>
      </w:r>
      <w:r w:rsidR="00DE0A19" w:rsidRPr="001F52A8">
        <w:t>.</w:t>
      </w:r>
      <w:r w:rsidR="007F1288" w:rsidRPr="001F52A8">
        <w:t xml:space="preserve"> </w:t>
      </w:r>
    </w:p>
    <w:p w14:paraId="171181EA" w14:textId="612C6A17" w:rsidR="00E66C18" w:rsidRPr="001F52A8" w:rsidRDefault="00450A1F" w:rsidP="00EB519C">
      <w:r w:rsidRPr="001F52A8">
        <w:t>Yahweh answer</w:t>
      </w:r>
      <w:r w:rsidR="00867D6B">
        <w:t>s</w:t>
      </w:r>
      <w:r w:rsidR="005D6DF5" w:rsidRPr="001F52A8">
        <w:t xml:space="preserve"> </w:t>
      </w:r>
      <w:r w:rsidR="0001608D" w:rsidRPr="001F52A8">
        <w:t>and thunder</w:t>
      </w:r>
      <w:r w:rsidR="00867D6B">
        <w:t>s</w:t>
      </w:r>
      <w:r w:rsidR="0001608D" w:rsidRPr="001F52A8">
        <w:t xml:space="preserve"> (7:</w:t>
      </w:r>
      <w:r w:rsidR="00867D6B">
        <w:t>9-</w:t>
      </w:r>
      <w:r w:rsidR="0001608D" w:rsidRPr="001F52A8">
        <w:t>10)</w:t>
      </w:r>
      <w:r w:rsidR="00917BBB">
        <w:t>; the thunder constitutes t</w:t>
      </w:r>
      <w:r w:rsidR="00A070FC" w:rsidRPr="001F52A8">
        <w:t xml:space="preserve">he </w:t>
      </w:r>
      <w:r w:rsidR="005E03E5" w:rsidRPr="001F52A8">
        <w:t>answer.</w:t>
      </w:r>
      <w:r w:rsidR="004966A3" w:rsidRPr="001F52A8">
        <w:t xml:space="preserve"> </w:t>
      </w:r>
      <w:r w:rsidR="003F472B">
        <w:t>T</w:t>
      </w:r>
      <w:r w:rsidR="00B208A2" w:rsidRPr="001F52A8">
        <w:t>he two aspects to an answer to prayer</w:t>
      </w:r>
      <w:r w:rsidR="00B208A2" w:rsidRPr="001F52A8">
        <w:rPr>
          <w:rStyle w:val="FootnoteReference"/>
        </w:rPr>
        <w:footnoteReference w:id="93"/>
      </w:r>
      <w:r w:rsidR="00B208A2" w:rsidRPr="001F52A8">
        <w:t xml:space="preserve"> become one. </w:t>
      </w:r>
      <w:r w:rsidR="00234537" w:rsidRPr="001F52A8">
        <w:t xml:space="preserve">Only here in Samuel does Yahweh </w:t>
      </w:r>
      <w:r w:rsidR="003F472B">
        <w:t>“</w:t>
      </w:r>
      <w:r w:rsidR="00234537" w:rsidRPr="001F52A8">
        <w:t>answer</w:t>
      </w:r>
      <w:r w:rsidR="003F472B">
        <w:t>”</w:t>
      </w:r>
      <w:r w:rsidR="00234537" w:rsidRPr="001F52A8">
        <w:t xml:space="preserve"> a prayer</w:t>
      </w:r>
      <w:r w:rsidR="00367C09" w:rsidRPr="001F52A8">
        <w:t>, and only here in First Testament narrative does Yahweh thunder</w:t>
      </w:r>
      <w:r w:rsidR="0079454B" w:rsidRPr="001F52A8">
        <w:t xml:space="preserve">. </w:t>
      </w:r>
      <w:r w:rsidR="00466B11" w:rsidRPr="001F52A8">
        <w:t xml:space="preserve">Perhaps </w:t>
      </w:r>
      <w:r w:rsidR="00471875">
        <w:t>there was</w:t>
      </w:r>
      <w:r w:rsidR="00466B11" w:rsidRPr="001F52A8">
        <w:t xml:space="preserve"> literal thunder that encouraged Israel and </w:t>
      </w:r>
      <w:r w:rsidR="00AF63AC" w:rsidRPr="001F52A8">
        <w:t>panicked the Philistines</w:t>
      </w:r>
      <w:r w:rsidR="00571D0A" w:rsidRPr="001F52A8">
        <w:t xml:space="preserve">, or perhaps </w:t>
      </w:r>
      <w:r w:rsidR="00563EAA" w:rsidRPr="001F52A8">
        <w:t xml:space="preserve">the language has its regular metaphorical significance. Either way, </w:t>
      </w:r>
      <w:r w:rsidR="001E45E9" w:rsidRPr="001F52A8">
        <w:t xml:space="preserve">Yahweh </w:t>
      </w:r>
      <w:r w:rsidR="001E72BD" w:rsidRPr="001F52A8">
        <w:t xml:space="preserve">somehow </w:t>
      </w:r>
      <w:r w:rsidR="001E45E9" w:rsidRPr="001F52A8">
        <w:t>thr</w:t>
      </w:r>
      <w:r w:rsidR="00F26E51">
        <w:t>ows</w:t>
      </w:r>
      <w:r w:rsidR="001E45E9" w:rsidRPr="001F52A8">
        <w:t xml:space="preserve"> the Philistines into confusio</w:t>
      </w:r>
      <w:r w:rsidR="0078374F" w:rsidRPr="001F52A8">
        <w:t>n</w:t>
      </w:r>
      <w:r w:rsidR="001E72BD" w:rsidRPr="001F52A8">
        <w:t xml:space="preserve"> (</w:t>
      </w:r>
      <w:r w:rsidR="00CA27BC" w:rsidRPr="001F52A8">
        <w:rPr>
          <w:i/>
          <w:iCs/>
        </w:rPr>
        <w:t>h</w:t>
      </w:r>
      <w:r w:rsidR="00CA27BC" w:rsidRPr="001F52A8">
        <w:rPr>
          <w:rFonts w:cstheme="minorHAnsi"/>
          <w:i/>
          <w:iCs/>
        </w:rPr>
        <w:t>ā</w:t>
      </w:r>
      <w:r w:rsidR="00CA27BC" w:rsidRPr="001F52A8">
        <w:rPr>
          <w:i/>
          <w:iCs/>
        </w:rPr>
        <w:t>mam</w:t>
      </w:r>
      <w:r w:rsidR="00F14C1E" w:rsidRPr="001F52A8">
        <w:t>)</w:t>
      </w:r>
      <w:r w:rsidR="0078374F" w:rsidRPr="001F52A8">
        <w:t xml:space="preserve"> and they collapse</w:t>
      </w:r>
      <w:r w:rsidR="00135D8C" w:rsidRPr="001F52A8">
        <w:t xml:space="preserve"> (</w:t>
      </w:r>
      <w:r w:rsidR="00135D8C" w:rsidRPr="001F52A8">
        <w:rPr>
          <w:i/>
          <w:iCs/>
        </w:rPr>
        <w:t>n</w:t>
      </w:r>
      <w:r w:rsidR="00135D8C" w:rsidRPr="001F52A8">
        <w:rPr>
          <w:rFonts w:cstheme="minorHAnsi"/>
          <w:i/>
          <w:iCs/>
        </w:rPr>
        <w:t>ā</w:t>
      </w:r>
      <w:r w:rsidR="00135D8C" w:rsidRPr="001F52A8">
        <w:rPr>
          <w:i/>
          <w:iCs/>
        </w:rPr>
        <w:t xml:space="preserve">gap </w:t>
      </w:r>
      <w:r w:rsidR="00135D8C" w:rsidRPr="001F52A8">
        <w:t>niphal</w:t>
      </w:r>
      <w:r w:rsidR="001E23FC" w:rsidRPr="001F52A8">
        <w:t>)</w:t>
      </w:r>
      <w:r w:rsidR="00135D8C" w:rsidRPr="001F52A8">
        <w:t>, the verb that applied unhappily to Israel in 4:2, 10</w:t>
      </w:r>
      <w:r w:rsidR="007452A4" w:rsidRPr="001F52A8">
        <w:t>.</w:t>
      </w:r>
      <w:r w:rsidR="00ED198D" w:rsidRPr="001F52A8">
        <w:t xml:space="preserve"> Typically, the event involves Yahweh’s action</w:t>
      </w:r>
      <w:r w:rsidR="00BB777A" w:rsidRPr="001F52A8">
        <w:t xml:space="preserve"> (he is the subject of </w:t>
      </w:r>
      <w:r w:rsidR="00BF4870" w:rsidRPr="001F52A8">
        <w:t>two</w:t>
      </w:r>
      <w:r w:rsidR="00BB777A" w:rsidRPr="001F52A8">
        <w:t xml:space="preserve"> verb</w:t>
      </w:r>
      <w:r w:rsidR="00BF4870" w:rsidRPr="001F52A8">
        <w:t>s</w:t>
      </w:r>
      <w:r w:rsidR="00BB777A" w:rsidRPr="001F52A8">
        <w:t>)</w:t>
      </w:r>
      <w:r w:rsidR="00106532" w:rsidRPr="001F52A8">
        <w:t xml:space="preserve">, </w:t>
      </w:r>
      <w:r w:rsidR="00BB777A" w:rsidRPr="001F52A8">
        <w:t>the Philistines</w:t>
      </w:r>
      <w:r w:rsidR="0062200D">
        <w:t>’</w:t>
      </w:r>
      <w:r w:rsidR="00BB777A" w:rsidRPr="001F52A8">
        <w:t xml:space="preserve"> action</w:t>
      </w:r>
      <w:r w:rsidR="00D40614" w:rsidRPr="001F52A8">
        <w:t xml:space="preserve"> or reaction</w:t>
      </w:r>
      <w:r w:rsidR="00BB777A" w:rsidRPr="001F52A8">
        <w:t>, and Israel’s action</w:t>
      </w:r>
      <w:r w:rsidR="005F30F6" w:rsidRPr="001F52A8">
        <w:t xml:space="preserve"> </w:t>
      </w:r>
      <w:r w:rsidR="00D40614" w:rsidRPr="001F52A8">
        <w:t>or reaction</w:t>
      </w:r>
      <w:r w:rsidR="0062200D">
        <w:t xml:space="preserve"> </w:t>
      </w:r>
      <w:r w:rsidR="005F30F6" w:rsidRPr="001F52A8">
        <w:t>(7:</w:t>
      </w:r>
      <w:r w:rsidR="00BF4870" w:rsidRPr="001F52A8">
        <w:t>10-11).</w:t>
      </w:r>
      <w:r w:rsidR="00087C8B" w:rsidRPr="001F52A8">
        <w:t xml:space="preserve"> </w:t>
      </w:r>
      <w:r w:rsidR="0062200D">
        <w:t xml:space="preserve">But </w:t>
      </w:r>
      <w:r w:rsidR="0062200D" w:rsidRPr="001F52A8">
        <w:t xml:space="preserve">all </w:t>
      </w:r>
      <w:r w:rsidR="00C0042D">
        <w:t>Israel</w:t>
      </w:r>
      <w:r w:rsidR="0062200D" w:rsidRPr="001F52A8">
        <w:t xml:space="preserve"> ha</w:t>
      </w:r>
      <w:r w:rsidR="00C0042D">
        <w:t>s</w:t>
      </w:r>
      <w:r w:rsidR="0062200D" w:rsidRPr="001F52A8">
        <w:t xml:space="preserve"> to do is give chase</w:t>
      </w:r>
      <w:r w:rsidR="003A15C1">
        <w:t>; n</w:t>
      </w:r>
      <w:r w:rsidR="00745B3F" w:rsidRPr="001F52A8">
        <w:t>ot so typically, the</w:t>
      </w:r>
      <w:r w:rsidR="0062200D">
        <w:t>y</w:t>
      </w:r>
      <w:r w:rsidR="00745B3F" w:rsidRPr="001F52A8">
        <w:t xml:space="preserve"> do not have to fight</w:t>
      </w:r>
      <w:r w:rsidR="003A15C1">
        <w:t>. T</w:t>
      </w:r>
      <w:r w:rsidR="00F4185F" w:rsidRPr="001F52A8">
        <w:t xml:space="preserve">his victory </w:t>
      </w:r>
      <w:r w:rsidR="0062200D">
        <w:t>resembles</w:t>
      </w:r>
      <w:r w:rsidR="00F4185F" w:rsidRPr="001F52A8">
        <w:t xml:space="preserve"> the conquest of Jericho</w:t>
      </w:r>
      <w:r w:rsidR="001C7481" w:rsidRPr="001F52A8">
        <w:t xml:space="preserve"> </w:t>
      </w:r>
      <w:r w:rsidR="00051580">
        <w:t xml:space="preserve">more </w:t>
      </w:r>
      <w:r w:rsidR="001C7481" w:rsidRPr="001F52A8">
        <w:t xml:space="preserve">than most victories in </w:t>
      </w:r>
      <w:r w:rsidR="0088338E" w:rsidRPr="001F52A8">
        <w:t>Joshua, Judges, or Samuel.</w:t>
      </w:r>
      <w:r w:rsidR="0009019E" w:rsidRPr="001F52A8">
        <w:t xml:space="preserve"> It thus provides an alter</w:t>
      </w:r>
      <w:r w:rsidR="004E2B3C" w:rsidRPr="001F52A8">
        <w:t xml:space="preserve">native model </w:t>
      </w:r>
      <w:r w:rsidR="0079487F">
        <w:t>of</w:t>
      </w:r>
      <w:r w:rsidR="00B11C76" w:rsidRPr="001F52A8">
        <w:t xml:space="preserve"> the interaction of </w:t>
      </w:r>
      <w:r w:rsidR="00FD3F85" w:rsidRPr="001F52A8">
        <w:t>Yahweh’s activity and Israel’s activity</w:t>
      </w:r>
      <w:r w:rsidR="00ED67DB" w:rsidRPr="001F52A8">
        <w:t xml:space="preserve">. </w:t>
      </w:r>
    </w:p>
    <w:p w14:paraId="0684AFA1" w14:textId="6C2CCB87" w:rsidR="00910010" w:rsidRPr="001F52A8" w:rsidRDefault="00657A90" w:rsidP="008771FA">
      <w:r w:rsidRPr="001F52A8">
        <w:lastRenderedPageBreak/>
        <w:t xml:space="preserve">So </w:t>
      </w:r>
      <w:r w:rsidR="00087C8B" w:rsidRPr="001F52A8">
        <w:t>Yahweh</w:t>
      </w:r>
      <w:r w:rsidR="00F836EF" w:rsidRPr="001F52A8">
        <w:t xml:space="preserve"> “helped” the Israelites “</w:t>
      </w:r>
      <w:r w:rsidR="007D2E48" w:rsidRPr="001F52A8">
        <w:t>thus</w:t>
      </w:r>
      <w:r w:rsidR="00F836EF" w:rsidRPr="001F52A8">
        <w:t xml:space="preserve"> </w:t>
      </w:r>
      <w:r w:rsidR="007D2E48" w:rsidRPr="001F52A8">
        <w:t>far” (</w:t>
      </w:r>
      <w:r w:rsidR="006164E4" w:rsidRPr="001F52A8">
        <w:t xml:space="preserve">7:12). Both expressions </w:t>
      </w:r>
      <w:r w:rsidR="00607754">
        <w:t>may be</w:t>
      </w:r>
      <w:r w:rsidR="006164E4" w:rsidRPr="001F52A8">
        <w:t xml:space="preserve"> misleading.</w:t>
      </w:r>
      <w:r w:rsidR="00203EAD" w:rsidRPr="001F52A8">
        <w:t xml:space="preserve"> </w:t>
      </w:r>
      <w:r w:rsidR="00EE1D60" w:rsidRPr="001F52A8">
        <w:t>“</w:t>
      </w:r>
      <w:r w:rsidR="001E70FE">
        <w:t>H</w:t>
      </w:r>
      <w:r w:rsidR="00EE1D60" w:rsidRPr="001F52A8">
        <w:t>elped</w:t>
      </w:r>
      <w:r w:rsidR="000C55D7" w:rsidRPr="001F52A8">
        <w:t xml:space="preserve">” </w:t>
      </w:r>
      <w:r w:rsidR="001E70FE" w:rsidRPr="001F52A8">
        <w:t>(</w:t>
      </w:r>
      <w:r w:rsidR="001E70FE" w:rsidRPr="001F52A8">
        <w:rPr>
          <w:i/>
          <w:iCs/>
        </w:rPr>
        <w:t>‘</w:t>
      </w:r>
      <w:r w:rsidR="001E70FE" w:rsidRPr="001F52A8">
        <w:rPr>
          <w:rFonts w:cstheme="minorHAnsi"/>
          <w:i/>
          <w:iCs/>
        </w:rPr>
        <w:t>ā</w:t>
      </w:r>
      <w:r w:rsidR="001E70FE" w:rsidRPr="001F52A8">
        <w:rPr>
          <w:i/>
          <w:iCs/>
        </w:rPr>
        <w:t>zar</w:t>
      </w:r>
      <w:r w:rsidR="001E70FE" w:rsidRPr="001F52A8">
        <w:t xml:space="preserve">) </w:t>
      </w:r>
      <w:r w:rsidR="003B6EEB">
        <w:t>often</w:t>
      </w:r>
      <w:r w:rsidR="00047593">
        <w:t xml:space="preserve"> </w:t>
      </w:r>
      <w:r w:rsidR="004F14EE" w:rsidRPr="001F52A8">
        <w:t xml:space="preserve">suggests </w:t>
      </w:r>
      <w:r w:rsidR="00047593">
        <w:t>more t</w:t>
      </w:r>
      <w:r w:rsidR="00B75943">
        <w:t>han</w:t>
      </w:r>
      <w:r w:rsidR="00047593">
        <w:t xml:space="preserve"> </w:t>
      </w:r>
      <w:r w:rsidR="004F14EE" w:rsidRPr="001F52A8">
        <w:t xml:space="preserve">assisting and supporting </w:t>
      </w:r>
      <w:r w:rsidR="00047593">
        <w:t>people</w:t>
      </w:r>
      <w:r w:rsidR="004F14EE" w:rsidRPr="001F52A8">
        <w:t xml:space="preserve"> as </w:t>
      </w:r>
      <w:r w:rsidR="00047593">
        <w:t xml:space="preserve">they </w:t>
      </w:r>
      <w:r w:rsidR="004F14EE" w:rsidRPr="001F52A8">
        <w:t xml:space="preserve">play </w:t>
      </w:r>
      <w:r w:rsidR="00047593">
        <w:t>thei</w:t>
      </w:r>
      <w:r w:rsidR="004F14EE" w:rsidRPr="001F52A8">
        <w:t>r part</w:t>
      </w:r>
      <w:r w:rsidR="003B6EEB">
        <w:t>: rather,</w:t>
      </w:r>
      <w:r w:rsidR="00196BCB">
        <w:t xml:space="preserve"> </w:t>
      </w:r>
      <w:r w:rsidR="00C20C33" w:rsidRPr="001F52A8">
        <w:t xml:space="preserve">somebody powerful </w:t>
      </w:r>
      <w:r w:rsidR="00707238" w:rsidRPr="001F52A8">
        <w:t>(such as God) tak</w:t>
      </w:r>
      <w:r w:rsidR="00B75943">
        <w:t>es</w:t>
      </w:r>
      <w:r w:rsidR="00707238" w:rsidRPr="001F52A8">
        <w:t xml:space="preserve"> action on behalf of</w:t>
      </w:r>
      <w:r w:rsidR="00D65DE3" w:rsidRPr="001F52A8">
        <w:t xml:space="preserve"> </w:t>
      </w:r>
      <w:r w:rsidR="00C20C33" w:rsidRPr="001F52A8">
        <w:t xml:space="preserve">someone </w:t>
      </w:r>
      <w:r w:rsidR="00D65DE3" w:rsidRPr="001F52A8">
        <w:t>wh</w:t>
      </w:r>
      <w:r w:rsidR="00707238" w:rsidRPr="001F52A8">
        <w:t>o</w:t>
      </w:r>
      <w:r w:rsidR="00AF0182" w:rsidRPr="001F52A8">
        <w:t xml:space="preserve"> cannot do anything</w:t>
      </w:r>
      <w:r w:rsidR="00537976">
        <w:t>.</w:t>
      </w:r>
      <w:r w:rsidR="00BF34DF" w:rsidRPr="001F52A8">
        <w:t xml:space="preserve"> </w:t>
      </w:r>
      <w:r w:rsidR="00537976">
        <w:t>T</w:t>
      </w:r>
      <w:r w:rsidR="00B75943">
        <w:t>he verb</w:t>
      </w:r>
      <w:r w:rsidR="00BF34DF" w:rsidRPr="001F52A8">
        <w:t xml:space="preserve"> comes</w:t>
      </w:r>
      <w:r w:rsidR="0078090E" w:rsidRPr="001F52A8">
        <w:t xml:space="preserve"> in company with </w:t>
      </w:r>
      <w:r w:rsidR="00BF34DF" w:rsidRPr="001F52A8">
        <w:t>words for “delivering”</w:t>
      </w:r>
      <w:r w:rsidR="007D3265" w:rsidRPr="001F52A8">
        <w:t xml:space="preserve"> (e.g., Ps </w:t>
      </w:r>
      <w:r w:rsidR="00EC24A3" w:rsidRPr="001F52A8">
        <w:t xml:space="preserve">37:40; </w:t>
      </w:r>
      <w:r w:rsidR="007D3265" w:rsidRPr="001F52A8">
        <w:t>79:9</w:t>
      </w:r>
      <w:r w:rsidR="00BF34DF" w:rsidRPr="001F52A8">
        <w:t>; 109:26</w:t>
      </w:r>
      <w:r w:rsidR="00727DE6" w:rsidRPr="001F52A8">
        <w:t xml:space="preserve">). </w:t>
      </w:r>
      <w:r w:rsidR="00B11297" w:rsidRPr="001F52A8">
        <w:t xml:space="preserve">And “thus far” doesn’t imply “so far </w:t>
      </w:r>
      <w:r w:rsidR="00B176DF">
        <w:t>but</w:t>
      </w:r>
      <w:r w:rsidR="0060012E" w:rsidRPr="001F52A8">
        <w:t xml:space="preserve"> who know</w:t>
      </w:r>
      <w:r w:rsidR="00956184" w:rsidRPr="001F52A8">
        <w:t>s</w:t>
      </w:r>
      <w:r w:rsidR="0060012E" w:rsidRPr="001F52A8">
        <w:t xml:space="preserve"> what will happen now</w:t>
      </w:r>
      <w:r w:rsidR="0036332B" w:rsidRPr="001F52A8">
        <w:t>,</w:t>
      </w:r>
      <w:r w:rsidR="009D2074">
        <w:t>”</w:t>
      </w:r>
      <w:r w:rsidR="00956184" w:rsidRPr="001F52A8">
        <w:t xml:space="preserve"> but “</w:t>
      </w:r>
      <w:r w:rsidR="000408D2" w:rsidRPr="001F52A8">
        <w:t>to this very point” (C</w:t>
      </w:r>
      <w:r w:rsidR="00317FB4">
        <w:t>EB</w:t>
      </w:r>
      <w:r w:rsidR="000408D2" w:rsidRPr="001F52A8">
        <w:t>)</w:t>
      </w:r>
      <w:r w:rsidR="005703DE" w:rsidRPr="001F52A8">
        <w:t xml:space="preserve">. </w:t>
      </w:r>
      <w:r w:rsidR="003C6B14">
        <w:t>W</w:t>
      </w:r>
      <w:r w:rsidR="005703DE" w:rsidRPr="001F52A8">
        <w:t xml:space="preserve">e are coming to </w:t>
      </w:r>
      <w:r w:rsidR="00590272" w:rsidRPr="001F52A8">
        <w:t>a</w:t>
      </w:r>
      <w:r w:rsidR="008D2FB1" w:rsidRPr="001F52A8">
        <w:t xml:space="preserve"> climax in the story</w:t>
      </w:r>
      <w:r w:rsidR="00E60B4D" w:rsidRPr="001F52A8">
        <w:t xml:space="preserve"> (7:13-17)</w:t>
      </w:r>
      <w:r w:rsidR="008D2FB1" w:rsidRPr="001F52A8">
        <w:t xml:space="preserve">. </w:t>
      </w:r>
      <w:r w:rsidR="006B5F58">
        <w:t xml:space="preserve">Israel has returned to Yahweh, </w:t>
      </w:r>
      <w:r w:rsidR="00625740" w:rsidRPr="001F52A8">
        <w:t>Yahweh has put paid to the Philistines</w:t>
      </w:r>
      <w:r w:rsidR="00395F53" w:rsidRPr="001F52A8">
        <w:t xml:space="preserve"> and Israel has recovered its land</w:t>
      </w:r>
      <w:r w:rsidR="008771FA">
        <w:t xml:space="preserve">, </w:t>
      </w:r>
      <w:r w:rsidR="0023254E">
        <w:t xml:space="preserve">and </w:t>
      </w:r>
      <w:r w:rsidR="008771FA">
        <w:t>t</w:t>
      </w:r>
      <w:r w:rsidR="00BF448B" w:rsidRPr="001F52A8">
        <w:t xml:space="preserve">here is peace between the Israelites and the </w:t>
      </w:r>
      <w:r w:rsidR="00CA6511" w:rsidRPr="001F52A8">
        <w:t>pre-Israelite peoples of Canaan</w:t>
      </w:r>
      <w:r w:rsidR="008771FA">
        <w:t>, the Amorites</w:t>
      </w:r>
      <w:r w:rsidR="0023254E">
        <w:t>.</w:t>
      </w:r>
      <w:r w:rsidR="00C5271E" w:rsidRPr="00C5271E">
        <w:t xml:space="preserve"> </w:t>
      </w:r>
      <w:r w:rsidR="00CA6511" w:rsidRPr="001F52A8">
        <w:t xml:space="preserve">Samuel the priest and prophet is </w:t>
      </w:r>
      <w:r w:rsidR="008B57FC" w:rsidRPr="001F52A8">
        <w:t xml:space="preserve">exercising authority </w:t>
      </w:r>
      <w:r w:rsidR="001141AA" w:rsidRPr="001F52A8">
        <w:t>(</w:t>
      </w:r>
      <w:r w:rsidR="001141AA" w:rsidRPr="001F52A8">
        <w:rPr>
          <w:rFonts w:cstheme="minorHAnsi"/>
          <w:i/>
          <w:iCs/>
        </w:rPr>
        <w:t>šā</w:t>
      </w:r>
      <w:r w:rsidR="007C7F54" w:rsidRPr="001F52A8">
        <w:rPr>
          <w:rFonts w:cstheme="minorHAnsi"/>
          <w:i/>
          <w:iCs/>
        </w:rPr>
        <w:t>pa</w:t>
      </w:r>
      <w:r w:rsidR="001141AA" w:rsidRPr="001F52A8">
        <w:rPr>
          <w:rFonts w:cstheme="minorHAnsi"/>
          <w:i/>
          <w:iCs/>
        </w:rPr>
        <w:t>ṭ</w:t>
      </w:r>
      <w:r w:rsidR="007C7F54" w:rsidRPr="001F52A8">
        <w:rPr>
          <w:rFonts w:cstheme="minorHAnsi"/>
        </w:rPr>
        <w:t>)</w:t>
      </w:r>
      <w:r w:rsidR="007C7F54" w:rsidRPr="001F52A8">
        <w:rPr>
          <w:rFonts w:cstheme="minorHAnsi"/>
          <w:i/>
          <w:iCs/>
        </w:rPr>
        <w:t xml:space="preserve"> </w:t>
      </w:r>
      <w:r w:rsidR="008B57FC" w:rsidRPr="001F52A8">
        <w:t xml:space="preserve">around Israel, sorting things out where necessary at </w:t>
      </w:r>
      <w:r w:rsidR="007062C6" w:rsidRPr="001F52A8">
        <w:t>Bethel, Gilgal, and Mizpah</w:t>
      </w:r>
      <w:r w:rsidR="00F02CE8" w:rsidRPr="001F52A8">
        <w:t>,</w:t>
      </w:r>
      <w:r w:rsidR="00ED4F7B">
        <w:t xml:space="preserve"> </w:t>
      </w:r>
      <w:r w:rsidR="00F02CE8" w:rsidRPr="001F52A8">
        <w:t>acting as “judge” in succession to Eli</w:t>
      </w:r>
      <w:r w:rsidR="007062C6" w:rsidRPr="001F52A8">
        <w:t xml:space="preserve">. </w:t>
      </w:r>
      <w:r w:rsidR="00370941">
        <w:t>A</w:t>
      </w:r>
      <w:r w:rsidR="00316CA9" w:rsidRPr="001F52A8">
        <w:t xml:space="preserve">t last there is someone to </w:t>
      </w:r>
      <w:r w:rsidR="00370941">
        <w:t>succeed</w:t>
      </w:r>
      <w:r w:rsidR="00316CA9" w:rsidRPr="001F52A8">
        <w:t xml:space="preserve"> Moses and Joshua.</w:t>
      </w:r>
      <w:r w:rsidR="00316CA9" w:rsidRPr="001F52A8">
        <w:rPr>
          <w:rStyle w:val="FootnoteReference"/>
        </w:rPr>
        <w:footnoteReference w:id="94"/>
      </w:r>
      <w:r w:rsidR="00316CA9" w:rsidRPr="001F52A8">
        <w:t xml:space="preserve"> Samuel</w:t>
      </w:r>
      <w:r w:rsidR="007062C6" w:rsidRPr="001F52A8">
        <w:t xml:space="preserve"> has built an altar in his home town at Ramah</w:t>
      </w:r>
      <w:r w:rsidR="007C7F54" w:rsidRPr="001F52A8">
        <w:t xml:space="preserve">, which perhaps replaces Shiloh as </w:t>
      </w:r>
      <w:r w:rsidR="00EF561D" w:rsidRPr="001F52A8">
        <w:t xml:space="preserve">a key sanctuary. </w:t>
      </w:r>
      <w:r w:rsidR="00CF2B39">
        <w:t>Everything looks good.</w:t>
      </w:r>
      <w:r w:rsidR="00CF2B39" w:rsidRPr="001F52A8">
        <w:rPr>
          <w:rStyle w:val="FootnoteReference"/>
          <w:rFonts w:ascii="Calibri" w:hAnsi="Calibri" w:cs="Calibri"/>
        </w:rPr>
        <w:footnoteReference w:id="95"/>
      </w:r>
      <w:r w:rsidR="00CF2B39">
        <w:t xml:space="preserve"> </w:t>
      </w:r>
      <w:r w:rsidR="000B6AA9" w:rsidRPr="001F52A8">
        <w:t>But it will turn out that there is a</w:t>
      </w:r>
      <w:r w:rsidR="0073431D">
        <w:t>n</w:t>
      </w:r>
      <w:r w:rsidR="000B6AA9" w:rsidRPr="001F52A8">
        <w:t xml:space="preserve"> ambiguity in th</w:t>
      </w:r>
      <w:r w:rsidR="00CF2B39">
        <w:t>at</w:t>
      </w:r>
      <w:r w:rsidR="000B6AA9" w:rsidRPr="001F52A8">
        <w:t xml:space="preserve"> expression “thus far.”</w:t>
      </w:r>
    </w:p>
    <w:p w14:paraId="22C2AD9B" w14:textId="0DFACC77" w:rsidR="00186631" w:rsidRPr="001F52A8" w:rsidRDefault="001F7C25" w:rsidP="00186631">
      <w:r>
        <w:t>T</w:t>
      </w:r>
      <w:r w:rsidR="00007C52" w:rsidRPr="001F52A8">
        <w:t>he event illustrates a key sequence</w:t>
      </w:r>
      <w:r w:rsidR="00D913BD" w:rsidRPr="001F52A8">
        <w:t xml:space="preserve"> in the life of the people of Go</w:t>
      </w:r>
      <w:r w:rsidR="00BA1B13">
        <w:t xml:space="preserve">d, </w:t>
      </w:r>
      <w:r w:rsidR="001B7EA9" w:rsidRPr="001F52A8">
        <w:t>maybe two</w:t>
      </w:r>
      <w:r w:rsidR="00007C52" w:rsidRPr="001F52A8">
        <w:t xml:space="preserve">. </w:t>
      </w:r>
      <w:r w:rsidR="001B7EA9" w:rsidRPr="001F52A8">
        <w:t>The</w:t>
      </w:r>
      <w:r w:rsidR="00D913BD" w:rsidRPr="001F52A8">
        <w:t>y</w:t>
      </w:r>
      <w:r w:rsidR="00A643F9" w:rsidRPr="001F52A8">
        <w:t xml:space="preserve"> ackno</w:t>
      </w:r>
      <w:r w:rsidR="005C16EB" w:rsidRPr="001F52A8">
        <w:t>w</w:t>
      </w:r>
      <w:r w:rsidR="00A643F9" w:rsidRPr="001F52A8">
        <w:t xml:space="preserve">ledge their </w:t>
      </w:r>
      <w:r w:rsidR="00332A91" w:rsidRPr="001F52A8">
        <w:t>waywardness,</w:t>
      </w:r>
      <w:r w:rsidR="00A643F9" w:rsidRPr="001F52A8">
        <w:t xml:space="preserve"> turn away from other servitu</w:t>
      </w:r>
      <w:r w:rsidR="005C16EB" w:rsidRPr="001F52A8">
        <w:t>des and trusts</w:t>
      </w:r>
      <w:r w:rsidR="00332A91" w:rsidRPr="001F52A8">
        <w:t>,</w:t>
      </w:r>
      <w:r w:rsidR="005C16EB" w:rsidRPr="001F52A8">
        <w:t xml:space="preserve"> </w:t>
      </w:r>
      <w:r w:rsidR="00204335" w:rsidRPr="001F52A8">
        <w:t xml:space="preserve">and turn to </w:t>
      </w:r>
      <w:r w:rsidR="00332A91" w:rsidRPr="001F52A8">
        <w:t>God</w:t>
      </w:r>
      <w:r w:rsidR="00204335" w:rsidRPr="001F52A8">
        <w:t xml:space="preserve"> in worship </w:t>
      </w:r>
      <w:r w:rsidR="00575D35" w:rsidRPr="001F52A8">
        <w:t>that costs them something</w:t>
      </w:r>
      <w:r w:rsidR="00CB6EA6" w:rsidRPr="001F52A8">
        <w:t>. As a w</w:t>
      </w:r>
      <w:r w:rsidR="00007C52" w:rsidRPr="001F52A8">
        <w:t xml:space="preserve">eak people </w:t>
      </w:r>
      <w:r w:rsidR="00CB6EA6" w:rsidRPr="001F52A8">
        <w:t xml:space="preserve">they </w:t>
      </w:r>
      <w:r w:rsidR="00007C52" w:rsidRPr="001F52A8">
        <w:t>cry out</w:t>
      </w:r>
      <w:r w:rsidR="00CB6EA6" w:rsidRPr="001F52A8">
        <w:t xml:space="preserve">, </w:t>
      </w:r>
      <w:r w:rsidR="00441909" w:rsidRPr="001F52A8">
        <w:t>God answers in word and deed</w:t>
      </w:r>
      <w:r w:rsidR="00CB6EA6" w:rsidRPr="001F52A8">
        <w:t xml:space="preserve">, and </w:t>
      </w:r>
      <w:r w:rsidR="00460DDA" w:rsidRPr="001F52A8">
        <w:t>t</w:t>
      </w:r>
      <w:r w:rsidR="00441909" w:rsidRPr="001F52A8">
        <w:t xml:space="preserve">hey do what needs doing to enter into the benefits of that sequence. </w:t>
      </w:r>
      <w:r w:rsidR="00FC704E" w:rsidRPr="001F52A8">
        <w:t xml:space="preserve">Of course often people do not </w:t>
      </w:r>
      <w:r w:rsidR="00B17E93" w:rsidRPr="001F52A8">
        <w:t xml:space="preserve">turn or </w:t>
      </w:r>
      <w:r w:rsidR="00FC704E" w:rsidRPr="001F52A8">
        <w:t xml:space="preserve">cry out </w:t>
      </w:r>
      <w:r w:rsidR="003B47F7">
        <w:t>and the implication is not that</w:t>
      </w:r>
      <w:r w:rsidR="00FC704E" w:rsidRPr="001F52A8">
        <w:t xml:space="preserve"> God </w:t>
      </w:r>
      <w:r w:rsidR="003B47F7">
        <w:t xml:space="preserve">always </w:t>
      </w:r>
      <w:r w:rsidR="00FC704E" w:rsidRPr="001F52A8">
        <w:t>answer</w:t>
      </w:r>
      <w:r w:rsidR="003B47F7">
        <w:t>s</w:t>
      </w:r>
      <w:r w:rsidR="00FC704E" w:rsidRPr="001F52A8">
        <w:t xml:space="preserve"> in wo</w:t>
      </w:r>
      <w:r w:rsidR="00764555" w:rsidRPr="001F52A8">
        <w:t xml:space="preserve">rd </w:t>
      </w:r>
      <w:r w:rsidR="003B47F7">
        <w:t>and</w:t>
      </w:r>
      <w:r w:rsidR="00764555" w:rsidRPr="001F52A8">
        <w:t xml:space="preserve"> deed</w:t>
      </w:r>
      <w:r w:rsidR="006A30F0" w:rsidRPr="001F52A8">
        <w:t xml:space="preserve">. Part of the theological genius of narrative is to </w:t>
      </w:r>
      <w:r w:rsidR="00153096">
        <w:t>tell of</w:t>
      </w:r>
      <w:r w:rsidR="006A30F0" w:rsidRPr="001F52A8">
        <w:t xml:space="preserve"> something that </w:t>
      </w:r>
      <w:r w:rsidR="00332818">
        <w:t>h</w:t>
      </w:r>
      <w:r w:rsidR="006A30F0" w:rsidRPr="001F52A8">
        <w:t>as happened and/or could happen without implying that it always happen</w:t>
      </w:r>
      <w:r w:rsidR="00087C8B" w:rsidRPr="001F52A8">
        <w:t>s. It issues an invitation but it makes no promise.</w:t>
      </w:r>
    </w:p>
    <w:p w14:paraId="66E4BFB0" w14:textId="378F69C0" w:rsidR="00496B10" w:rsidRDefault="005B5588" w:rsidP="008260A2">
      <w:pPr>
        <w:rPr>
          <w:rFonts w:cstheme="minorHAnsi"/>
        </w:rPr>
      </w:pPr>
      <w:r w:rsidRPr="001F52A8">
        <w:t xml:space="preserve">Samuel himself is capable of </w:t>
      </w:r>
      <w:r w:rsidR="00A42D0A" w:rsidRPr="001F52A8">
        <w:t xml:space="preserve">issuing exhortations and </w:t>
      </w:r>
      <w:r w:rsidRPr="001F52A8">
        <w:t xml:space="preserve">not quite </w:t>
      </w:r>
      <w:r w:rsidR="00A42D0A" w:rsidRPr="001F52A8">
        <w:t xml:space="preserve">making promises. </w:t>
      </w:r>
      <w:r w:rsidR="00C31C2A" w:rsidRPr="001F52A8">
        <w:t xml:space="preserve">He </w:t>
      </w:r>
      <w:r w:rsidR="00616C9D">
        <w:t xml:space="preserve">will </w:t>
      </w:r>
      <w:r w:rsidR="00C31C2A" w:rsidRPr="001F52A8">
        <w:t>s</w:t>
      </w:r>
      <w:r w:rsidR="00A42D0A" w:rsidRPr="001F52A8">
        <w:t>ubsequently review the story of Israel from the exodus</w:t>
      </w:r>
      <w:r w:rsidR="00B12AEC">
        <w:t xml:space="preserve"> (12:10)</w:t>
      </w:r>
      <w:r w:rsidR="00A42D0A" w:rsidRPr="001F52A8">
        <w:t xml:space="preserve">. It is a story of Yahweh’s acts of faithfulness (his </w:t>
      </w:r>
      <w:r w:rsidR="00A42D0A" w:rsidRPr="001F52A8">
        <w:rPr>
          <w:rFonts w:cstheme="minorHAnsi"/>
          <w:i/>
          <w:iCs/>
        </w:rPr>
        <w:t>ṣədāqôt</w:t>
      </w:r>
      <w:r w:rsidR="00A42D0A" w:rsidRPr="001F52A8">
        <w:rPr>
          <w:rFonts w:cstheme="minorHAnsi"/>
        </w:rPr>
        <w:t>, 12:7</w:t>
      </w:r>
      <w:r w:rsidR="00A42D0A" w:rsidRPr="001F52A8">
        <w:rPr>
          <w:rFonts w:cstheme="minorHAnsi"/>
          <w:i/>
          <w:iCs/>
        </w:rPr>
        <w:t xml:space="preserve"> </w:t>
      </w:r>
      <w:r w:rsidR="00A42D0A" w:rsidRPr="001F52A8">
        <w:rPr>
          <w:rFonts w:cstheme="minorHAnsi"/>
        </w:rPr>
        <w:t>: cf. Judg 5:11; Ps 103:6; Isa 45:24; Dan 9:16; Mic 6:5), a salvation history</w:t>
      </w:r>
      <w:r w:rsidR="006C338A">
        <w:rPr>
          <w:rFonts w:cstheme="minorHAnsi"/>
        </w:rPr>
        <w:t>.</w:t>
      </w:r>
      <w:r w:rsidR="00C31C2A" w:rsidRPr="001F52A8">
        <w:rPr>
          <w:rFonts w:cstheme="minorHAnsi"/>
        </w:rPr>
        <w:t xml:space="preserve"> </w:t>
      </w:r>
      <w:r w:rsidR="006C338A">
        <w:rPr>
          <w:rFonts w:cstheme="minorHAnsi"/>
        </w:rPr>
        <w:t>I</w:t>
      </w:r>
      <w:r w:rsidR="00A42D0A" w:rsidRPr="001F52A8">
        <w:rPr>
          <w:rFonts w:cstheme="minorHAnsi"/>
        </w:rPr>
        <w:t>t is also a story of Israel’s putting out of mind, wrongdoing, abandoning, and serving other deities</w:t>
      </w:r>
      <w:r w:rsidR="00B12AEC">
        <w:rPr>
          <w:rFonts w:cstheme="minorHAnsi"/>
        </w:rPr>
        <w:t>,</w:t>
      </w:r>
      <w:r w:rsidR="00233096">
        <w:rPr>
          <w:rFonts w:cstheme="minorHAnsi"/>
        </w:rPr>
        <w:t xml:space="preserve"> a history of waywardness</w:t>
      </w:r>
      <w:r w:rsidR="00A42D0A" w:rsidRPr="001F52A8">
        <w:rPr>
          <w:rFonts w:cstheme="minorHAnsi"/>
        </w:rPr>
        <w:t xml:space="preserve">. The pattern in Judges </w:t>
      </w:r>
      <w:r w:rsidR="009031B7" w:rsidRPr="001F52A8">
        <w:rPr>
          <w:rFonts w:cstheme="minorHAnsi"/>
        </w:rPr>
        <w:t xml:space="preserve">therefore </w:t>
      </w:r>
      <w:r w:rsidR="00A42D0A" w:rsidRPr="001F52A8">
        <w:rPr>
          <w:rFonts w:cstheme="minorHAnsi"/>
        </w:rPr>
        <w:t>needs to continue</w:t>
      </w:r>
      <w:r w:rsidR="001A389E" w:rsidRPr="001F52A8">
        <w:rPr>
          <w:rFonts w:cstheme="minorHAnsi"/>
        </w:rPr>
        <w:t xml:space="preserve">. </w:t>
      </w:r>
      <w:r w:rsidR="00C73DD5" w:rsidRPr="001F52A8">
        <w:rPr>
          <w:rFonts w:cstheme="minorHAnsi"/>
        </w:rPr>
        <w:t>“If you</w:t>
      </w:r>
      <w:r w:rsidR="008420D1" w:rsidRPr="001F52A8">
        <w:rPr>
          <w:rFonts w:cstheme="minorHAnsi"/>
        </w:rPr>
        <w:t xml:space="preserve"> live</w:t>
      </w:r>
      <w:r w:rsidR="00A42D0A" w:rsidRPr="001F52A8">
        <w:rPr>
          <w:rFonts w:cstheme="minorHAnsi"/>
        </w:rPr>
        <w:t xml:space="preserve"> in awe of Yahweh, serve him, listen to hi</w:t>
      </w:r>
      <w:r w:rsidR="00BA12FD" w:rsidRPr="001F52A8">
        <w:rPr>
          <w:rFonts w:cstheme="minorHAnsi"/>
        </w:rPr>
        <w:t>s voice</w:t>
      </w:r>
      <w:r w:rsidR="00A42D0A" w:rsidRPr="001F52A8">
        <w:rPr>
          <w:rFonts w:cstheme="minorHAnsi"/>
        </w:rPr>
        <w:t xml:space="preserve">, </w:t>
      </w:r>
      <w:r w:rsidR="00BA12FD" w:rsidRPr="001F52A8">
        <w:rPr>
          <w:rFonts w:cstheme="minorHAnsi"/>
        </w:rPr>
        <w:t>do</w:t>
      </w:r>
      <w:r w:rsidR="00A42D0A" w:rsidRPr="001F52A8">
        <w:rPr>
          <w:rFonts w:cstheme="minorHAnsi"/>
        </w:rPr>
        <w:t>n</w:t>
      </w:r>
      <w:r w:rsidR="00BA12FD" w:rsidRPr="001F52A8">
        <w:rPr>
          <w:rFonts w:cstheme="minorHAnsi"/>
        </w:rPr>
        <w:t>’</w:t>
      </w:r>
      <w:r w:rsidR="00A42D0A" w:rsidRPr="001F52A8">
        <w:rPr>
          <w:rFonts w:cstheme="minorHAnsi"/>
        </w:rPr>
        <w:t xml:space="preserve">t rebel against </w:t>
      </w:r>
      <w:r w:rsidR="00B204F1" w:rsidRPr="001F52A8">
        <w:rPr>
          <w:rFonts w:cstheme="minorHAnsi"/>
        </w:rPr>
        <w:t xml:space="preserve">Yahweh’s </w:t>
      </w:r>
      <w:r w:rsidR="00F95ED6" w:rsidRPr="001F52A8">
        <w:rPr>
          <w:rFonts w:cstheme="minorHAnsi"/>
        </w:rPr>
        <w:t>voice</w:t>
      </w:r>
      <w:r w:rsidR="00A42D0A" w:rsidRPr="001F52A8">
        <w:rPr>
          <w:rFonts w:cstheme="minorHAnsi"/>
        </w:rPr>
        <w:t xml:space="preserve">, </w:t>
      </w:r>
      <w:r w:rsidR="00D71B92" w:rsidRPr="001F52A8">
        <w:rPr>
          <w:rFonts w:cstheme="minorHAnsi"/>
        </w:rPr>
        <w:t xml:space="preserve">and </w:t>
      </w:r>
      <w:r w:rsidR="006E32C9" w:rsidRPr="001F52A8">
        <w:rPr>
          <w:rFonts w:cstheme="minorHAnsi"/>
        </w:rPr>
        <w:t>are</w:t>
      </w:r>
      <w:r w:rsidR="00DE0158" w:rsidRPr="001F52A8">
        <w:rPr>
          <w:rFonts w:cstheme="minorHAnsi"/>
        </w:rPr>
        <w:t xml:space="preserve"> </w:t>
      </w:r>
      <w:r w:rsidR="00A42D0A" w:rsidRPr="001F52A8">
        <w:rPr>
          <w:rFonts w:cstheme="minorHAnsi"/>
        </w:rPr>
        <w:t xml:space="preserve">after </w:t>
      </w:r>
      <w:r w:rsidR="008420D1" w:rsidRPr="001F52A8">
        <w:rPr>
          <w:rFonts w:cstheme="minorHAnsi"/>
        </w:rPr>
        <w:t>Yahweh your God</w:t>
      </w:r>
      <w:r w:rsidR="00310F13">
        <w:rPr>
          <w:rFonts w:cstheme="minorHAnsi"/>
        </w:rPr>
        <w:t xml:space="preserve"> . . . </w:t>
      </w:r>
      <w:r w:rsidR="00A42D0A" w:rsidRPr="001F52A8">
        <w:rPr>
          <w:rFonts w:cstheme="minorHAnsi"/>
        </w:rPr>
        <w:t>(12:14).</w:t>
      </w:r>
      <w:r w:rsidR="009031B7" w:rsidRPr="001F52A8">
        <w:rPr>
          <w:rFonts w:cstheme="minorHAnsi"/>
        </w:rPr>
        <w:t xml:space="preserve"> Then </w:t>
      </w:r>
      <w:r w:rsidR="004777D0" w:rsidRPr="001F52A8">
        <w:rPr>
          <w:rFonts w:cstheme="minorHAnsi"/>
        </w:rPr>
        <w:t xml:space="preserve">“it will be well,” the NRSV </w:t>
      </w:r>
      <w:r w:rsidR="00143BAB" w:rsidRPr="001F52A8">
        <w:rPr>
          <w:rFonts w:cstheme="minorHAnsi"/>
        </w:rPr>
        <w:t>goes on</w:t>
      </w:r>
      <w:r w:rsidR="004777D0" w:rsidRPr="001F52A8">
        <w:rPr>
          <w:rFonts w:cstheme="minorHAnsi"/>
        </w:rPr>
        <w:t xml:space="preserve">. But Samuel doesn’t say </w:t>
      </w:r>
      <w:r w:rsidR="00E43DA2">
        <w:rPr>
          <w:rFonts w:cstheme="minorHAnsi"/>
        </w:rPr>
        <w:t>so</w:t>
      </w:r>
      <w:r w:rsidR="004777D0" w:rsidRPr="001F52A8">
        <w:rPr>
          <w:rFonts w:cstheme="minorHAnsi"/>
        </w:rPr>
        <w:t>. The if-c</w:t>
      </w:r>
      <w:r w:rsidR="00143BAB" w:rsidRPr="001F52A8">
        <w:rPr>
          <w:rFonts w:cstheme="minorHAnsi"/>
        </w:rPr>
        <w:t>lause runs out in an ellips</w:t>
      </w:r>
      <w:r w:rsidR="00310F13">
        <w:rPr>
          <w:rFonts w:cstheme="minorHAnsi"/>
        </w:rPr>
        <w:t>is</w:t>
      </w:r>
      <w:r w:rsidR="00143BAB" w:rsidRPr="001F52A8">
        <w:rPr>
          <w:rFonts w:cstheme="minorHAnsi"/>
        </w:rPr>
        <w:t>.</w:t>
      </w:r>
      <w:r w:rsidR="006E32C9" w:rsidRPr="001F52A8">
        <w:rPr>
          <w:rStyle w:val="FootnoteReference"/>
          <w:rFonts w:cstheme="minorHAnsi"/>
        </w:rPr>
        <w:footnoteReference w:id="96"/>
      </w:r>
      <w:r w:rsidR="00A67E53" w:rsidRPr="001F52A8">
        <w:rPr>
          <w:rFonts w:cstheme="minorHAnsi"/>
        </w:rPr>
        <w:t xml:space="preserve"> In contrast, the negative if-</w:t>
      </w:r>
      <w:r w:rsidR="0047329D" w:rsidRPr="001F52A8">
        <w:rPr>
          <w:rFonts w:cstheme="minorHAnsi"/>
        </w:rPr>
        <w:t xml:space="preserve">clause that follows, “if you do not listen,” </w:t>
      </w:r>
      <w:r w:rsidR="00413345" w:rsidRPr="001F52A8">
        <w:rPr>
          <w:rFonts w:cstheme="minorHAnsi"/>
        </w:rPr>
        <w:t>then “Yahweh’s hand will be against you</w:t>
      </w:r>
      <w:r w:rsidR="007C482B" w:rsidRPr="001F52A8">
        <w:rPr>
          <w:rFonts w:cstheme="minorHAnsi"/>
        </w:rPr>
        <w:t xml:space="preserve">” (12:15). </w:t>
      </w:r>
      <w:r w:rsidR="0051683F" w:rsidRPr="001F52A8">
        <w:rPr>
          <w:rFonts w:cstheme="minorHAnsi"/>
        </w:rPr>
        <w:t xml:space="preserve">As </w:t>
      </w:r>
      <w:r w:rsidR="008C60BA">
        <w:rPr>
          <w:rFonts w:cstheme="minorHAnsi"/>
        </w:rPr>
        <w:t xml:space="preserve">many </w:t>
      </w:r>
      <w:r w:rsidR="0051683F" w:rsidRPr="001F52A8">
        <w:rPr>
          <w:rFonts w:cstheme="minorHAnsi"/>
        </w:rPr>
        <w:t xml:space="preserve">psalms </w:t>
      </w:r>
      <w:r w:rsidR="008C60BA">
        <w:rPr>
          <w:rFonts w:cstheme="minorHAnsi"/>
        </w:rPr>
        <w:t>presuppose</w:t>
      </w:r>
      <w:r w:rsidR="0051683F" w:rsidRPr="001F52A8">
        <w:rPr>
          <w:rFonts w:cstheme="minorHAnsi"/>
        </w:rPr>
        <w:t xml:space="preserve">, sometimes Israel will be faithful and </w:t>
      </w:r>
      <w:r w:rsidR="00301F06" w:rsidRPr="001F52A8">
        <w:rPr>
          <w:rFonts w:cstheme="minorHAnsi"/>
        </w:rPr>
        <w:t xml:space="preserve">blessing will not follow; there is slippage between act </w:t>
      </w:r>
      <w:r w:rsidR="00453C98" w:rsidRPr="001F52A8">
        <w:rPr>
          <w:rFonts w:cstheme="minorHAnsi"/>
        </w:rPr>
        <w:t>and</w:t>
      </w:r>
      <w:r w:rsidR="00301F06" w:rsidRPr="001F52A8">
        <w:rPr>
          <w:rFonts w:cstheme="minorHAnsi"/>
        </w:rPr>
        <w:t xml:space="preserve"> experience.</w:t>
      </w:r>
      <w:r w:rsidR="0033138E" w:rsidRPr="001F52A8">
        <w:rPr>
          <w:rFonts w:cstheme="minorHAnsi"/>
        </w:rPr>
        <w:t xml:space="preserve"> While Samuel speaks in the terms of Deuteronomy</w:t>
      </w:r>
      <w:r w:rsidR="003E202C" w:rsidRPr="001F52A8">
        <w:rPr>
          <w:rFonts w:cstheme="minorHAnsi"/>
        </w:rPr>
        <w:t>’s expectations</w:t>
      </w:r>
      <w:r w:rsidR="0033138E" w:rsidRPr="001F52A8">
        <w:rPr>
          <w:rFonts w:cstheme="minorHAnsi"/>
        </w:rPr>
        <w:t>, he also impli</w:t>
      </w:r>
      <w:r w:rsidR="00EB7467">
        <w:rPr>
          <w:rFonts w:cstheme="minorHAnsi"/>
        </w:rPr>
        <w:t>citly</w:t>
      </w:r>
      <w:r w:rsidR="0033138E" w:rsidRPr="001F52A8">
        <w:rPr>
          <w:rFonts w:cstheme="minorHAnsi"/>
        </w:rPr>
        <w:t xml:space="preserve"> recogni</w:t>
      </w:r>
      <w:r w:rsidR="00EB7467">
        <w:rPr>
          <w:rFonts w:cstheme="minorHAnsi"/>
        </w:rPr>
        <w:t>zes</w:t>
      </w:r>
      <w:r w:rsidR="0033138E" w:rsidRPr="001F52A8">
        <w:rPr>
          <w:rFonts w:cstheme="minorHAnsi"/>
        </w:rPr>
        <w:t xml:space="preserve"> that </w:t>
      </w:r>
      <w:r w:rsidR="003E202C" w:rsidRPr="001F52A8">
        <w:rPr>
          <w:rFonts w:cstheme="minorHAnsi"/>
        </w:rPr>
        <w:t>Deuteronomy’s</w:t>
      </w:r>
      <w:r w:rsidR="00301F06" w:rsidRPr="001F52A8">
        <w:rPr>
          <w:rFonts w:cstheme="minorHAnsi"/>
        </w:rPr>
        <w:t xml:space="preserve"> </w:t>
      </w:r>
      <w:r w:rsidR="00DA7103" w:rsidRPr="001F52A8">
        <w:rPr>
          <w:rFonts w:cstheme="minorHAnsi"/>
        </w:rPr>
        <w:t xml:space="preserve">promises </w:t>
      </w:r>
      <w:r w:rsidR="00255159" w:rsidRPr="001F52A8">
        <w:rPr>
          <w:rFonts w:cstheme="minorHAnsi"/>
        </w:rPr>
        <w:t>about obedience and blessing will not always work out. Fortunately the rules about disobedience an</w:t>
      </w:r>
      <w:r w:rsidR="008135B6" w:rsidRPr="001F52A8">
        <w:rPr>
          <w:rFonts w:cstheme="minorHAnsi"/>
        </w:rPr>
        <w:t>d trouble don’t always work out, either</w:t>
      </w:r>
      <w:r w:rsidR="007B1E23" w:rsidRPr="001F52A8">
        <w:rPr>
          <w:rFonts w:cstheme="minorHAnsi"/>
        </w:rPr>
        <w:t>, which is just as well here because “the issue at stake is the destruction of Israel rather than [merely] the failure of the monarchy.”</w:t>
      </w:r>
      <w:r w:rsidR="007B1E23" w:rsidRPr="001F52A8">
        <w:rPr>
          <w:rStyle w:val="FootnoteReference"/>
          <w:rFonts w:cstheme="minorHAnsi"/>
        </w:rPr>
        <w:footnoteReference w:id="97"/>
      </w:r>
    </w:p>
    <w:p w14:paraId="1C2DF460" w14:textId="66209CF5" w:rsidR="00FD4080" w:rsidRPr="001F52A8" w:rsidRDefault="00496B10" w:rsidP="00FD33E0">
      <w:pPr>
        <w:rPr>
          <w:rFonts w:cstheme="minorHAnsi"/>
        </w:rPr>
      </w:pPr>
      <w:r w:rsidRPr="001F52A8">
        <w:rPr>
          <w:rFonts w:cstheme="minorHAnsi"/>
        </w:rPr>
        <w:t xml:space="preserve">Once again Samuel gives a sign to show he speaks the truth, but this time a scary </w:t>
      </w:r>
      <w:r w:rsidR="00E2234C">
        <w:rPr>
          <w:rFonts w:cstheme="minorHAnsi"/>
        </w:rPr>
        <w:t>sign</w:t>
      </w:r>
      <w:r w:rsidRPr="001F52A8">
        <w:rPr>
          <w:rFonts w:cstheme="minorHAnsi"/>
        </w:rPr>
        <w:t xml:space="preserve">, as a result of which the people </w:t>
      </w:r>
      <w:r w:rsidR="00E2234C">
        <w:rPr>
          <w:rFonts w:cstheme="minorHAnsi"/>
        </w:rPr>
        <w:t>a</w:t>
      </w:r>
      <w:r w:rsidRPr="001F52A8">
        <w:rPr>
          <w:rFonts w:cstheme="minorHAnsi"/>
        </w:rPr>
        <w:t>re in awe of Yahweh and of Samuel (</w:t>
      </w:r>
      <w:r w:rsidR="00E53949">
        <w:rPr>
          <w:rFonts w:cstheme="minorHAnsi"/>
          <w:i/>
          <w:iCs/>
        </w:rPr>
        <w:t>yā</w:t>
      </w:r>
      <w:r w:rsidR="00F37791">
        <w:rPr>
          <w:rFonts w:cstheme="minorHAnsi"/>
          <w:i/>
          <w:iCs/>
        </w:rPr>
        <w:t>r</w:t>
      </w:r>
      <w:r w:rsidR="00E53949">
        <w:rPr>
          <w:rFonts w:cstheme="minorHAnsi"/>
          <w:i/>
          <w:iCs/>
        </w:rPr>
        <w:t>ē</w:t>
      </w:r>
      <w:r w:rsidR="00F37791">
        <w:rPr>
          <w:rFonts w:cstheme="minorHAnsi"/>
          <w:i/>
          <w:iCs/>
        </w:rPr>
        <w:t>’</w:t>
      </w:r>
      <w:r w:rsidR="00F37791">
        <w:rPr>
          <w:rFonts w:cstheme="minorHAnsi"/>
        </w:rPr>
        <w:t>;</w:t>
      </w:r>
      <w:r w:rsidR="00F37791">
        <w:rPr>
          <w:rFonts w:cstheme="minorHAnsi"/>
          <w:i/>
          <w:iCs/>
        </w:rPr>
        <w:t xml:space="preserve"> </w:t>
      </w:r>
      <w:r w:rsidRPr="001F52A8">
        <w:rPr>
          <w:rFonts w:cstheme="minorHAnsi"/>
        </w:rPr>
        <w:t xml:space="preserve">12:18). Or </w:t>
      </w:r>
      <w:r w:rsidR="00E2234C">
        <w:rPr>
          <w:rFonts w:cstheme="minorHAnsi"/>
        </w:rPr>
        <w:t>a</w:t>
      </w:r>
      <w:r w:rsidRPr="001F52A8">
        <w:rPr>
          <w:rFonts w:cstheme="minorHAnsi"/>
        </w:rPr>
        <w:t xml:space="preserve">re they afraid of Yahweh and of Samuel? They </w:t>
      </w:r>
      <w:r w:rsidR="00B6212A">
        <w:rPr>
          <w:rFonts w:cstheme="minorHAnsi"/>
        </w:rPr>
        <w:t xml:space="preserve">now </w:t>
      </w:r>
      <w:r w:rsidRPr="001F52A8">
        <w:rPr>
          <w:rFonts w:cstheme="minorHAnsi"/>
        </w:rPr>
        <w:t>describe Yahweh as “your God” not “our God.</w:t>
      </w:r>
      <w:r w:rsidR="00C63629">
        <w:rPr>
          <w:rFonts w:cstheme="minorHAnsi"/>
        </w:rPr>
        <w:t>”</w:t>
      </w:r>
      <w:r w:rsidRPr="001F52A8">
        <w:rPr>
          <w:rStyle w:val="FootnoteReference"/>
          <w:rFonts w:cstheme="minorHAnsi"/>
        </w:rPr>
        <w:footnoteReference w:id="98"/>
      </w:r>
      <w:r w:rsidRPr="001F52A8">
        <w:rPr>
          <w:rFonts w:cstheme="minorHAnsi"/>
        </w:rPr>
        <w:t xml:space="preserve"> Samuel </w:t>
      </w:r>
      <w:r w:rsidR="002D2553">
        <w:rPr>
          <w:rFonts w:cstheme="minorHAnsi"/>
        </w:rPr>
        <w:t>does</w:t>
      </w:r>
      <w:r w:rsidRPr="001F52A8">
        <w:rPr>
          <w:rFonts w:cstheme="minorHAnsi"/>
        </w:rPr>
        <w:t xml:space="preserve"> tell them not to be afraid (12:20). They are the gentlest words of his tough ministry.</w:t>
      </w:r>
      <w:r w:rsidR="00FD33E0">
        <w:rPr>
          <w:rFonts w:cstheme="minorHAnsi"/>
        </w:rPr>
        <w:t xml:space="preserve"> </w:t>
      </w:r>
      <w:r w:rsidR="00A0629C" w:rsidRPr="001F52A8">
        <w:rPr>
          <w:rFonts w:cstheme="minorHAnsi"/>
        </w:rPr>
        <w:t xml:space="preserve">“Yahweh will not </w:t>
      </w:r>
      <w:r w:rsidR="00315F61" w:rsidRPr="001F52A8">
        <w:rPr>
          <w:rFonts w:cstheme="minorHAnsi"/>
        </w:rPr>
        <w:t>give up on his people</w:t>
      </w:r>
      <w:r w:rsidR="006038D7" w:rsidRPr="001F52A8">
        <w:rPr>
          <w:rFonts w:cstheme="minorHAnsi"/>
        </w:rPr>
        <w:t>, on acco</w:t>
      </w:r>
      <w:r w:rsidR="00FE6A61" w:rsidRPr="001F52A8">
        <w:rPr>
          <w:rFonts w:cstheme="minorHAnsi"/>
        </w:rPr>
        <w:t>u</w:t>
      </w:r>
      <w:r w:rsidR="006038D7" w:rsidRPr="001F52A8">
        <w:rPr>
          <w:rFonts w:cstheme="minorHAnsi"/>
        </w:rPr>
        <w:t>nt of his great name</w:t>
      </w:r>
      <w:r w:rsidR="005D103A" w:rsidRPr="001F52A8">
        <w:rPr>
          <w:rFonts w:cstheme="minorHAnsi"/>
        </w:rPr>
        <w:t>,</w:t>
      </w:r>
      <w:r w:rsidR="005E754E" w:rsidRPr="001F52A8">
        <w:rPr>
          <w:rFonts w:cstheme="minorHAnsi"/>
        </w:rPr>
        <w:t xml:space="preserve"> because Yahweh</w:t>
      </w:r>
      <w:r w:rsidR="00A46627" w:rsidRPr="001F52A8">
        <w:rPr>
          <w:rFonts w:cstheme="minorHAnsi"/>
        </w:rPr>
        <w:t xml:space="preserve"> determined to make you a people for himself</w:t>
      </w:r>
      <w:r w:rsidR="00202BE6" w:rsidRPr="001F52A8">
        <w:rPr>
          <w:rFonts w:cstheme="minorHAnsi"/>
        </w:rPr>
        <w:t xml:space="preserve">” </w:t>
      </w:r>
      <w:r w:rsidR="00202BE6" w:rsidRPr="001F52A8">
        <w:rPr>
          <w:rFonts w:cstheme="minorHAnsi"/>
        </w:rPr>
        <w:lastRenderedPageBreak/>
        <w:t xml:space="preserve">(12:22). He has to be faithful to himself and </w:t>
      </w:r>
      <w:r w:rsidR="006C2348" w:rsidRPr="001F52A8">
        <w:rPr>
          <w:rFonts w:cstheme="minorHAnsi"/>
        </w:rPr>
        <w:t>stick by decisions he has taken</w:t>
      </w:r>
      <w:r w:rsidR="00DC65BC" w:rsidRPr="001F52A8">
        <w:rPr>
          <w:rFonts w:cstheme="minorHAnsi"/>
        </w:rPr>
        <w:t xml:space="preserve"> and commitment</w:t>
      </w:r>
      <w:r w:rsidR="00E36137" w:rsidRPr="001F52A8">
        <w:rPr>
          <w:rFonts w:cstheme="minorHAnsi"/>
        </w:rPr>
        <w:t>s he has made</w:t>
      </w:r>
      <w:r w:rsidR="006C2348" w:rsidRPr="001F52A8">
        <w:rPr>
          <w:rFonts w:cstheme="minorHAnsi"/>
        </w:rPr>
        <w:t>.</w:t>
      </w:r>
      <w:r w:rsidR="00E36137" w:rsidRPr="001F52A8">
        <w:rPr>
          <w:rFonts w:cstheme="minorHAnsi"/>
        </w:rPr>
        <w:t xml:space="preserve"> It is his people’s great security.</w:t>
      </w:r>
      <w:r w:rsidR="00564693" w:rsidRPr="001F52A8">
        <w:rPr>
          <w:rFonts w:cstheme="minorHAnsi"/>
        </w:rPr>
        <w:t xml:space="preserve"> </w:t>
      </w:r>
      <w:r w:rsidR="00885BAD" w:rsidRPr="001F52A8">
        <w:rPr>
          <w:rFonts w:cstheme="minorHAnsi"/>
        </w:rPr>
        <w:t>Yet they should not take too much for granted: if they live in a grossly dire fashion, they will be swept away like Sodom and Gomorrah (</w:t>
      </w:r>
      <w:r w:rsidR="00885BAD" w:rsidRPr="001F52A8">
        <w:rPr>
          <w:rFonts w:cstheme="minorHAnsi"/>
          <w:i/>
          <w:iCs/>
        </w:rPr>
        <w:t xml:space="preserve">sāpâ </w:t>
      </w:r>
      <w:r w:rsidR="00885BAD" w:rsidRPr="001F52A8">
        <w:rPr>
          <w:rFonts w:cstheme="minorHAnsi"/>
        </w:rPr>
        <w:t>niphal, 12:25; cf. Gen 18:23-24; 19:15, 17).</w:t>
      </w:r>
      <w:r w:rsidR="00923AFE" w:rsidRPr="001F52A8">
        <w:rPr>
          <w:rFonts w:cstheme="minorHAnsi"/>
        </w:rPr>
        <w:t xml:space="preserve"> Does this threat contradict the reassurance</w:t>
      </w:r>
      <w:r w:rsidR="003A0010" w:rsidRPr="001F52A8">
        <w:rPr>
          <w:rFonts w:cstheme="minorHAnsi"/>
        </w:rPr>
        <w:t xml:space="preserve"> and set alternative prospects ahead of them</w:t>
      </w:r>
      <w:r w:rsidR="004C7C90">
        <w:rPr>
          <w:rFonts w:cstheme="minorHAnsi"/>
        </w:rPr>
        <w:t xml:space="preserve">, so that </w:t>
      </w:r>
      <w:r w:rsidR="003A0010" w:rsidRPr="001F52A8">
        <w:rPr>
          <w:rFonts w:cstheme="minorHAnsi"/>
        </w:rPr>
        <w:t xml:space="preserve">they choose? </w:t>
      </w:r>
      <w:r w:rsidR="00771639" w:rsidRPr="001F52A8">
        <w:rPr>
          <w:rFonts w:cstheme="minorHAnsi"/>
        </w:rPr>
        <w:t xml:space="preserve">The ambiguity about their position parallels and links with the ambiguity over whether </w:t>
      </w:r>
      <w:r w:rsidR="00464735" w:rsidRPr="001F52A8">
        <w:rPr>
          <w:rFonts w:cstheme="minorHAnsi"/>
        </w:rPr>
        <w:t xml:space="preserve">their own faithfulness issues in </w:t>
      </w:r>
      <w:r w:rsidR="00771639" w:rsidRPr="001F52A8">
        <w:rPr>
          <w:rFonts w:cstheme="minorHAnsi"/>
        </w:rPr>
        <w:t>blessing</w:t>
      </w:r>
      <w:r w:rsidR="00464735" w:rsidRPr="001F52A8">
        <w:rPr>
          <w:rFonts w:cstheme="minorHAnsi"/>
        </w:rPr>
        <w:t>.</w:t>
      </w:r>
      <w:r w:rsidR="008260A2">
        <w:rPr>
          <w:rFonts w:cstheme="minorHAnsi"/>
        </w:rPr>
        <w:t xml:space="preserve"> </w:t>
      </w:r>
      <w:r w:rsidR="00FD4080" w:rsidRPr="001F52A8">
        <w:rPr>
          <w:rFonts w:cstheme="minorHAnsi"/>
        </w:rPr>
        <w:t>A</w:t>
      </w:r>
      <w:r w:rsidR="0069058D">
        <w:rPr>
          <w:rFonts w:cstheme="minorHAnsi"/>
        </w:rPr>
        <w:t>nd a</w:t>
      </w:r>
      <w:r w:rsidR="00FD4080" w:rsidRPr="001F52A8">
        <w:rPr>
          <w:rFonts w:cstheme="minorHAnsi"/>
        </w:rPr>
        <w:t xml:space="preserve">t the end of </w:t>
      </w:r>
      <w:r w:rsidR="00D04D62">
        <w:rPr>
          <w:rFonts w:cstheme="minorHAnsi"/>
        </w:rPr>
        <w:t>1 Samuel 12</w:t>
      </w:r>
      <w:r w:rsidR="00FD4080" w:rsidRPr="001F52A8">
        <w:rPr>
          <w:rFonts w:cstheme="minorHAnsi"/>
        </w:rPr>
        <w:t xml:space="preserve"> Samuel returns to </w:t>
      </w:r>
      <w:r w:rsidR="006A453C" w:rsidRPr="001F52A8">
        <w:rPr>
          <w:rFonts w:cstheme="minorHAnsi"/>
        </w:rPr>
        <w:t xml:space="preserve">his grim warning, and </w:t>
      </w:r>
      <w:r w:rsidR="003008A4" w:rsidRPr="001F52A8">
        <w:rPr>
          <w:rFonts w:cstheme="minorHAnsi"/>
        </w:rPr>
        <w:t>“swept away” is his last word.</w:t>
      </w:r>
      <w:r w:rsidR="003008A4" w:rsidRPr="001F52A8">
        <w:rPr>
          <w:rStyle w:val="FootnoteReference"/>
          <w:rFonts w:cstheme="minorHAnsi"/>
        </w:rPr>
        <w:footnoteReference w:id="99"/>
      </w:r>
    </w:p>
    <w:p w14:paraId="36567E2D" w14:textId="25996F67" w:rsidR="00FC70DF" w:rsidRPr="00856605" w:rsidRDefault="005821BA" w:rsidP="00856605">
      <w:pPr>
        <w:rPr>
          <w:rFonts w:cstheme="minorHAnsi"/>
        </w:rPr>
      </w:pPr>
      <w:r>
        <w:rPr>
          <w:rFonts w:cstheme="minorHAnsi"/>
        </w:rPr>
        <w:t>P</w:t>
      </w:r>
      <w:r w:rsidR="00AB6F2A" w:rsidRPr="001F52A8">
        <w:rPr>
          <w:rFonts w:cstheme="minorHAnsi"/>
        </w:rPr>
        <w:t>rophet</w:t>
      </w:r>
      <w:r>
        <w:rPr>
          <w:rFonts w:cstheme="minorHAnsi"/>
        </w:rPr>
        <w:t>s and priests</w:t>
      </w:r>
      <w:r w:rsidR="006D3821" w:rsidRPr="001F52A8">
        <w:rPr>
          <w:rStyle w:val="FootnoteReference"/>
        </w:rPr>
        <w:footnoteReference w:id="100"/>
      </w:r>
      <w:r w:rsidR="00AB6F2A" w:rsidRPr="001F52A8">
        <w:rPr>
          <w:rFonts w:cstheme="minorHAnsi"/>
        </w:rPr>
        <w:t xml:space="preserve"> live life in an identification with two sides in a relationship, speaking for Yahweh to </w:t>
      </w:r>
      <w:r w:rsidR="006D3821">
        <w:rPr>
          <w:rFonts w:cstheme="minorHAnsi"/>
        </w:rPr>
        <w:t>their</w:t>
      </w:r>
      <w:r w:rsidR="00AB6F2A" w:rsidRPr="001F52A8">
        <w:rPr>
          <w:rFonts w:cstheme="minorHAnsi"/>
        </w:rPr>
        <w:t xml:space="preserve"> people and to </w:t>
      </w:r>
      <w:r w:rsidR="006D3821">
        <w:rPr>
          <w:rFonts w:cstheme="minorHAnsi"/>
        </w:rPr>
        <w:t>their</w:t>
      </w:r>
      <w:r w:rsidR="00AB6F2A" w:rsidRPr="001F52A8">
        <w:rPr>
          <w:rFonts w:cstheme="minorHAnsi"/>
        </w:rPr>
        <w:t xml:space="preserve"> people for Yahweh. </w:t>
      </w:r>
      <w:r w:rsidR="00747C34">
        <w:t xml:space="preserve">In </w:t>
      </w:r>
      <w:r w:rsidR="00AB6F2A" w:rsidRPr="001F52A8">
        <w:t>Samuel’s role</w:t>
      </w:r>
      <w:r w:rsidR="00747C34">
        <w:t>,</w:t>
      </w:r>
      <w:r w:rsidR="00AB6F2A" w:rsidRPr="001F52A8">
        <w:t xml:space="preserve"> praying and teaching go together (12:25); neither is complete without the other.</w:t>
      </w:r>
      <w:r w:rsidR="00AB6F2A" w:rsidRPr="001F52A8">
        <w:rPr>
          <w:rStyle w:val="FootnoteReference"/>
          <w:rFonts w:cstheme="minorHAnsi"/>
        </w:rPr>
        <w:footnoteReference w:id="101"/>
      </w:r>
      <w:r w:rsidR="00AB6F2A" w:rsidRPr="001F52A8">
        <w:t xml:space="preserve"> </w:t>
      </w:r>
      <w:r w:rsidR="00856605">
        <w:rPr>
          <w:rFonts w:cstheme="minorHAnsi"/>
        </w:rPr>
        <w:t>I</w:t>
      </w:r>
      <w:r w:rsidR="00B47308" w:rsidRPr="001F52A8">
        <w:rPr>
          <w:rFonts w:cstheme="minorHAnsi"/>
        </w:rPr>
        <w:t xml:space="preserve">t </w:t>
      </w:r>
      <w:r w:rsidR="00856605">
        <w:rPr>
          <w:rFonts w:cstheme="minorHAnsi"/>
        </w:rPr>
        <w:t xml:space="preserve">thus </w:t>
      </w:r>
      <w:r w:rsidR="00827226" w:rsidRPr="001F52A8">
        <w:rPr>
          <w:rFonts w:cstheme="minorHAnsi"/>
        </w:rPr>
        <w:t xml:space="preserve">fortunately </w:t>
      </w:r>
      <w:r w:rsidR="00B47308" w:rsidRPr="001F52A8">
        <w:rPr>
          <w:rFonts w:cstheme="minorHAnsi"/>
        </w:rPr>
        <w:t xml:space="preserve">continues to be </w:t>
      </w:r>
      <w:r w:rsidR="00856605">
        <w:rPr>
          <w:rFonts w:cstheme="minorHAnsi"/>
        </w:rPr>
        <w:t>hi</w:t>
      </w:r>
      <w:r w:rsidR="00B47308" w:rsidRPr="001F52A8">
        <w:rPr>
          <w:rFonts w:cstheme="minorHAnsi"/>
        </w:rPr>
        <w:t>s job to intercede for his people</w:t>
      </w:r>
      <w:r w:rsidR="00905EA4" w:rsidRPr="001F52A8">
        <w:rPr>
          <w:rFonts w:cstheme="minorHAnsi"/>
        </w:rPr>
        <w:t xml:space="preserve">; </w:t>
      </w:r>
      <w:r w:rsidR="00FE22E2" w:rsidRPr="001F52A8">
        <w:rPr>
          <w:rFonts w:cstheme="minorHAnsi"/>
        </w:rPr>
        <w:t xml:space="preserve">if he stops, </w:t>
      </w:r>
      <w:r w:rsidR="008A5C42" w:rsidRPr="001F52A8">
        <w:rPr>
          <w:rFonts w:cstheme="minorHAnsi"/>
        </w:rPr>
        <w:t xml:space="preserve">he would be </w:t>
      </w:r>
      <w:r w:rsidR="00F720B1" w:rsidRPr="001F52A8">
        <w:rPr>
          <w:rFonts w:cstheme="minorHAnsi"/>
        </w:rPr>
        <w:t>doing wrong against</w:t>
      </w:r>
      <w:r w:rsidR="008A5C42" w:rsidRPr="001F52A8">
        <w:rPr>
          <w:rFonts w:cstheme="minorHAnsi"/>
        </w:rPr>
        <w:t xml:space="preserve"> Yahweh</w:t>
      </w:r>
      <w:r w:rsidR="00FE22E2" w:rsidRPr="001F52A8">
        <w:rPr>
          <w:rFonts w:cstheme="minorHAnsi"/>
        </w:rPr>
        <w:t xml:space="preserve"> (</w:t>
      </w:r>
      <w:r w:rsidR="00FE22E2" w:rsidRPr="001F52A8">
        <w:rPr>
          <w:rFonts w:cstheme="minorHAnsi"/>
          <w:i/>
          <w:iCs/>
        </w:rPr>
        <w:t>ḥāṭ</w:t>
      </w:r>
      <w:r w:rsidR="00D17366" w:rsidRPr="001F52A8">
        <w:rPr>
          <w:rFonts w:cstheme="minorHAnsi"/>
          <w:i/>
          <w:iCs/>
        </w:rPr>
        <w:t>ā’</w:t>
      </w:r>
      <w:r w:rsidR="007B7F42">
        <w:rPr>
          <w:rFonts w:cstheme="minorHAnsi"/>
        </w:rPr>
        <w:t xml:space="preserve">; </w:t>
      </w:r>
      <w:r w:rsidR="007B7F42" w:rsidRPr="001F52A8">
        <w:rPr>
          <w:rFonts w:cstheme="minorHAnsi"/>
        </w:rPr>
        <w:t>12:19-23</w:t>
      </w:r>
      <w:r w:rsidR="00D17366" w:rsidRPr="001F52A8">
        <w:rPr>
          <w:rFonts w:cstheme="minorHAnsi"/>
        </w:rPr>
        <w:t>).</w:t>
      </w:r>
      <w:r w:rsidR="00A30BC8" w:rsidRPr="001F52A8">
        <w:rPr>
          <w:rFonts w:cstheme="minorHAnsi"/>
        </w:rPr>
        <w:t xml:space="preserve"> </w:t>
      </w:r>
      <w:r w:rsidR="00444E6F" w:rsidRPr="001F52A8">
        <w:rPr>
          <w:rFonts w:cstheme="minorHAnsi"/>
        </w:rPr>
        <w:t xml:space="preserve">Yahweh is committed to staying faithful to Israel notwithstanding its faithlessness, and Samuel’s pleading is the </w:t>
      </w:r>
      <w:r w:rsidR="00ED0298" w:rsidRPr="001F52A8">
        <w:rPr>
          <w:rFonts w:cstheme="minorHAnsi"/>
        </w:rPr>
        <w:t xml:space="preserve">practice that holds </w:t>
      </w:r>
      <w:r w:rsidR="00DF0A12">
        <w:rPr>
          <w:rFonts w:cstheme="minorHAnsi"/>
        </w:rPr>
        <w:t>Yahweh</w:t>
      </w:r>
      <w:r w:rsidR="00ED0298" w:rsidRPr="001F52A8">
        <w:rPr>
          <w:rFonts w:cstheme="minorHAnsi"/>
        </w:rPr>
        <w:t xml:space="preserve"> to his intention rather than (e.g.) giving in to a justified </w:t>
      </w:r>
      <w:r w:rsidR="00D63C0F" w:rsidRPr="001F52A8">
        <w:rPr>
          <w:rFonts w:cstheme="minorHAnsi"/>
        </w:rPr>
        <w:t xml:space="preserve">inclination to abandon Israel. </w:t>
      </w:r>
      <w:r w:rsidR="00A75390" w:rsidRPr="001F52A8">
        <w:rPr>
          <w:rFonts w:cstheme="minorHAnsi"/>
        </w:rPr>
        <w:t>I</w:t>
      </w:r>
      <w:r w:rsidR="00C169F3" w:rsidRPr="001F52A8">
        <w:rPr>
          <w:rFonts w:cstheme="minorHAnsi"/>
        </w:rPr>
        <w:t xml:space="preserve">t would be foolish of them to tempt </w:t>
      </w:r>
      <w:r w:rsidR="00856605">
        <w:rPr>
          <w:rFonts w:cstheme="minorHAnsi"/>
        </w:rPr>
        <w:t>Yahweh</w:t>
      </w:r>
      <w:r w:rsidR="00C169F3" w:rsidRPr="001F52A8">
        <w:rPr>
          <w:rFonts w:cstheme="minorHAnsi"/>
        </w:rPr>
        <w:t xml:space="preserve"> in that direction</w:t>
      </w:r>
      <w:r w:rsidR="00284652" w:rsidRPr="001F52A8">
        <w:rPr>
          <w:rFonts w:cstheme="minorHAnsi"/>
        </w:rPr>
        <w:t xml:space="preserve">. He is, after all, the one who undertook all those acts of faithfulness </w:t>
      </w:r>
      <w:r w:rsidR="00D007CD" w:rsidRPr="001F52A8">
        <w:rPr>
          <w:rFonts w:cstheme="minorHAnsi"/>
        </w:rPr>
        <w:t xml:space="preserve">and rescue </w:t>
      </w:r>
      <w:r w:rsidR="00284652" w:rsidRPr="001F52A8">
        <w:rPr>
          <w:rFonts w:cstheme="minorHAnsi"/>
        </w:rPr>
        <w:t>(12:</w:t>
      </w:r>
      <w:r w:rsidR="00EF4BF2" w:rsidRPr="001F52A8">
        <w:rPr>
          <w:rFonts w:cstheme="minorHAnsi"/>
        </w:rPr>
        <w:t>6-11), whereas the gods to wh</w:t>
      </w:r>
      <w:r w:rsidR="00331272" w:rsidRPr="001F52A8">
        <w:rPr>
          <w:rFonts w:cstheme="minorHAnsi"/>
        </w:rPr>
        <w:t>o</w:t>
      </w:r>
      <w:r w:rsidR="00EF4BF2" w:rsidRPr="001F52A8">
        <w:rPr>
          <w:rFonts w:cstheme="minorHAnsi"/>
        </w:rPr>
        <w:t>m they might alternatively tu</w:t>
      </w:r>
      <w:r w:rsidR="00331272" w:rsidRPr="001F52A8">
        <w:rPr>
          <w:rFonts w:cstheme="minorHAnsi"/>
        </w:rPr>
        <w:t xml:space="preserve">rn are </w:t>
      </w:r>
      <w:r w:rsidR="00F045E0" w:rsidRPr="001F52A8">
        <w:rPr>
          <w:rFonts w:cstheme="minorHAnsi"/>
        </w:rPr>
        <w:t>empty (</w:t>
      </w:r>
      <w:r w:rsidR="00F045E0" w:rsidRPr="001F52A8">
        <w:rPr>
          <w:rFonts w:cstheme="minorHAnsi"/>
          <w:i/>
          <w:iCs/>
        </w:rPr>
        <w:t>tô</w:t>
      </w:r>
      <w:r w:rsidR="0061722F" w:rsidRPr="001F52A8">
        <w:rPr>
          <w:rFonts w:cstheme="minorHAnsi"/>
          <w:i/>
          <w:iCs/>
        </w:rPr>
        <w:t>h</w:t>
      </w:r>
      <w:r w:rsidR="00F045E0" w:rsidRPr="001F52A8">
        <w:rPr>
          <w:rFonts w:cstheme="minorHAnsi"/>
          <w:i/>
          <w:iCs/>
        </w:rPr>
        <w:t>û</w:t>
      </w:r>
      <w:r w:rsidR="008D11B8" w:rsidRPr="001F52A8">
        <w:rPr>
          <w:rFonts w:cstheme="minorHAnsi"/>
        </w:rPr>
        <w:t>)</w:t>
      </w:r>
      <w:r w:rsidR="0070458D">
        <w:rPr>
          <w:rFonts w:cstheme="minorHAnsi"/>
        </w:rPr>
        <w:t>. They</w:t>
      </w:r>
      <w:r w:rsidR="008D11B8" w:rsidRPr="001F52A8">
        <w:rPr>
          <w:rFonts w:cstheme="minorHAnsi"/>
        </w:rPr>
        <w:t xml:space="preserve"> </w:t>
      </w:r>
      <w:r w:rsidR="00951002" w:rsidRPr="001F52A8">
        <w:rPr>
          <w:rFonts w:cstheme="minorHAnsi"/>
        </w:rPr>
        <w:t>cannot do anything useful</w:t>
      </w:r>
      <w:r w:rsidR="008571D9">
        <w:rPr>
          <w:rFonts w:cstheme="minorHAnsi"/>
        </w:rPr>
        <w:t xml:space="preserve"> and</w:t>
      </w:r>
      <w:r w:rsidR="0070458D">
        <w:rPr>
          <w:rFonts w:cstheme="minorHAnsi"/>
        </w:rPr>
        <w:t xml:space="preserve"> </w:t>
      </w:r>
      <w:r w:rsidR="008D11B8" w:rsidRPr="001F52A8">
        <w:rPr>
          <w:rFonts w:cstheme="minorHAnsi"/>
        </w:rPr>
        <w:t xml:space="preserve">cannot </w:t>
      </w:r>
      <w:r w:rsidR="00951002" w:rsidRPr="001F52A8">
        <w:rPr>
          <w:rFonts w:cstheme="minorHAnsi"/>
        </w:rPr>
        <w:t>rescue</w:t>
      </w:r>
      <w:r w:rsidR="002B64AC" w:rsidRPr="001F52A8">
        <w:rPr>
          <w:rFonts w:cstheme="minorHAnsi"/>
        </w:rPr>
        <w:t xml:space="preserve"> (12:21).</w:t>
      </w:r>
      <w:r w:rsidR="00776234">
        <w:rPr>
          <w:rFonts w:cstheme="minorHAnsi"/>
        </w:rPr>
        <w:t xml:space="preserve"> </w:t>
      </w:r>
      <w:r w:rsidR="008571D9">
        <w:rPr>
          <w:rFonts w:cstheme="minorHAnsi"/>
        </w:rPr>
        <w:t>The applies to</w:t>
      </w:r>
      <w:r w:rsidR="00776234">
        <w:rPr>
          <w:rFonts w:cstheme="minorHAnsi"/>
        </w:rPr>
        <w:t xml:space="preserve"> their kings.</w:t>
      </w:r>
      <w:r w:rsidR="00776234">
        <w:rPr>
          <w:rStyle w:val="FootnoteReference"/>
          <w:rFonts w:cstheme="minorHAnsi"/>
        </w:rPr>
        <w:footnoteReference w:id="102"/>
      </w:r>
    </w:p>
    <w:p w14:paraId="518A1E82" w14:textId="570EE98F" w:rsidR="00186631" w:rsidRPr="001F52A8" w:rsidRDefault="00FC70DF" w:rsidP="00186631">
      <w:r>
        <w:rPr>
          <w:rFonts w:cstheme="minorHAnsi"/>
        </w:rPr>
        <w:t>M</w:t>
      </w:r>
      <w:r w:rsidR="002A7CEE" w:rsidRPr="001F52A8">
        <w:rPr>
          <w:rFonts w:cstheme="minorHAnsi"/>
        </w:rPr>
        <w:t>uch</w:t>
      </w:r>
      <w:r w:rsidR="00D45168" w:rsidRPr="001F52A8">
        <w:rPr>
          <w:rFonts w:cstheme="minorHAnsi"/>
        </w:rPr>
        <w:t xml:space="preserve"> of </w:t>
      </w:r>
      <w:r w:rsidR="00112375" w:rsidRPr="001F52A8">
        <w:rPr>
          <w:rFonts w:cstheme="minorHAnsi"/>
        </w:rPr>
        <w:t>th</w:t>
      </w:r>
      <w:r>
        <w:rPr>
          <w:rFonts w:cstheme="minorHAnsi"/>
        </w:rPr>
        <w:t>e</w:t>
      </w:r>
      <w:r w:rsidR="00112375" w:rsidRPr="001F52A8">
        <w:rPr>
          <w:rFonts w:cstheme="minorHAnsi"/>
        </w:rPr>
        <w:t xml:space="preserve"> “sermon”</w:t>
      </w:r>
      <w:r w:rsidR="00C16F89" w:rsidRPr="001F52A8">
        <w:rPr>
          <w:rStyle w:val="FootnoteReference"/>
          <w:rFonts w:cstheme="minorHAnsi"/>
        </w:rPr>
        <w:footnoteReference w:id="103"/>
      </w:r>
      <w:r w:rsidR="00112375" w:rsidRPr="001F52A8">
        <w:rPr>
          <w:rFonts w:cstheme="minorHAnsi"/>
        </w:rPr>
        <w:t xml:space="preserve"> in 1 Sam</w:t>
      </w:r>
      <w:r>
        <w:rPr>
          <w:rFonts w:cstheme="minorHAnsi"/>
        </w:rPr>
        <w:t>uel</w:t>
      </w:r>
      <w:r w:rsidR="00112375" w:rsidRPr="001F52A8">
        <w:rPr>
          <w:rFonts w:cstheme="minorHAnsi"/>
        </w:rPr>
        <w:t xml:space="preserve"> 12 would speak to people </w:t>
      </w:r>
      <w:r w:rsidR="003A720A">
        <w:rPr>
          <w:rFonts w:cstheme="minorHAnsi"/>
        </w:rPr>
        <w:t xml:space="preserve">during the divided monarchy and </w:t>
      </w:r>
      <w:r w:rsidR="00112375" w:rsidRPr="001F52A8">
        <w:rPr>
          <w:rFonts w:cstheme="minorHAnsi"/>
        </w:rPr>
        <w:t xml:space="preserve">after 587 </w:t>
      </w:r>
      <w:r w:rsidR="00CD7809" w:rsidRPr="001F52A8">
        <w:rPr>
          <w:rFonts w:cstheme="minorHAnsi"/>
        </w:rPr>
        <w:t xml:space="preserve">in reminding them of Yahweh’s acts of faithfulness and their </w:t>
      </w:r>
      <w:r w:rsidR="002A7CEE" w:rsidRPr="001F52A8">
        <w:rPr>
          <w:rFonts w:cstheme="minorHAnsi"/>
        </w:rPr>
        <w:t>rebellio</w:t>
      </w:r>
      <w:r w:rsidR="00D37491">
        <w:rPr>
          <w:rFonts w:cstheme="minorHAnsi"/>
        </w:rPr>
        <w:t>ns</w:t>
      </w:r>
      <w:r w:rsidR="00A8242D" w:rsidRPr="001F52A8">
        <w:rPr>
          <w:rFonts w:cstheme="minorHAnsi"/>
        </w:rPr>
        <w:t xml:space="preserve">, urging them to start </w:t>
      </w:r>
      <w:r w:rsidR="00C16F89" w:rsidRPr="001F52A8">
        <w:rPr>
          <w:rFonts w:cstheme="minorHAnsi"/>
        </w:rPr>
        <w:t>following Yahweh’s way, and promising them that he would not let go of them.</w:t>
      </w:r>
      <w:r w:rsidR="002A71BB" w:rsidRPr="001F52A8">
        <w:rPr>
          <w:rFonts w:cstheme="minorHAnsi"/>
        </w:rPr>
        <w:t xml:space="preserve"> </w:t>
      </w:r>
      <w:r w:rsidR="006F3FCC" w:rsidRPr="001F52A8">
        <w:rPr>
          <w:rFonts w:cstheme="minorHAnsi"/>
        </w:rPr>
        <w:t>Samuel does no</w:t>
      </w:r>
      <w:r w:rsidR="00EC1736" w:rsidRPr="001F52A8">
        <w:rPr>
          <w:rFonts w:cstheme="minorHAnsi"/>
        </w:rPr>
        <w:t>t</w:t>
      </w:r>
      <w:r w:rsidR="006F3FCC" w:rsidRPr="001F52A8">
        <w:rPr>
          <w:rFonts w:cstheme="minorHAnsi"/>
        </w:rPr>
        <w:t xml:space="preserve"> describe the</w:t>
      </w:r>
      <w:r w:rsidR="00410510" w:rsidRPr="001F52A8">
        <w:rPr>
          <w:rFonts w:cstheme="minorHAnsi"/>
        </w:rPr>
        <w:t xml:space="preserve"> relationship between Yahweh and Israel as covenantal</w:t>
      </w:r>
      <w:r w:rsidR="00A361AE" w:rsidRPr="001F52A8">
        <w:rPr>
          <w:rFonts w:cstheme="minorHAnsi"/>
        </w:rPr>
        <w:t xml:space="preserve"> except in referring to the covenant chest</w:t>
      </w:r>
      <w:r w:rsidR="006F3FCC" w:rsidRPr="001F52A8">
        <w:rPr>
          <w:rFonts w:cstheme="minorHAnsi"/>
        </w:rPr>
        <w:t xml:space="preserve">, </w:t>
      </w:r>
      <w:r w:rsidR="001C4F51" w:rsidRPr="001F52A8">
        <w:rPr>
          <w:rFonts w:cstheme="minorHAnsi"/>
        </w:rPr>
        <w:t xml:space="preserve">and the word </w:t>
      </w:r>
      <w:r w:rsidR="001C4F51" w:rsidRPr="001F52A8">
        <w:rPr>
          <w:rFonts w:cstheme="minorHAnsi"/>
          <w:i/>
          <w:iCs/>
        </w:rPr>
        <w:t>cove</w:t>
      </w:r>
      <w:r w:rsidR="00983AF2" w:rsidRPr="001F52A8">
        <w:rPr>
          <w:rFonts w:cstheme="minorHAnsi"/>
          <w:i/>
          <w:iCs/>
        </w:rPr>
        <w:t>nant</w:t>
      </w:r>
      <w:r w:rsidR="00ED4F7B">
        <w:rPr>
          <w:rFonts w:cstheme="minorHAnsi"/>
          <w:i/>
          <w:iCs/>
        </w:rPr>
        <w:t xml:space="preserve"> </w:t>
      </w:r>
      <w:r w:rsidR="00983AF2" w:rsidRPr="001F52A8">
        <w:rPr>
          <w:rFonts w:cstheme="minorHAnsi"/>
        </w:rPr>
        <w:t xml:space="preserve">can have many meanings. </w:t>
      </w:r>
      <w:r w:rsidR="0094112C" w:rsidRPr="001F52A8">
        <w:rPr>
          <w:rFonts w:cstheme="minorHAnsi"/>
        </w:rPr>
        <w:t>I</w:t>
      </w:r>
      <w:r w:rsidR="00426DCC" w:rsidRPr="001F52A8">
        <w:rPr>
          <w:rFonts w:cstheme="minorHAnsi"/>
        </w:rPr>
        <w:t xml:space="preserve">f </w:t>
      </w:r>
      <w:r w:rsidR="001967A6" w:rsidRPr="001F52A8">
        <w:rPr>
          <w:rFonts w:cstheme="minorHAnsi"/>
        </w:rPr>
        <w:t xml:space="preserve">we mean by </w:t>
      </w:r>
      <w:r w:rsidR="00426DCC" w:rsidRPr="001F52A8">
        <w:rPr>
          <w:rFonts w:cstheme="minorHAnsi"/>
        </w:rPr>
        <w:t xml:space="preserve">a covenant a </w:t>
      </w:r>
      <w:r w:rsidR="001967A6" w:rsidRPr="001F52A8">
        <w:rPr>
          <w:rFonts w:cstheme="minorHAnsi"/>
        </w:rPr>
        <w:t xml:space="preserve">solemnly-undertaken </w:t>
      </w:r>
      <w:r w:rsidR="008572AA" w:rsidRPr="001F52A8">
        <w:rPr>
          <w:rFonts w:cstheme="minorHAnsi"/>
        </w:rPr>
        <w:t xml:space="preserve">committed </w:t>
      </w:r>
      <w:r w:rsidR="00426DCC" w:rsidRPr="001F52A8">
        <w:rPr>
          <w:rFonts w:cstheme="minorHAnsi"/>
        </w:rPr>
        <w:t>reciprocal relationship</w:t>
      </w:r>
      <w:r w:rsidR="0094112C" w:rsidRPr="001F52A8">
        <w:rPr>
          <w:rFonts w:cstheme="minorHAnsi"/>
        </w:rPr>
        <w:t>, then the relationship between Yahweh and Israel is covenantal</w:t>
      </w:r>
      <w:r w:rsidR="0061029C" w:rsidRPr="001F52A8">
        <w:rPr>
          <w:rFonts w:cstheme="minorHAnsi"/>
        </w:rPr>
        <w:t>, and Israel needs to be committed to i</w:t>
      </w:r>
      <w:r w:rsidR="00AC6391">
        <w:rPr>
          <w:rFonts w:cstheme="minorHAnsi"/>
        </w:rPr>
        <w:t>t</w:t>
      </w:r>
      <w:r w:rsidR="00C859CA" w:rsidRPr="001F52A8">
        <w:rPr>
          <w:rFonts w:cstheme="minorHAnsi"/>
        </w:rPr>
        <w:t>, as Yahweh i</w:t>
      </w:r>
      <w:r w:rsidR="005B78AD">
        <w:rPr>
          <w:rFonts w:cstheme="minorHAnsi"/>
        </w:rPr>
        <w:t>t</w:t>
      </w:r>
      <w:r w:rsidR="0094112C" w:rsidRPr="001F52A8">
        <w:rPr>
          <w:rFonts w:cstheme="minorHAnsi"/>
        </w:rPr>
        <w:t xml:space="preserve">. </w:t>
      </w:r>
      <w:r w:rsidR="00656013" w:rsidRPr="001F52A8">
        <w:rPr>
          <w:rFonts w:cstheme="minorHAnsi"/>
        </w:rPr>
        <w:t xml:space="preserve">But </w:t>
      </w:r>
      <w:r w:rsidR="00A30EF7" w:rsidRPr="001F52A8">
        <w:rPr>
          <w:rFonts w:cstheme="minorHAnsi"/>
        </w:rPr>
        <w:t>covenants can by terminated by one party or the other</w:t>
      </w:r>
      <w:r w:rsidR="002B350D" w:rsidRPr="001F52A8">
        <w:rPr>
          <w:rFonts w:cstheme="minorHAnsi"/>
        </w:rPr>
        <w:t xml:space="preserve">. The relationship between Yahweh and Israel is better than covenantal. </w:t>
      </w:r>
      <w:r w:rsidR="000976CC" w:rsidRPr="001F52A8">
        <w:rPr>
          <w:rFonts w:cstheme="minorHAnsi"/>
        </w:rPr>
        <w:t xml:space="preserve">It’s more like a family relationship. </w:t>
      </w:r>
      <w:r w:rsidR="00C859CA" w:rsidRPr="001F52A8">
        <w:rPr>
          <w:rFonts w:cstheme="minorHAnsi"/>
        </w:rPr>
        <w:t xml:space="preserve">Yahweh will not make use </w:t>
      </w:r>
      <w:r w:rsidR="00010B1E" w:rsidRPr="001F52A8">
        <w:rPr>
          <w:rFonts w:cstheme="minorHAnsi"/>
        </w:rPr>
        <w:t>of any basis for terminating it.</w:t>
      </w:r>
      <w:r w:rsidR="005B7A16" w:rsidRPr="001F52A8">
        <w:rPr>
          <w:rFonts w:cstheme="minorHAnsi"/>
        </w:rPr>
        <w:t xml:space="preserve"> It’s more or less impossible to stop being the parent of your children.</w:t>
      </w:r>
    </w:p>
    <w:p w14:paraId="26FA7082" w14:textId="61F8832A" w:rsidR="00812419" w:rsidRPr="001F52A8" w:rsidRDefault="00B00E56" w:rsidP="000B0A0F">
      <w:pPr>
        <w:pStyle w:val="Heading2"/>
      </w:pPr>
      <w:r w:rsidRPr="001F52A8">
        <w:t xml:space="preserve">Why and Why Not </w:t>
      </w:r>
      <w:r w:rsidR="0006603C" w:rsidRPr="001F52A8">
        <w:t>Have a King</w:t>
      </w:r>
    </w:p>
    <w:p w14:paraId="32A90AD7" w14:textId="43DC90C9" w:rsidR="005A7555" w:rsidRDefault="00952C86" w:rsidP="00607372">
      <w:r w:rsidRPr="001F52A8">
        <w:rPr>
          <w:rFonts w:cstheme="minorHAnsi"/>
        </w:rPr>
        <w:t>Th</w:t>
      </w:r>
      <w:r w:rsidRPr="001F52A8">
        <w:t xml:space="preserve">e </w:t>
      </w:r>
      <w:r w:rsidR="006A6310" w:rsidRPr="001F52A8">
        <w:t xml:space="preserve">account of why and how Saul becomes king and then </w:t>
      </w:r>
      <w:r w:rsidR="00B516B0" w:rsidRPr="001F52A8">
        <w:t>loses his warrant</w:t>
      </w:r>
      <w:r w:rsidR="00B309F2" w:rsidRPr="001F52A8">
        <w:t xml:space="preserve"> as king</w:t>
      </w:r>
      <w:r w:rsidR="00EF4ED4" w:rsidRPr="001F52A8">
        <w:t xml:space="preserve"> is </w:t>
      </w:r>
      <w:r w:rsidR="008070EE" w:rsidRPr="001F52A8">
        <w:t xml:space="preserve">substantial, complex, mysterious, </w:t>
      </w:r>
      <w:r w:rsidR="00F3153C" w:rsidRPr="001F52A8">
        <w:t xml:space="preserve">and </w:t>
      </w:r>
      <w:r w:rsidR="008070EE" w:rsidRPr="001F52A8">
        <w:t>j</w:t>
      </w:r>
      <w:r w:rsidR="005214F0" w:rsidRPr="001F52A8">
        <w:t>erk</w:t>
      </w:r>
      <w:r w:rsidR="008070EE" w:rsidRPr="001F52A8">
        <w:t>y</w:t>
      </w:r>
      <w:r w:rsidR="002A167E" w:rsidRPr="001F52A8">
        <w:t>.</w:t>
      </w:r>
      <w:r w:rsidR="00C152E5" w:rsidRPr="001F52A8">
        <w:t xml:space="preserve"> </w:t>
      </w:r>
      <w:r w:rsidR="00A54B46" w:rsidRPr="001F52A8">
        <w:t xml:space="preserve">It is substantial because </w:t>
      </w:r>
      <w:r w:rsidR="000004F6" w:rsidRPr="001F52A8">
        <w:t>his reign is a turning point in Israel’s story</w:t>
      </w:r>
      <w:r w:rsidR="000751BF" w:rsidRPr="001F52A8">
        <w:t xml:space="preserve"> and it can illustrate key issues</w:t>
      </w:r>
      <w:r w:rsidR="0002330D" w:rsidRPr="001F52A8">
        <w:t xml:space="preserve">. </w:t>
      </w:r>
      <w:r w:rsidRPr="001F52A8">
        <w:t>The j</w:t>
      </w:r>
      <w:r w:rsidR="005214F0" w:rsidRPr="001F52A8">
        <w:t>erki</w:t>
      </w:r>
      <w:r w:rsidR="009923E2" w:rsidRPr="001F52A8">
        <w:t>n</w:t>
      </w:r>
      <w:r w:rsidRPr="001F52A8">
        <w:t xml:space="preserve">ess </w:t>
      </w:r>
      <w:r w:rsidR="009322BE" w:rsidRPr="001F52A8">
        <w:t xml:space="preserve">(e.g., the move from </w:t>
      </w:r>
      <w:r w:rsidR="001C2A49" w:rsidRPr="001F52A8">
        <w:t xml:space="preserve">8:1-22 </w:t>
      </w:r>
      <w:r w:rsidR="00191A95" w:rsidRPr="001F52A8">
        <w:t>to</w:t>
      </w:r>
      <w:r w:rsidR="00ED4F7B">
        <w:t xml:space="preserve"> </w:t>
      </w:r>
      <w:r w:rsidR="001C2A49" w:rsidRPr="001F52A8">
        <w:t>9:1</w:t>
      </w:r>
      <w:r w:rsidR="00191A95" w:rsidRPr="001F52A8">
        <w:t xml:space="preserve"> – 10:16</w:t>
      </w:r>
      <w:r w:rsidR="00E9171E" w:rsidRPr="001F52A8">
        <w:t>)</w:t>
      </w:r>
      <w:r w:rsidRPr="001F52A8">
        <w:t xml:space="preserve"> parallels the way </w:t>
      </w:r>
      <w:r w:rsidR="00E9171E" w:rsidRPr="001F52A8">
        <w:t>one</w:t>
      </w:r>
      <w:r w:rsidRPr="001F52A8">
        <w:t xml:space="preserve"> episode </w:t>
      </w:r>
      <w:r w:rsidR="00BF3C3F">
        <w:t xml:space="preserve">in a television </w:t>
      </w:r>
      <w:r w:rsidR="005C72D0">
        <w:t xml:space="preserve">series </w:t>
      </w:r>
      <w:r w:rsidR="00BF3C3F">
        <w:t xml:space="preserve">may </w:t>
      </w:r>
      <w:r w:rsidRPr="001F52A8">
        <w:t>mak</w:t>
      </w:r>
      <w:r w:rsidR="00BF3C3F">
        <w:t>e</w:t>
      </w:r>
      <w:r w:rsidRPr="001F52A8">
        <w:t xml:space="preserve"> a jump from where the previous </w:t>
      </w:r>
      <w:r w:rsidR="009923E2" w:rsidRPr="001F52A8">
        <w:t xml:space="preserve">episode </w:t>
      </w:r>
      <w:r w:rsidRPr="001F52A8">
        <w:t xml:space="preserve">ended before </w:t>
      </w:r>
      <w:r w:rsidR="008A3C53" w:rsidRPr="001F52A8">
        <w:t xml:space="preserve">possibly </w:t>
      </w:r>
      <w:r w:rsidRPr="001F52A8">
        <w:t>bringing thing</w:t>
      </w:r>
      <w:r w:rsidR="008A3C53" w:rsidRPr="001F52A8">
        <w:t>s</w:t>
      </w:r>
      <w:r w:rsidRPr="001F52A8">
        <w:t xml:space="preserve"> together. </w:t>
      </w:r>
      <w:r w:rsidR="0005324C" w:rsidRPr="001F52A8">
        <w:t xml:space="preserve">The </w:t>
      </w:r>
      <w:r w:rsidR="002D4471" w:rsidRPr="001F52A8">
        <w:t>complexity generates a portrait of Saul</w:t>
      </w:r>
      <w:r w:rsidR="000D7872" w:rsidRPr="001F52A8">
        <w:t xml:space="preserve"> as a compl</w:t>
      </w:r>
      <w:r w:rsidR="002163E3" w:rsidRPr="001F52A8">
        <w:t>icated</w:t>
      </w:r>
      <w:r w:rsidR="000D7872" w:rsidRPr="001F52A8">
        <w:t xml:space="preserve"> and </w:t>
      </w:r>
      <w:r w:rsidR="007F4AD3" w:rsidRPr="001F52A8">
        <w:t xml:space="preserve">enigmatic </w:t>
      </w:r>
      <w:r w:rsidR="000D7872" w:rsidRPr="001F52A8">
        <w:t xml:space="preserve">person who is not amenable to </w:t>
      </w:r>
      <w:r w:rsidR="00823685" w:rsidRPr="001F52A8">
        <w:t xml:space="preserve">confident </w:t>
      </w:r>
      <w:r w:rsidR="00581321" w:rsidRPr="001F52A8">
        <w:t xml:space="preserve">unequivocal </w:t>
      </w:r>
      <w:r w:rsidR="00823685" w:rsidRPr="001F52A8">
        <w:t>description or</w:t>
      </w:r>
      <w:r w:rsidR="000D7872" w:rsidRPr="001F52A8">
        <w:t xml:space="preserve"> judg</w:t>
      </w:r>
      <w:r w:rsidR="00823685" w:rsidRPr="001F52A8">
        <w:t>ment,</w:t>
      </w:r>
      <w:r w:rsidR="000D7872" w:rsidRPr="001F52A8">
        <w:t xml:space="preserve"> like other biblical characters </w:t>
      </w:r>
      <w:r w:rsidR="00823685" w:rsidRPr="001F52A8">
        <w:t xml:space="preserve">such as </w:t>
      </w:r>
      <w:r w:rsidR="00DD6607" w:rsidRPr="001F52A8">
        <w:t>Jacob, Rebekah</w:t>
      </w:r>
      <w:r w:rsidR="00581321" w:rsidRPr="001F52A8">
        <w:t xml:space="preserve">, David, </w:t>
      </w:r>
      <w:r w:rsidR="007571C6" w:rsidRPr="001F52A8">
        <w:t>and Mary.</w:t>
      </w:r>
      <w:r w:rsidR="00AA1F14" w:rsidRPr="001F52A8">
        <w:t xml:space="preserve"> The mystery extends to God’s relationship with </w:t>
      </w:r>
      <w:r w:rsidR="00AA1F14" w:rsidRPr="001F52A8">
        <w:lastRenderedPageBreak/>
        <w:t xml:space="preserve">Saul, as is the case with God’s relationship with </w:t>
      </w:r>
      <w:r w:rsidR="00172398" w:rsidRPr="001F52A8">
        <w:t xml:space="preserve">Moses and </w:t>
      </w:r>
      <w:r w:rsidR="002A333D" w:rsidRPr="001F52A8">
        <w:t>Job</w:t>
      </w:r>
      <w:r w:rsidR="000A3BFF">
        <w:t>; his attitude to kingship in general is “enigmatic</w:t>
      </w:r>
      <w:r w:rsidR="00AC2B2A" w:rsidRPr="001F52A8">
        <w:t>.</w:t>
      </w:r>
      <w:r w:rsidR="00E82BDE">
        <w:t>”</w:t>
      </w:r>
      <w:r w:rsidR="00E82BDE">
        <w:rPr>
          <w:rStyle w:val="FootnoteReference"/>
        </w:rPr>
        <w:footnoteReference w:id="104"/>
      </w:r>
      <w:r w:rsidR="00AC2B2A" w:rsidRPr="001F52A8">
        <w:t xml:space="preserve"> </w:t>
      </w:r>
      <w:r w:rsidR="00B950D3" w:rsidRPr="001F52A8">
        <w:t>The jerkiness and</w:t>
      </w:r>
      <w:r w:rsidRPr="001F52A8">
        <w:t xml:space="preserve"> the different angles on central government </w:t>
      </w:r>
      <w:r w:rsidR="00521F56" w:rsidRPr="001F52A8">
        <w:t xml:space="preserve">also </w:t>
      </w:r>
      <w:r w:rsidR="00576657">
        <w:t xml:space="preserve">reflect </w:t>
      </w:r>
      <w:r w:rsidR="00572A0C">
        <w:t>the narrative’s</w:t>
      </w:r>
      <w:r w:rsidRPr="001F52A8">
        <w:t xml:space="preserve"> combin</w:t>
      </w:r>
      <w:r w:rsidR="005A35DA">
        <w:t>ing</w:t>
      </w:r>
      <w:r w:rsidRPr="001F52A8">
        <w:t xml:space="preserve"> several </w:t>
      </w:r>
      <w:r w:rsidR="003715B3" w:rsidRPr="001F52A8">
        <w:t>versions</w:t>
      </w:r>
      <w:r w:rsidRPr="001F52A8">
        <w:t xml:space="preserve"> of why and how Israel came to have kings, </w:t>
      </w:r>
      <w:r w:rsidR="00521F56" w:rsidRPr="001F52A8">
        <w:t xml:space="preserve">like a movie script that </w:t>
      </w:r>
      <w:r w:rsidR="00C41E57">
        <w:t>merges</w:t>
      </w:r>
      <w:r w:rsidR="00521F56" w:rsidRPr="001F52A8">
        <w:t xml:space="preserve"> several screenwriters</w:t>
      </w:r>
      <w:r w:rsidR="001B6438">
        <w:t>’ work</w:t>
      </w:r>
      <w:r w:rsidR="00784269">
        <w:t xml:space="preserve">. </w:t>
      </w:r>
      <w:r w:rsidR="005B1BDC">
        <w:t>T</w:t>
      </w:r>
      <w:r w:rsidRPr="001F52A8">
        <w:t>he</w:t>
      </w:r>
      <w:r w:rsidR="00AB330F" w:rsidRPr="001F52A8">
        <w:t xml:space="preserve"> several </w:t>
      </w:r>
      <w:r w:rsidR="003715B3" w:rsidRPr="001F52A8">
        <w:t>versions</w:t>
      </w:r>
      <w:r w:rsidR="00A10A87">
        <w:t>, telling</w:t>
      </w:r>
      <w:r w:rsidR="00F65BF3" w:rsidRPr="001F52A8">
        <w:rPr>
          <w:rFonts w:cstheme="minorHAnsi"/>
        </w:rPr>
        <w:t xml:space="preserve"> the story from different angles</w:t>
      </w:r>
      <w:r w:rsidR="005741D5">
        <w:rPr>
          <w:rFonts w:cstheme="minorHAnsi"/>
        </w:rPr>
        <w:t>,</w:t>
      </w:r>
      <w:r w:rsidR="00607372" w:rsidRPr="001F52A8">
        <w:rPr>
          <w:rFonts w:cstheme="minorHAnsi"/>
        </w:rPr>
        <w:t xml:space="preserve"> cannot </w:t>
      </w:r>
      <w:r w:rsidR="005741D5">
        <w:rPr>
          <w:rFonts w:cstheme="minorHAnsi"/>
        </w:rPr>
        <w:t xml:space="preserve">be </w:t>
      </w:r>
      <w:r w:rsidR="00607372" w:rsidRPr="001F52A8">
        <w:rPr>
          <w:rFonts w:cstheme="minorHAnsi"/>
        </w:rPr>
        <w:t>put end to end</w:t>
      </w:r>
      <w:r w:rsidR="005741D5">
        <w:rPr>
          <w:rFonts w:cstheme="minorHAnsi"/>
        </w:rPr>
        <w:t>,</w:t>
      </w:r>
      <w:r w:rsidR="00607372">
        <w:rPr>
          <w:rFonts w:cstheme="minorHAnsi"/>
        </w:rPr>
        <w:t xml:space="preserve"> but </w:t>
      </w:r>
      <w:r w:rsidRPr="001F52A8">
        <w:t>together t</w:t>
      </w:r>
      <w:r w:rsidR="005741D5">
        <w:t>hey</w:t>
      </w:r>
      <w:r w:rsidRPr="001F52A8">
        <w:t xml:space="preserve"> comprise a richly diverse account. </w:t>
      </w:r>
      <w:r w:rsidR="00784269">
        <w:t xml:space="preserve">It </w:t>
      </w:r>
      <w:r w:rsidRPr="001F52A8">
        <w:t>illustrates another aspect of the genius of narrative</w:t>
      </w:r>
      <w:r w:rsidR="00883CCC">
        <w:t>: it can</w:t>
      </w:r>
      <w:r w:rsidRPr="001F52A8">
        <w:t xml:space="preserve"> portray </w:t>
      </w:r>
      <w:r w:rsidR="00D11044" w:rsidRPr="001F52A8">
        <w:t xml:space="preserve">people and issues </w:t>
      </w:r>
      <w:r w:rsidRPr="001F52A8">
        <w:t xml:space="preserve">in the </w:t>
      </w:r>
      <w:r w:rsidR="001D10F8">
        <w:t xml:space="preserve">appropriately </w:t>
      </w:r>
      <w:r w:rsidRPr="001F52A8">
        <w:t>complex way.</w:t>
      </w:r>
      <w:r w:rsidR="00AD5686" w:rsidRPr="001F52A8">
        <w:t xml:space="preserve"> </w:t>
      </w:r>
      <w:r w:rsidR="00AC2F22">
        <w:t>During the divided monarchy and a</w:t>
      </w:r>
      <w:r w:rsidR="00212679" w:rsidRPr="001F52A8">
        <w:t xml:space="preserve">fter 587, it </w:t>
      </w:r>
      <w:r w:rsidR="00B17A77" w:rsidRPr="001F52A8">
        <w:t xml:space="preserve">might aid the Judahite community in thinking about monarchy and </w:t>
      </w:r>
      <w:r w:rsidR="0093426F">
        <w:t xml:space="preserve">about </w:t>
      </w:r>
      <w:r w:rsidR="00B17A77" w:rsidRPr="001F52A8">
        <w:t xml:space="preserve">the future, though it would not tell them the answer. </w:t>
      </w:r>
      <w:r w:rsidR="003E3141" w:rsidRPr="001F52A8">
        <w:t>The further genius of narrative is that it forbids its readers from taking too much for granted</w:t>
      </w:r>
      <w:r w:rsidR="00E14B11" w:rsidRPr="001F52A8">
        <w:t>, from thinking it has come to an end when it had not</w:t>
      </w:r>
      <w:r w:rsidR="00FD0AEB" w:rsidRPr="001F52A8">
        <w:t>.</w:t>
      </w:r>
      <w:r w:rsidR="002533CC" w:rsidRPr="001F52A8">
        <w:t xml:space="preserve"> </w:t>
      </w:r>
    </w:p>
    <w:p w14:paraId="1C7FF63F" w14:textId="6275DEE4" w:rsidR="0036644E" w:rsidRPr="00837AAB" w:rsidRDefault="00FE297A" w:rsidP="00A827D5">
      <w:pPr>
        <w:rPr>
          <w:rFonts w:ascii="Calibri" w:hAnsi="Calibri" w:cs="Calibri"/>
        </w:rPr>
      </w:pPr>
      <w:r>
        <w:t>“</w:t>
      </w:r>
      <w:r w:rsidR="004C68D3">
        <w:t>Samuel isn’t a political book</w:t>
      </w:r>
      <w:r>
        <w:t>” but it is “a book about politics”</w:t>
      </w:r>
      <w:r w:rsidR="007874C9">
        <w:t xml:space="preserve"> that suggests</w:t>
      </w:r>
      <w:r w:rsidR="00AA07E0">
        <w:t xml:space="preserve"> “a </w:t>
      </w:r>
      <w:r w:rsidR="00AA07E0" w:rsidRPr="00AA07E0">
        <w:rPr>
          <w:rFonts w:cstheme="minorHAnsi"/>
        </w:rPr>
        <w:t>revolutionary transformation in biblical political theology</w:t>
      </w:r>
      <w:r w:rsidR="00387356">
        <w:rPr>
          <w:rFonts w:cstheme="minorHAnsi"/>
        </w:rPr>
        <w:t xml:space="preserve">” in denying that </w:t>
      </w:r>
      <w:r w:rsidR="005B28E7">
        <w:rPr>
          <w:rFonts w:cstheme="minorHAnsi"/>
        </w:rPr>
        <w:t>“</w:t>
      </w:r>
      <w:r w:rsidR="00387356">
        <w:rPr>
          <w:rFonts w:cstheme="minorHAnsi"/>
        </w:rPr>
        <w:t>the king is God</w:t>
      </w:r>
      <w:r w:rsidR="00866694">
        <w:rPr>
          <w:rFonts w:cstheme="minorHAnsi"/>
        </w:rPr>
        <w:t>,</w:t>
      </w:r>
      <w:r w:rsidR="004C62A0">
        <w:rPr>
          <w:rFonts w:cstheme="minorHAnsi"/>
        </w:rPr>
        <w:t>” asserting instead that “God is the king</w:t>
      </w:r>
      <w:r w:rsidR="004064B6">
        <w:rPr>
          <w:rFonts w:cstheme="minorHAnsi"/>
        </w:rPr>
        <w:t>,</w:t>
      </w:r>
      <w:r w:rsidR="00866694">
        <w:rPr>
          <w:rFonts w:cstheme="minorHAnsi"/>
        </w:rPr>
        <w:t>”</w:t>
      </w:r>
      <w:r w:rsidR="007F1F33">
        <w:rPr>
          <w:rFonts w:cstheme="minorHAnsi"/>
        </w:rPr>
        <w:t xml:space="preserve"> and seeking to wrestle with what human kingship can therefore mean.</w:t>
      </w:r>
      <w:r w:rsidR="004F0B86">
        <w:rPr>
          <w:rStyle w:val="FootnoteReference"/>
        </w:rPr>
        <w:footnoteReference w:id="105"/>
      </w:r>
      <w:r w:rsidR="00E41978">
        <w:rPr>
          <w:rFonts w:cstheme="minorHAnsi"/>
        </w:rPr>
        <w:t xml:space="preserve"> “The centrality </w:t>
      </w:r>
      <w:r w:rsidR="00E41978" w:rsidRPr="005A7555">
        <w:rPr>
          <w:rFonts w:ascii="Calibri" w:hAnsi="Calibri" w:cs="Calibri"/>
        </w:rPr>
        <w:t>of</w:t>
      </w:r>
      <w:r w:rsidR="005A7555" w:rsidRPr="005A7555">
        <w:rPr>
          <w:rFonts w:ascii="Calibri" w:hAnsi="Calibri" w:cs="Calibri"/>
        </w:rPr>
        <w:t xml:space="preserve"> human power in relation to the divine lies on the surface in Samuel.</w:t>
      </w:r>
      <w:r w:rsidR="005A7555">
        <w:rPr>
          <w:rFonts w:ascii="Calibri" w:hAnsi="Calibri" w:cs="Calibri"/>
        </w:rPr>
        <w:t>”</w:t>
      </w:r>
      <w:r w:rsidR="008435D1" w:rsidRPr="005A7555">
        <w:rPr>
          <w:rStyle w:val="FootnoteReference"/>
          <w:rFonts w:ascii="Calibri" w:hAnsi="Calibri" w:cs="Calibri"/>
        </w:rPr>
        <w:footnoteReference w:id="106"/>
      </w:r>
      <w:r w:rsidR="00837AAB">
        <w:rPr>
          <w:rFonts w:ascii="Calibri" w:hAnsi="Calibri" w:cs="Calibri"/>
        </w:rPr>
        <w:t xml:space="preserve"> </w:t>
      </w:r>
      <w:r w:rsidR="00A827D5">
        <w:rPr>
          <w:rFonts w:ascii="Calibri" w:hAnsi="Calibri" w:cs="Calibri"/>
        </w:rPr>
        <w:t>Thus “h</w:t>
      </w:r>
      <w:r w:rsidR="00A827D5" w:rsidRPr="00A827D5">
        <w:rPr>
          <w:rFonts w:ascii="Calibri" w:hAnsi="Calibri" w:cs="Calibri"/>
        </w:rPr>
        <w:t>ow human kingship could exist within an authority structure that</w:t>
      </w:r>
      <w:r w:rsidR="00A827D5">
        <w:rPr>
          <w:rFonts w:ascii="Calibri" w:hAnsi="Calibri" w:cs="Calibri"/>
        </w:rPr>
        <w:t xml:space="preserve"> </w:t>
      </w:r>
      <w:r w:rsidR="00A827D5" w:rsidRPr="00A827D5">
        <w:rPr>
          <w:rFonts w:ascii="Calibri" w:hAnsi="Calibri" w:cs="Calibri"/>
        </w:rPr>
        <w:t>allowed Yahweh to remain the “Great King” is one of the key questions</w:t>
      </w:r>
      <w:r w:rsidR="00A827D5">
        <w:rPr>
          <w:rFonts w:ascii="Calibri" w:hAnsi="Calibri" w:cs="Calibri"/>
        </w:rPr>
        <w:t xml:space="preserve"> </w:t>
      </w:r>
      <w:r w:rsidR="00A827D5" w:rsidRPr="00A827D5">
        <w:rPr>
          <w:rFonts w:ascii="Calibri" w:hAnsi="Calibri" w:cs="Calibri"/>
        </w:rPr>
        <w:t>addressed by the books of Samuel.</w:t>
      </w:r>
      <w:r w:rsidR="00A827D5">
        <w:rPr>
          <w:rFonts w:ascii="Calibri" w:hAnsi="Calibri" w:cs="Calibri"/>
        </w:rPr>
        <w:t>”</w:t>
      </w:r>
      <w:r w:rsidR="00A827D5">
        <w:rPr>
          <w:rStyle w:val="FootnoteReference"/>
          <w:rFonts w:ascii="Calibri" w:hAnsi="Calibri" w:cs="Calibri"/>
        </w:rPr>
        <w:footnoteReference w:id="107"/>
      </w:r>
      <w:r w:rsidR="00A827D5">
        <w:rPr>
          <w:rFonts w:ascii="Calibri" w:hAnsi="Calibri" w:cs="Calibri"/>
        </w:rPr>
        <w:t xml:space="preserve"> </w:t>
      </w:r>
      <w:r w:rsidR="00837AAB" w:rsidRPr="00A827D5">
        <w:rPr>
          <w:rFonts w:ascii="Calibri" w:hAnsi="Calibri" w:cs="Calibri"/>
        </w:rPr>
        <w:t>Yet</w:t>
      </w:r>
      <w:r w:rsidR="00837AAB">
        <w:rPr>
          <w:rFonts w:ascii="Calibri" w:hAnsi="Calibri" w:cs="Calibri"/>
        </w:rPr>
        <w:t xml:space="preserve"> o</w:t>
      </w:r>
      <w:r w:rsidR="00AF6D02">
        <w:rPr>
          <w:rFonts w:ascii="Calibri" w:hAnsi="Calibri" w:cs="Calibri"/>
        </w:rPr>
        <w:t>nly once</w:t>
      </w:r>
      <w:r w:rsidR="000F0394">
        <w:rPr>
          <w:rFonts w:ascii="Calibri" w:hAnsi="Calibri" w:cs="Calibri"/>
        </w:rPr>
        <w:t xml:space="preserve"> in Samuel</w:t>
      </w:r>
      <w:r w:rsidR="00AF6D02">
        <w:rPr>
          <w:rFonts w:ascii="Calibri" w:hAnsi="Calibri" w:cs="Calibri"/>
        </w:rPr>
        <w:t xml:space="preserve"> is Yahweh </w:t>
      </w:r>
      <w:r w:rsidR="00357F0E">
        <w:rPr>
          <w:rFonts w:ascii="Calibri" w:hAnsi="Calibri" w:cs="Calibri"/>
        </w:rPr>
        <w:t>termed “king</w:t>
      </w:r>
      <w:r w:rsidR="00AB1EFB">
        <w:rPr>
          <w:rFonts w:ascii="Calibri" w:hAnsi="Calibri" w:cs="Calibri"/>
        </w:rPr>
        <w:t>”</w:t>
      </w:r>
      <w:r w:rsidR="00357F0E">
        <w:rPr>
          <w:rFonts w:ascii="Calibri" w:hAnsi="Calibri" w:cs="Calibri"/>
        </w:rPr>
        <w:t xml:space="preserve"> (1 Sam 12:12</w:t>
      </w:r>
      <w:r w:rsidR="00AB1EFB">
        <w:rPr>
          <w:rFonts w:ascii="Calibri" w:hAnsi="Calibri" w:cs="Calibri"/>
        </w:rPr>
        <w:t>)</w:t>
      </w:r>
      <w:r w:rsidR="000F0394">
        <w:rPr>
          <w:rFonts w:ascii="Calibri" w:hAnsi="Calibri" w:cs="Calibri"/>
        </w:rPr>
        <w:t xml:space="preserve">, over against </w:t>
      </w:r>
      <w:r w:rsidR="00AB1EFB">
        <w:rPr>
          <w:rFonts w:ascii="Calibri" w:hAnsi="Calibri" w:cs="Calibri"/>
        </w:rPr>
        <w:t>299 references to human beings as kings.</w:t>
      </w:r>
      <w:r w:rsidR="003365DB">
        <w:rPr>
          <w:rFonts w:ascii="Calibri" w:hAnsi="Calibri" w:cs="Calibri"/>
        </w:rPr>
        <w:t xml:space="preserve"> </w:t>
      </w:r>
      <w:r w:rsidR="0076757A">
        <w:rPr>
          <w:rFonts w:ascii="Calibri" w:hAnsi="Calibri" w:cs="Calibri"/>
        </w:rPr>
        <w:t>It lo</w:t>
      </w:r>
      <w:r w:rsidR="00B11B53">
        <w:rPr>
          <w:rFonts w:ascii="Calibri" w:hAnsi="Calibri" w:cs="Calibri"/>
        </w:rPr>
        <w:t>o</w:t>
      </w:r>
      <w:r w:rsidR="0076757A">
        <w:rPr>
          <w:rFonts w:ascii="Calibri" w:hAnsi="Calibri" w:cs="Calibri"/>
        </w:rPr>
        <w:t>ks as if</w:t>
      </w:r>
      <w:r w:rsidR="003365DB">
        <w:rPr>
          <w:rFonts w:ascii="Calibri" w:hAnsi="Calibri" w:cs="Calibri"/>
        </w:rPr>
        <w:t xml:space="preserve"> Yahweh </w:t>
      </w:r>
      <w:r w:rsidR="00271684">
        <w:rPr>
          <w:rFonts w:ascii="Calibri" w:hAnsi="Calibri" w:cs="Calibri"/>
        </w:rPr>
        <w:t>prefers t</w:t>
      </w:r>
      <w:r w:rsidR="00131F37">
        <w:rPr>
          <w:rFonts w:ascii="Calibri" w:hAnsi="Calibri" w:cs="Calibri"/>
        </w:rPr>
        <w:t xml:space="preserve">o </w:t>
      </w:r>
      <w:r w:rsidR="004563D7">
        <w:rPr>
          <w:rFonts w:ascii="Calibri" w:hAnsi="Calibri" w:cs="Calibri"/>
        </w:rPr>
        <w:t>be seen as</w:t>
      </w:r>
      <w:r w:rsidR="00271684">
        <w:rPr>
          <w:rFonts w:ascii="Calibri" w:hAnsi="Calibri" w:cs="Calibri"/>
        </w:rPr>
        <w:t xml:space="preserve"> “deliverer” </w:t>
      </w:r>
      <w:r w:rsidR="00131F37">
        <w:rPr>
          <w:rFonts w:ascii="Calibri" w:hAnsi="Calibri" w:cs="Calibri"/>
        </w:rPr>
        <w:t xml:space="preserve">than </w:t>
      </w:r>
      <w:r w:rsidR="004563D7">
        <w:rPr>
          <w:rFonts w:ascii="Calibri" w:hAnsi="Calibri" w:cs="Calibri"/>
        </w:rPr>
        <w:t xml:space="preserve">as </w:t>
      </w:r>
      <w:r w:rsidR="00131F37">
        <w:rPr>
          <w:rFonts w:ascii="Calibri" w:hAnsi="Calibri" w:cs="Calibri"/>
        </w:rPr>
        <w:t xml:space="preserve">“king </w:t>
      </w:r>
      <w:r w:rsidR="00271684">
        <w:rPr>
          <w:rFonts w:ascii="Calibri" w:hAnsi="Calibri" w:cs="Calibri"/>
        </w:rPr>
        <w:t>(</w:t>
      </w:r>
      <w:r w:rsidR="00271684" w:rsidRPr="00271684">
        <w:rPr>
          <w:rFonts w:ascii="Calibri" w:hAnsi="Calibri" w:cs="Calibri"/>
          <w:i/>
          <w:iCs/>
        </w:rPr>
        <w:t>môšî</w:t>
      </w:r>
      <w:r w:rsidR="0044302C">
        <w:rPr>
          <w:rFonts w:ascii="Calibri" w:hAnsi="Calibri" w:cs="Calibri"/>
          <w:i/>
          <w:iCs/>
        </w:rPr>
        <w:t>a</w:t>
      </w:r>
      <w:r w:rsidR="00C461DD">
        <w:rPr>
          <w:rFonts w:ascii="Calibri" w:hAnsi="Calibri" w:cs="Calibri"/>
          <w:i/>
          <w:iCs/>
        </w:rPr>
        <w:t>‘</w:t>
      </w:r>
      <w:r w:rsidR="00131F37">
        <w:rPr>
          <w:rFonts w:ascii="Calibri" w:hAnsi="Calibri" w:cs="Calibri"/>
          <w:i/>
          <w:iCs/>
        </w:rPr>
        <w:t xml:space="preserve"> </w:t>
      </w:r>
      <w:r w:rsidR="00131F37">
        <w:rPr>
          <w:rFonts w:ascii="Calibri" w:hAnsi="Calibri" w:cs="Calibri"/>
        </w:rPr>
        <w:t xml:space="preserve">rather than </w:t>
      </w:r>
      <w:r w:rsidR="00131F37">
        <w:rPr>
          <w:rFonts w:ascii="Calibri" w:hAnsi="Calibri" w:cs="Calibri"/>
          <w:i/>
          <w:iCs/>
        </w:rPr>
        <w:t>melek</w:t>
      </w:r>
      <w:r w:rsidR="00131F37">
        <w:rPr>
          <w:rFonts w:ascii="Calibri" w:hAnsi="Calibri" w:cs="Calibri"/>
        </w:rPr>
        <w:t>)</w:t>
      </w:r>
      <w:r w:rsidR="00747E0E">
        <w:rPr>
          <w:rFonts w:ascii="Calibri" w:hAnsi="Calibri" w:cs="Calibri"/>
        </w:rPr>
        <w:t>;</w:t>
      </w:r>
      <w:r w:rsidR="00415493">
        <w:rPr>
          <w:rStyle w:val="FootnoteReference"/>
          <w:rFonts w:ascii="Calibri" w:hAnsi="Calibri" w:cs="Calibri"/>
        </w:rPr>
        <w:footnoteReference w:id="108"/>
      </w:r>
      <w:r w:rsidR="0012152E">
        <w:rPr>
          <w:rFonts w:ascii="Calibri" w:hAnsi="Calibri" w:cs="Calibri"/>
        </w:rPr>
        <w:t xml:space="preserve"> these two words </w:t>
      </w:r>
      <w:r w:rsidR="00AB6315">
        <w:rPr>
          <w:rFonts w:ascii="Calibri" w:hAnsi="Calibri" w:cs="Calibri"/>
        </w:rPr>
        <w:t xml:space="preserve">come together </w:t>
      </w:r>
      <w:r w:rsidR="0038326F">
        <w:rPr>
          <w:rFonts w:ascii="Calibri" w:hAnsi="Calibri" w:cs="Calibri"/>
        </w:rPr>
        <w:t xml:space="preserve">in one of </w:t>
      </w:r>
      <w:r w:rsidR="007238A6">
        <w:rPr>
          <w:rFonts w:ascii="Calibri" w:hAnsi="Calibri" w:cs="Calibri"/>
        </w:rPr>
        <w:t>Samuel’s rebukes of the people’s desire for a king (10:19</w:t>
      </w:r>
      <w:r w:rsidR="00AB6315">
        <w:rPr>
          <w:rFonts w:ascii="Calibri" w:hAnsi="Calibri" w:cs="Calibri"/>
        </w:rPr>
        <w:t xml:space="preserve">; </w:t>
      </w:r>
      <w:r w:rsidR="008D30E4">
        <w:rPr>
          <w:rFonts w:ascii="Calibri" w:hAnsi="Calibri" w:cs="Calibri"/>
        </w:rPr>
        <w:t xml:space="preserve">see also </w:t>
      </w:r>
      <w:r w:rsidR="00EB5AFE">
        <w:rPr>
          <w:rFonts w:ascii="Calibri" w:hAnsi="Calibri" w:cs="Calibri"/>
        </w:rPr>
        <w:t xml:space="preserve">14:39; </w:t>
      </w:r>
      <w:r w:rsidR="008D30E4">
        <w:rPr>
          <w:rFonts w:ascii="Calibri" w:hAnsi="Calibri" w:cs="Calibri"/>
        </w:rPr>
        <w:t>2 Sam 22:</w:t>
      </w:r>
      <w:r w:rsidR="00EB5AFE">
        <w:rPr>
          <w:rFonts w:ascii="Calibri" w:hAnsi="Calibri" w:cs="Calibri"/>
        </w:rPr>
        <w:t>3).</w:t>
      </w:r>
    </w:p>
    <w:p w14:paraId="5CA6C731" w14:textId="56046A5E" w:rsidR="006E66F4" w:rsidRPr="001F52A8" w:rsidRDefault="00FE297A" w:rsidP="00AD5686">
      <w:r>
        <w:t xml:space="preserve"> </w:t>
      </w:r>
      <w:r w:rsidR="002533CC" w:rsidRPr="001F52A8">
        <w:t xml:space="preserve">The </w:t>
      </w:r>
      <w:r w:rsidR="00A23054" w:rsidRPr="001F52A8">
        <w:t>first king emerges</w:t>
      </w:r>
    </w:p>
    <w:p w14:paraId="18A93A26" w14:textId="77777777" w:rsidR="00763674" w:rsidRPr="001F52A8" w:rsidRDefault="00763674" w:rsidP="00AD5686"/>
    <w:p w14:paraId="3C5E577B" w14:textId="26EEF86C" w:rsidR="00DF2050" w:rsidRPr="001F52A8" w:rsidRDefault="00BC7A4A" w:rsidP="003F18F9">
      <w:pPr>
        <w:pStyle w:val="ListParagraph"/>
        <w:numPr>
          <w:ilvl w:val="0"/>
          <w:numId w:val="7"/>
        </w:numPr>
        <w:ind w:left="720"/>
        <w:rPr>
          <w:lang w:val="en-US"/>
        </w:rPr>
      </w:pPr>
      <w:r w:rsidRPr="001F52A8">
        <w:rPr>
          <w:lang w:val="en-US"/>
        </w:rPr>
        <w:t xml:space="preserve">because </w:t>
      </w:r>
      <w:r w:rsidR="009D37F0" w:rsidRPr="001F52A8">
        <w:rPr>
          <w:lang w:val="en-US"/>
        </w:rPr>
        <w:t xml:space="preserve">the </w:t>
      </w:r>
      <w:r w:rsidR="00DF2050" w:rsidRPr="001F52A8">
        <w:rPr>
          <w:lang w:val="en-US"/>
        </w:rPr>
        <w:t>hereditary principle for government didn</w:t>
      </w:r>
      <w:r w:rsidR="00B63C24">
        <w:rPr>
          <w:lang w:val="en-US"/>
        </w:rPr>
        <w:t>’</w:t>
      </w:r>
      <w:r w:rsidR="00DF2050" w:rsidRPr="001F52A8">
        <w:rPr>
          <w:lang w:val="en-US"/>
        </w:rPr>
        <w:t>t work (8</w:t>
      </w:r>
      <w:r w:rsidR="00C53C46" w:rsidRPr="001F52A8">
        <w:rPr>
          <w:lang w:val="en-US"/>
        </w:rPr>
        <w:t>:1-5)</w:t>
      </w:r>
      <w:r w:rsidR="0035013F">
        <w:rPr>
          <w:lang w:val="en-US"/>
        </w:rPr>
        <w:t>.</w:t>
      </w:r>
      <w:r w:rsidR="00357F88" w:rsidRPr="001F52A8">
        <w:rPr>
          <w:lang w:val="en-US"/>
        </w:rPr>
        <w:t xml:space="preserve"> </w:t>
      </w:r>
      <w:r w:rsidR="00D33B23" w:rsidRPr="001F52A8">
        <w:rPr>
          <w:lang w:val="en-US"/>
        </w:rPr>
        <w:t>Samuel was no more fortunate or effective as a parent than Eli had been</w:t>
      </w:r>
      <w:r w:rsidR="00E3502F" w:rsidRPr="001F52A8">
        <w:rPr>
          <w:lang w:val="en-US"/>
        </w:rPr>
        <w:t xml:space="preserve">, </w:t>
      </w:r>
      <w:r w:rsidR="008A5668" w:rsidRPr="001F52A8">
        <w:rPr>
          <w:lang w:val="en-US"/>
        </w:rPr>
        <w:t xml:space="preserve">and he hadn’t confronted </w:t>
      </w:r>
      <w:r w:rsidR="007E47C7">
        <w:rPr>
          <w:lang w:val="en-US"/>
        </w:rPr>
        <w:t>his sons</w:t>
      </w:r>
      <w:r w:rsidR="008A5668" w:rsidRPr="001F52A8">
        <w:rPr>
          <w:lang w:val="en-US"/>
        </w:rPr>
        <w:t>, as Eli at least had</w:t>
      </w:r>
      <w:r w:rsidR="00CB0640" w:rsidRPr="001F52A8">
        <w:rPr>
          <w:lang w:val="en-US"/>
        </w:rPr>
        <w:t>.</w:t>
      </w:r>
      <w:r w:rsidR="00CB0640" w:rsidRPr="001F52A8">
        <w:rPr>
          <w:rStyle w:val="FootnoteReference"/>
          <w:lang w:val="en-US"/>
        </w:rPr>
        <w:footnoteReference w:id="109"/>
      </w:r>
      <w:r w:rsidR="00CB0640" w:rsidRPr="001F52A8">
        <w:rPr>
          <w:lang w:val="en-US"/>
        </w:rPr>
        <w:t xml:space="preserve"> </w:t>
      </w:r>
      <w:r w:rsidR="007366B2" w:rsidRPr="001F52A8">
        <w:rPr>
          <w:lang w:val="en-US"/>
        </w:rPr>
        <w:t>Samuel thus</w:t>
      </w:r>
      <w:r w:rsidR="00357F88" w:rsidRPr="001F52A8">
        <w:rPr>
          <w:lang w:val="en-US"/>
        </w:rPr>
        <w:t xml:space="preserve"> confirms </w:t>
      </w:r>
      <w:r w:rsidR="007366B2" w:rsidRPr="001F52A8">
        <w:rPr>
          <w:lang w:val="en-US"/>
        </w:rPr>
        <w:t>a</w:t>
      </w:r>
      <w:r w:rsidR="00357F88" w:rsidRPr="001F52A8">
        <w:rPr>
          <w:lang w:val="en-US"/>
        </w:rPr>
        <w:t xml:space="preserve"> point that emerges from Eli’s story</w:t>
      </w:r>
      <w:r w:rsidR="00C53C46" w:rsidRPr="001F52A8">
        <w:rPr>
          <w:lang w:val="en-US"/>
        </w:rPr>
        <w:t xml:space="preserve">. An irony </w:t>
      </w:r>
      <w:r w:rsidR="007366B2" w:rsidRPr="001F52A8">
        <w:rPr>
          <w:lang w:val="en-US"/>
        </w:rPr>
        <w:t>then</w:t>
      </w:r>
      <w:r w:rsidR="00C53C46" w:rsidRPr="001F52A8">
        <w:rPr>
          <w:lang w:val="en-US"/>
        </w:rPr>
        <w:t xml:space="preserve"> emerges, since </w:t>
      </w:r>
      <w:r w:rsidR="002E2E04" w:rsidRPr="001F52A8">
        <w:rPr>
          <w:lang w:val="en-US"/>
        </w:rPr>
        <w:t>Israel soon falls into hereditary assumptions about kings</w:t>
      </w:r>
      <w:r w:rsidR="00763674" w:rsidRPr="001F52A8">
        <w:rPr>
          <w:lang w:val="en-US"/>
        </w:rPr>
        <w:t xml:space="preserve"> and </w:t>
      </w:r>
      <w:r w:rsidR="004A0D0F" w:rsidRPr="001F52A8">
        <w:rPr>
          <w:lang w:val="en-US"/>
        </w:rPr>
        <w:t xml:space="preserve">has the same experience </w:t>
      </w:r>
      <w:r w:rsidR="000D5778">
        <w:rPr>
          <w:lang w:val="en-US"/>
        </w:rPr>
        <w:t>over the hereditary principle</w:t>
      </w:r>
      <w:r w:rsidR="00763674" w:rsidRPr="001F52A8">
        <w:rPr>
          <w:lang w:val="en-US"/>
        </w:rPr>
        <w:t>.</w:t>
      </w:r>
      <w:r w:rsidR="00D11A7E" w:rsidRPr="001F52A8">
        <w:rPr>
          <w:lang w:val="en-US"/>
        </w:rPr>
        <w:t xml:space="preserve"> Another irony is </w:t>
      </w:r>
      <w:r w:rsidR="004A2620" w:rsidRPr="001F52A8">
        <w:rPr>
          <w:lang w:val="en-US"/>
        </w:rPr>
        <w:t xml:space="preserve">that </w:t>
      </w:r>
      <w:r w:rsidR="00D11A7E" w:rsidRPr="001F52A8">
        <w:rPr>
          <w:lang w:val="en-US"/>
        </w:rPr>
        <w:t xml:space="preserve">the other </w:t>
      </w:r>
      <w:r w:rsidR="00B24A93" w:rsidRPr="001F52A8">
        <w:rPr>
          <w:lang w:val="en-US"/>
        </w:rPr>
        <w:t xml:space="preserve">disappointed father </w:t>
      </w:r>
      <w:r w:rsidR="00B42785" w:rsidRPr="001F52A8">
        <w:rPr>
          <w:lang w:val="en-US"/>
        </w:rPr>
        <w:t xml:space="preserve">in Israel’s story </w:t>
      </w:r>
      <w:r w:rsidR="00B24A93" w:rsidRPr="001F52A8">
        <w:rPr>
          <w:lang w:val="en-US"/>
        </w:rPr>
        <w:t xml:space="preserve">was Gideon, the man who refused to be ruler </w:t>
      </w:r>
      <w:r w:rsidR="001A55CB" w:rsidRPr="001F52A8">
        <w:rPr>
          <w:lang w:val="en-US"/>
        </w:rPr>
        <w:t>over Israel (Judg 8 – 9).</w:t>
      </w:r>
    </w:p>
    <w:p w14:paraId="7131D4FD" w14:textId="421ACE3F" w:rsidR="00F54E02" w:rsidRPr="001F52A8" w:rsidRDefault="00A24DBB" w:rsidP="004D730A">
      <w:pPr>
        <w:pStyle w:val="ListParagraph"/>
        <w:numPr>
          <w:ilvl w:val="0"/>
          <w:numId w:val="7"/>
        </w:numPr>
        <w:ind w:left="720"/>
        <w:rPr>
          <w:lang w:val="en-US"/>
        </w:rPr>
      </w:pPr>
      <w:r w:rsidRPr="001F52A8">
        <w:rPr>
          <w:lang w:val="en-US"/>
        </w:rPr>
        <w:t xml:space="preserve">because the </w:t>
      </w:r>
      <w:r w:rsidR="009D37F0" w:rsidRPr="001F52A8">
        <w:rPr>
          <w:lang w:val="en-US"/>
        </w:rPr>
        <w:t>previous form of government didn</w:t>
      </w:r>
      <w:r w:rsidR="00B42785" w:rsidRPr="001F52A8">
        <w:rPr>
          <w:lang w:val="en-US"/>
        </w:rPr>
        <w:t>’</w:t>
      </w:r>
      <w:r w:rsidR="009D37F0" w:rsidRPr="001F52A8">
        <w:rPr>
          <w:lang w:val="en-US"/>
        </w:rPr>
        <w:t>t work</w:t>
      </w:r>
      <w:r w:rsidR="00B42785" w:rsidRPr="001F52A8">
        <w:rPr>
          <w:lang w:val="en-US"/>
        </w:rPr>
        <w:t>,</w:t>
      </w:r>
      <w:r w:rsidR="005774D2" w:rsidRPr="001F52A8">
        <w:rPr>
          <w:lang w:val="en-US"/>
        </w:rPr>
        <w:t xml:space="preserve"> in that the </w:t>
      </w:r>
      <w:r w:rsidR="00BE2115" w:rsidRPr="001F52A8">
        <w:rPr>
          <w:lang w:val="en-US"/>
        </w:rPr>
        <w:t xml:space="preserve">people with authority </w:t>
      </w:r>
      <w:r w:rsidR="00372978" w:rsidRPr="001F52A8">
        <w:rPr>
          <w:lang w:val="en-US"/>
        </w:rPr>
        <w:t>mis</w:t>
      </w:r>
      <w:r w:rsidR="00BE2115" w:rsidRPr="001F52A8">
        <w:rPr>
          <w:lang w:val="en-US"/>
        </w:rPr>
        <w:t xml:space="preserve">used their authority </w:t>
      </w:r>
      <w:r w:rsidR="00372978" w:rsidRPr="001F52A8">
        <w:rPr>
          <w:lang w:val="en-US"/>
        </w:rPr>
        <w:t xml:space="preserve">to benefit themselves (8:2). </w:t>
      </w:r>
      <w:r w:rsidR="00792F55" w:rsidRPr="001F52A8">
        <w:rPr>
          <w:lang w:val="en-US"/>
        </w:rPr>
        <w:t>The beginning of th</w:t>
      </w:r>
      <w:r w:rsidR="008B0F02" w:rsidRPr="001F52A8">
        <w:rPr>
          <w:lang w:val="en-US"/>
        </w:rPr>
        <w:t>is</w:t>
      </w:r>
      <w:r w:rsidR="00792F55" w:rsidRPr="001F52A8">
        <w:rPr>
          <w:lang w:val="en-US"/>
        </w:rPr>
        <w:t xml:space="preserve"> narrative establishe</w:t>
      </w:r>
      <w:r w:rsidR="008B0F02" w:rsidRPr="001F52A8">
        <w:rPr>
          <w:lang w:val="en-US"/>
        </w:rPr>
        <w:t>s</w:t>
      </w:r>
      <w:r w:rsidR="00792F55" w:rsidRPr="001F52A8">
        <w:rPr>
          <w:lang w:val="en-US"/>
        </w:rPr>
        <w:t xml:space="preserve"> that t</w:t>
      </w:r>
      <w:r w:rsidR="00EC6096" w:rsidRPr="001F52A8">
        <w:rPr>
          <w:lang w:val="en-US"/>
        </w:rPr>
        <w:t>he exercis</w:t>
      </w:r>
      <w:r w:rsidR="006E2E5D" w:rsidRPr="001F52A8">
        <w:rPr>
          <w:lang w:val="en-US"/>
        </w:rPr>
        <w:t>e</w:t>
      </w:r>
      <w:r w:rsidR="00EC6096" w:rsidRPr="001F52A8">
        <w:rPr>
          <w:lang w:val="en-US"/>
        </w:rPr>
        <w:t xml:space="preserve"> of authority (</w:t>
      </w:r>
      <w:r w:rsidR="00EC6096" w:rsidRPr="001F52A8">
        <w:rPr>
          <w:rFonts w:cs="Calibri"/>
          <w:i/>
          <w:iCs/>
          <w:lang w:val="en-US"/>
        </w:rPr>
        <w:t>šāpaṭ</w:t>
      </w:r>
      <w:r w:rsidR="00B55621">
        <w:rPr>
          <w:rFonts w:cs="Calibri"/>
          <w:lang w:val="en-US"/>
        </w:rPr>
        <w:t>,</w:t>
      </w:r>
      <w:r w:rsidR="00EC6096" w:rsidRPr="001F52A8">
        <w:rPr>
          <w:rFonts w:cs="Calibri"/>
          <w:lang w:val="en-US"/>
        </w:rPr>
        <w:t xml:space="preserve"> </w:t>
      </w:r>
      <w:r w:rsidR="00EC6096" w:rsidRPr="001F52A8">
        <w:rPr>
          <w:rFonts w:cs="Calibri"/>
          <w:i/>
          <w:iCs/>
          <w:lang w:val="en-US"/>
        </w:rPr>
        <w:t>miš</w:t>
      </w:r>
      <w:r w:rsidR="00B44134" w:rsidRPr="001F52A8">
        <w:rPr>
          <w:rFonts w:cs="Calibri"/>
          <w:i/>
          <w:iCs/>
          <w:lang w:val="en-US"/>
        </w:rPr>
        <w:t>p</w:t>
      </w:r>
      <w:r w:rsidR="00EC6096" w:rsidRPr="001F52A8">
        <w:rPr>
          <w:rFonts w:cs="Calibri"/>
          <w:i/>
          <w:iCs/>
          <w:lang w:val="en-US"/>
        </w:rPr>
        <w:t>āṭ</w:t>
      </w:r>
      <w:r w:rsidR="00B44134" w:rsidRPr="001F52A8">
        <w:rPr>
          <w:rFonts w:cs="Calibri"/>
          <w:lang w:val="en-US"/>
        </w:rPr>
        <w:t>) is a key theme.</w:t>
      </w:r>
      <w:r w:rsidR="00B44134" w:rsidRPr="001F52A8">
        <w:rPr>
          <w:rStyle w:val="FootnoteReference"/>
          <w:rFonts w:cs="Calibri"/>
          <w:lang w:val="en-US"/>
        </w:rPr>
        <w:footnoteReference w:id="110"/>
      </w:r>
      <w:r w:rsidR="00BC0C1C" w:rsidRPr="001F52A8">
        <w:rPr>
          <w:rFonts w:cs="Calibri"/>
          <w:lang w:val="en-US"/>
        </w:rPr>
        <w:t xml:space="preserve"> </w:t>
      </w:r>
      <w:r w:rsidR="006D716D" w:rsidRPr="001F52A8">
        <w:rPr>
          <w:rFonts w:cs="Calibri"/>
          <w:lang w:val="en-US"/>
        </w:rPr>
        <w:t>I</w:t>
      </w:r>
      <w:r w:rsidR="009A3529" w:rsidRPr="001F52A8">
        <w:rPr>
          <w:rFonts w:cs="Calibri"/>
          <w:lang w:val="en-US"/>
        </w:rPr>
        <w:t xml:space="preserve">t is misleading that </w:t>
      </w:r>
      <w:r w:rsidR="009A3529" w:rsidRPr="001F52A8">
        <w:rPr>
          <w:rFonts w:cs="Calibri"/>
          <w:i/>
          <w:iCs/>
          <w:lang w:val="en-US"/>
        </w:rPr>
        <w:t>mišpāṭ</w:t>
      </w:r>
      <w:r w:rsidR="00BC0C1C" w:rsidRPr="001F52A8">
        <w:rPr>
          <w:rFonts w:cs="Calibri"/>
          <w:lang w:val="en-US"/>
        </w:rPr>
        <w:t xml:space="preserve"> </w:t>
      </w:r>
      <w:r w:rsidR="009A3529" w:rsidRPr="001F52A8">
        <w:rPr>
          <w:rFonts w:cs="Calibri"/>
          <w:lang w:val="en-US"/>
        </w:rPr>
        <w:t>is conventionally translated “justice</w:t>
      </w:r>
      <w:r w:rsidR="00492DA1" w:rsidRPr="001F52A8">
        <w:rPr>
          <w:rFonts w:cs="Calibri"/>
          <w:lang w:val="en-US"/>
        </w:rPr>
        <w:t xml:space="preserve">,” </w:t>
      </w:r>
      <w:r w:rsidR="006D716D" w:rsidRPr="001F52A8">
        <w:rPr>
          <w:rFonts w:cs="Calibri"/>
          <w:lang w:val="en-US"/>
        </w:rPr>
        <w:t>because</w:t>
      </w:r>
      <w:r w:rsidR="00492DA1" w:rsidRPr="001F52A8">
        <w:rPr>
          <w:rFonts w:cs="Calibri"/>
          <w:lang w:val="en-US"/>
        </w:rPr>
        <w:t xml:space="preserve"> </w:t>
      </w:r>
      <w:r w:rsidR="006D716D" w:rsidRPr="001F52A8">
        <w:rPr>
          <w:rFonts w:cs="Calibri"/>
          <w:lang w:val="en-US"/>
        </w:rPr>
        <w:t>it</w:t>
      </w:r>
      <w:r w:rsidR="00492DA1" w:rsidRPr="001F52A8">
        <w:rPr>
          <w:rFonts w:cs="Calibri"/>
          <w:lang w:val="en-US"/>
        </w:rPr>
        <w:t xml:space="preserve"> </w:t>
      </w:r>
      <w:r w:rsidR="008A4D85" w:rsidRPr="001F52A8">
        <w:rPr>
          <w:rFonts w:cs="Calibri"/>
          <w:lang w:val="en-US"/>
        </w:rPr>
        <w:t>refers concretely to the exercise of authority</w:t>
      </w:r>
      <w:r w:rsidR="00A0450A" w:rsidRPr="001F52A8">
        <w:rPr>
          <w:rFonts w:cs="Calibri"/>
          <w:lang w:val="en-US"/>
        </w:rPr>
        <w:t xml:space="preserve">, in giving judgment </w:t>
      </w:r>
      <w:r w:rsidR="00902E7D">
        <w:rPr>
          <w:rFonts w:cs="Calibri"/>
          <w:lang w:val="en-US"/>
        </w:rPr>
        <w:t>and</w:t>
      </w:r>
      <w:r w:rsidR="00A0450A" w:rsidRPr="001F52A8">
        <w:rPr>
          <w:rFonts w:cs="Calibri"/>
          <w:lang w:val="en-US"/>
        </w:rPr>
        <w:t xml:space="preserve"> in other contexts</w:t>
      </w:r>
      <w:r w:rsidR="00FD3F53" w:rsidRPr="001F52A8">
        <w:rPr>
          <w:rFonts w:cs="Calibri"/>
          <w:lang w:val="en-US"/>
        </w:rPr>
        <w:t xml:space="preserve">. But </w:t>
      </w:r>
      <w:r w:rsidR="002841F8" w:rsidRPr="001F52A8">
        <w:rPr>
          <w:rFonts w:cs="Calibri"/>
          <w:i/>
          <w:iCs/>
          <w:lang w:val="en-US"/>
        </w:rPr>
        <w:t xml:space="preserve">mišpāṭ </w:t>
      </w:r>
      <w:r w:rsidR="002841F8" w:rsidRPr="001F52A8">
        <w:rPr>
          <w:rFonts w:cs="Calibri"/>
          <w:lang w:val="en-US"/>
        </w:rPr>
        <w:t xml:space="preserve">does imply the </w:t>
      </w:r>
      <w:r w:rsidR="002841F8" w:rsidRPr="001F52A8">
        <w:rPr>
          <w:rFonts w:cs="Calibri"/>
          <w:i/>
          <w:iCs/>
          <w:lang w:val="en-US"/>
        </w:rPr>
        <w:t xml:space="preserve">proper </w:t>
      </w:r>
      <w:r w:rsidR="002841F8" w:rsidRPr="001F52A8">
        <w:rPr>
          <w:rFonts w:cs="Calibri"/>
          <w:lang w:val="en-US"/>
        </w:rPr>
        <w:t xml:space="preserve">exercise of authority. </w:t>
      </w:r>
      <w:r w:rsidR="00E23182" w:rsidRPr="001F52A8">
        <w:rPr>
          <w:rFonts w:cs="Calibri"/>
          <w:lang w:val="en-US"/>
        </w:rPr>
        <w:t xml:space="preserve">An implication of the elders’ </w:t>
      </w:r>
      <w:r w:rsidR="007E7707" w:rsidRPr="001F52A8">
        <w:rPr>
          <w:rFonts w:cs="Calibri"/>
          <w:lang w:val="en-US"/>
        </w:rPr>
        <w:t xml:space="preserve">appeal </w:t>
      </w:r>
      <w:r w:rsidR="00E23182" w:rsidRPr="001F52A8">
        <w:rPr>
          <w:rFonts w:cs="Calibri"/>
          <w:lang w:val="en-US"/>
        </w:rPr>
        <w:t>is th</w:t>
      </w:r>
      <w:r w:rsidR="007322B6" w:rsidRPr="001F52A8">
        <w:rPr>
          <w:rFonts w:cs="Calibri"/>
          <w:lang w:val="en-US"/>
        </w:rPr>
        <w:t xml:space="preserve">e </w:t>
      </w:r>
      <w:r w:rsidR="00F12747" w:rsidRPr="001F52A8">
        <w:rPr>
          <w:rFonts w:cs="Calibri"/>
          <w:lang w:val="en-US"/>
        </w:rPr>
        <w:t xml:space="preserve">traditional Middle Eastern </w:t>
      </w:r>
      <w:r w:rsidR="00C32FFB" w:rsidRPr="001F52A8">
        <w:rPr>
          <w:rFonts w:cs="Calibri"/>
          <w:lang w:val="en-US"/>
        </w:rPr>
        <w:t>assumption</w:t>
      </w:r>
      <w:r w:rsidR="00F12747" w:rsidRPr="001F52A8">
        <w:rPr>
          <w:rFonts w:cs="Calibri"/>
          <w:lang w:val="en-US"/>
        </w:rPr>
        <w:t xml:space="preserve"> that</w:t>
      </w:r>
      <w:r w:rsidR="00E23182" w:rsidRPr="001F52A8">
        <w:rPr>
          <w:rFonts w:cs="Calibri"/>
          <w:lang w:val="en-US"/>
        </w:rPr>
        <w:t xml:space="preserve"> </w:t>
      </w:r>
      <w:r w:rsidR="00FA7844" w:rsidRPr="001F52A8">
        <w:rPr>
          <w:rFonts w:cs="Calibri"/>
          <w:lang w:val="en-US"/>
        </w:rPr>
        <w:t xml:space="preserve">it is </w:t>
      </w:r>
      <w:r w:rsidR="0034178E" w:rsidRPr="001F52A8">
        <w:rPr>
          <w:rFonts w:cs="Calibri"/>
          <w:lang w:val="en-US"/>
        </w:rPr>
        <w:t xml:space="preserve">a </w:t>
      </w:r>
      <w:r w:rsidR="0034178E" w:rsidRPr="001F52A8">
        <w:rPr>
          <w:rFonts w:cs="Calibri"/>
          <w:lang w:val="en-US"/>
        </w:rPr>
        <w:lastRenderedPageBreak/>
        <w:t xml:space="preserve">king’s business </w:t>
      </w:r>
      <w:r w:rsidR="00FA7844" w:rsidRPr="001F52A8">
        <w:rPr>
          <w:rFonts w:cs="Calibri"/>
          <w:lang w:val="en-US"/>
        </w:rPr>
        <w:t>to see to the</w:t>
      </w:r>
      <w:r w:rsidR="0034178E" w:rsidRPr="001F52A8">
        <w:rPr>
          <w:rFonts w:cs="Calibri"/>
          <w:lang w:val="en-US"/>
        </w:rPr>
        <w:t xml:space="preserve"> exercise of authority</w:t>
      </w:r>
      <w:r w:rsidR="00B44134" w:rsidRPr="001F52A8">
        <w:rPr>
          <w:rFonts w:cs="Calibri"/>
          <w:i/>
          <w:iCs/>
          <w:lang w:val="en-US"/>
        </w:rPr>
        <w:t xml:space="preserve"> </w:t>
      </w:r>
      <w:r w:rsidR="0034178E" w:rsidRPr="001F52A8">
        <w:rPr>
          <w:rFonts w:cs="Calibri"/>
          <w:lang w:val="en-US"/>
        </w:rPr>
        <w:t>in a way that is fair and protective.</w:t>
      </w:r>
      <w:r w:rsidR="00BD18BD" w:rsidRPr="001F52A8">
        <w:rPr>
          <w:rStyle w:val="FootnoteReference"/>
          <w:rFonts w:cs="Calibri"/>
          <w:lang w:val="en-US"/>
        </w:rPr>
        <w:footnoteReference w:id="111"/>
      </w:r>
      <w:r w:rsidR="0034178E" w:rsidRPr="001F52A8">
        <w:rPr>
          <w:rFonts w:cs="Calibri"/>
          <w:lang w:val="en-US"/>
        </w:rPr>
        <w:t xml:space="preserve"> </w:t>
      </w:r>
      <w:r w:rsidR="00372978" w:rsidRPr="001F52A8">
        <w:rPr>
          <w:rFonts w:cs="Calibri"/>
          <w:lang w:val="en-US"/>
        </w:rPr>
        <w:t xml:space="preserve">The </w:t>
      </w:r>
      <w:r w:rsidR="00C32FFB" w:rsidRPr="001F52A8">
        <w:rPr>
          <w:rFonts w:cs="Calibri"/>
          <w:lang w:val="en-US"/>
        </w:rPr>
        <w:t>further</w:t>
      </w:r>
      <w:r w:rsidR="00C32FFB" w:rsidRPr="001F52A8">
        <w:rPr>
          <w:lang w:val="en-US"/>
        </w:rPr>
        <w:t xml:space="preserve"> </w:t>
      </w:r>
      <w:r w:rsidR="00372978" w:rsidRPr="001F52A8">
        <w:rPr>
          <w:lang w:val="en-US"/>
        </w:rPr>
        <w:t>irony emerges</w:t>
      </w:r>
      <w:r w:rsidR="004D730A" w:rsidRPr="001F52A8">
        <w:rPr>
          <w:lang w:val="en-US"/>
        </w:rPr>
        <w:t xml:space="preserve"> </w:t>
      </w:r>
      <w:r w:rsidR="00372978" w:rsidRPr="001F52A8">
        <w:rPr>
          <w:lang w:val="en-US"/>
        </w:rPr>
        <w:t xml:space="preserve">that </w:t>
      </w:r>
      <w:r w:rsidR="00BB44D6" w:rsidRPr="001F52A8">
        <w:rPr>
          <w:lang w:val="en-US"/>
        </w:rPr>
        <w:t xml:space="preserve">the exercise of authority by Israel’s </w:t>
      </w:r>
      <w:r w:rsidR="0017375A" w:rsidRPr="001F52A8">
        <w:rPr>
          <w:lang w:val="en-US"/>
        </w:rPr>
        <w:t xml:space="preserve">kings will </w:t>
      </w:r>
      <w:r w:rsidR="0039680E" w:rsidRPr="001F52A8">
        <w:rPr>
          <w:lang w:val="en-US"/>
        </w:rPr>
        <w:t xml:space="preserve">hardly </w:t>
      </w:r>
      <w:r w:rsidR="00BB44D6" w:rsidRPr="001F52A8">
        <w:rPr>
          <w:lang w:val="en-US"/>
        </w:rPr>
        <w:t>be better than that by Samuel’s sons</w:t>
      </w:r>
      <w:r w:rsidR="0017375A" w:rsidRPr="001F52A8">
        <w:rPr>
          <w:lang w:val="en-US"/>
        </w:rPr>
        <w:t>, like all forms of authority known to humanity.</w:t>
      </w:r>
    </w:p>
    <w:p w14:paraId="756D0122" w14:textId="7141254B" w:rsidR="00347370" w:rsidRPr="001F52A8" w:rsidRDefault="00330386" w:rsidP="003F18F9">
      <w:pPr>
        <w:pStyle w:val="ListParagraph"/>
        <w:numPr>
          <w:ilvl w:val="0"/>
          <w:numId w:val="7"/>
        </w:numPr>
        <w:ind w:left="720"/>
        <w:rPr>
          <w:lang w:val="en-US"/>
        </w:rPr>
      </w:pPr>
      <w:r w:rsidRPr="001F52A8">
        <w:rPr>
          <w:lang w:val="en-US"/>
        </w:rPr>
        <w:t xml:space="preserve">because </w:t>
      </w:r>
      <w:r w:rsidR="0047734B" w:rsidRPr="001F52A8">
        <w:rPr>
          <w:lang w:val="en-US"/>
        </w:rPr>
        <w:t>the elders</w:t>
      </w:r>
      <w:r w:rsidR="008435AB" w:rsidRPr="001F52A8">
        <w:rPr>
          <w:lang w:val="en-US"/>
        </w:rPr>
        <w:t xml:space="preserve">, </w:t>
      </w:r>
      <w:r w:rsidR="00845735" w:rsidRPr="001F52A8">
        <w:rPr>
          <w:lang w:val="en-US"/>
        </w:rPr>
        <w:t xml:space="preserve">whose previous appearance had been to </w:t>
      </w:r>
      <w:r w:rsidR="00184A89" w:rsidRPr="001F52A8">
        <w:rPr>
          <w:lang w:val="en-US"/>
        </w:rPr>
        <w:t xml:space="preserve">ask why Yahweh had defeated the </w:t>
      </w:r>
      <w:r w:rsidR="008435AB" w:rsidRPr="001F52A8">
        <w:rPr>
          <w:lang w:val="en-US"/>
        </w:rPr>
        <w:t>Israelites and then to jump to a dubious solution (4:</w:t>
      </w:r>
      <w:r w:rsidR="00914BB3" w:rsidRPr="001F52A8">
        <w:rPr>
          <w:lang w:val="en-US"/>
        </w:rPr>
        <w:t>3), again see a problem and jump to a dubious solution</w:t>
      </w:r>
      <w:r w:rsidR="00BE5671" w:rsidRPr="001F52A8">
        <w:rPr>
          <w:lang w:val="en-US"/>
        </w:rPr>
        <w:t xml:space="preserve"> (8:</w:t>
      </w:r>
      <w:r w:rsidR="009D6FE6" w:rsidRPr="001F52A8">
        <w:rPr>
          <w:lang w:val="en-US"/>
        </w:rPr>
        <w:t xml:space="preserve">4-5). </w:t>
      </w:r>
      <w:r w:rsidR="00D80977">
        <w:rPr>
          <w:lang w:val="en-US"/>
        </w:rPr>
        <w:t>T</w:t>
      </w:r>
      <w:r w:rsidR="004D7DCB" w:rsidRPr="001F52A8">
        <w:rPr>
          <w:lang w:val="en-US"/>
        </w:rPr>
        <w:t>heir reasoning does recall the observation at the end of Judges about people d</w:t>
      </w:r>
      <w:r w:rsidR="00320580">
        <w:rPr>
          <w:lang w:val="en-US"/>
        </w:rPr>
        <w:t>eciding for themselves</w:t>
      </w:r>
      <w:r w:rsidR="004D7DCB" w:rsidRPr="001F52A8">
        <w:rPr>
          <w:lang w:val="en-US"/>
        </w:rPr>
        <w:t xml:space="preserve"> what was upright when there was no king</w:t>
      </w:r>
      <w:r w:rsidR="005F6E85" w:rsidRPr="001F52A8">
        <w:rPr>
          <w:lang w:val="en-US"/>
        </w:rPr>
        <w:t>, which implie</w:t>
      </w:r>
      <w:r w:rsidR="00882DC5">
        <w:rPr>
          <w:lang w:val="en-US"/>
        </w:rPr>
        <w:t>d</w:t>
      </w:r>
      <w:r w:rsidR="005F6E85" w:rsidRPr="001F52A8">
        <w:rPr>
          <w:lang w:val="en-US"/>
        </w:rPr>
        <w:t xml:space="preserve"> that a king would solve the </w:t>
      </w:r>
      <w:r w:rsidR="00B4548C" w:rsidRPr="001F52A8">
        <w:rPr>
          <w:lang w:val="en-US"/>
        </w:rPr>
        <w:t>problem</w:t>
      </w:r>
      <w:r w:rsidR="004D7DCB" w:rsidRPr="001F52A8">
        <w:rPr>
          <w:lang w:val="en-US"/>
        </w:rPr>
        <w:t>. But why should a king make a difference, if a figure like Samuel did not?</w:t>
      </w:r>
    </w:p>
    <w:p w14:paraId="37F6E2D1" w14:textId="490BB054" w:rsidR="00F764C1" w:rsidRPr="001F52A8" w:rsidRDefault="00B16349" w:rsidP="003F18F9">
      <w:pPr>
        <w:pStyle w:val="ListParagraph"/>
        <w:numPr>
          <w:ilvl w:val="0"/>
          <w:numId w:val="7"/>
        </w:numPr>
        <w:ind w:left="720"/>
        <w:rPr>
          <w:lang w:val="en-US"/>
        </w:rPr>
      </w:pPr>
      <w:r w:rsidRPr="001F52A8">
        <w:rPr>
          <w:lang w:val="en-US"/>
        </w:rPr>
        <w:t>because the elders</w:t>
      </w:r>
      <w:r w:rsidR="00FD56FF" w:rsidRPr="001F52A8">
        <w:rPr>
          <w:lang w:val="en-US"/>
        </w:rPr>
        <w:t xml:space="preserve"> want </w:t>
      </w:r>
      <w:r w:rsidRPr="001F52A8">
        <w:rPr>
          <w:lang w:val="en-US"/>
        </w:rPr>
        <w:t xml:space="preserve">Israel </w:t>
      </w:r>
      <w:r w:rsidR="00FD56FF" w:rsidRPr="001F52A8">
        <w:rPr>
          <w:lang w:val="en-US"/>
        </w:rPr>
        <w:t>to be like other nations</w:t>
      </w:r>
      <w:r w:rsidR="00B4548C" w:rsidRPr="001F52A8">
        <w:rPr>
          <w:lang w:val="en-US"/>
        </w:rPr>
        <w:t xml:space="preserve"> </w:t>
      </w:r>
      <w:r w:rsidR="00C37B4E" w:rsidRPr="001F52A8">
        <w:rPr>
          <w:lang w:val="en-US"/>
        </w:rPr>
        <w:t>(</w:t>
      </w:r>
      <w:r w:rsidR="00B4548C" w:rsidRPr="001F52A8">
        <w:rPr>
          <w:lang w:val="en-US"/>
        </w:rPr>
        <w:t>8:5).</w:t>
      </w:r>
      <w:r w:rsidR="00C37B4E" w:rsidRPr="001F52A8">
        <w:rPr>
          <w:lang w:val="en-US"/>
        </w:rPr>
        <w:t xml:space="preserve"> </w:t>
      </w:r>
      <w:r w:rsidR="00704F1F">
        <w:rPr>
          <w:lang w:val="en-US"/>
        </w:rPr>
        <w:t>I</w:t>
      </w:r>
      <w:r w:rsidR="009D6FE6" w:rsidRPr="001F52A8">
        <w:rPr>
          <w:lang w:val="en-US"/>
        </w:rPr>
        <w:t>t</w:t>
      </w:r>
      <w:r w:rsidR="00E70C1B" w:rsidRPr="001F52A8">
        <w:rPr>
          <w:lang w:val="en-US"/>
        </w:rPr>
        <w:t xml:space="preserve"> might seem</w:t>
      </w:r>
      <w:r w:rsidR="009D6FE6" w:rsidRPr="001F52A8">
        <w:rPr>
          <w:lang w:val="en-US"/>
        </w:rPr>
        <w:t xml:space="preserve"> that </w:t>
      </w:r>
      <w:r w:rsidR="00F84FA6" w:rsidRPr="001F52A8">
        <w:rPr>
          <w:lang w:val="en-US"/>
        </w:rPr>
        <w:t xml:space="preserve">moving towards </w:t>
      </w:r>
      <w:r w:rsidR="00362B58" w:rsidRPr="001F52A8">
        <w:rPr>
          <w:lang w:val="en-US"/>
        </w:rPr>
        <w:t xml:space="preserve">strong </w:t>
      </w:r>
      <w:r w:rsidR="006B1D04" w:rsidRPr="001F52A8">
        <w:rPr>
          <w:lang w:val="en-US"/>
        </w:rPr>
        <w:t>c</w:t>
      </w:r>
      <w:r w:rsidR="00362B58" w:rsidRPr="001F52A8">
        <w:rPr>
          <w:lang w:val="en-US"/>
        </w:rPr>
        <w:t>entral government</w:t>
      </w:r>
      <w:r w:rsidR="00F84FA6" w:rsidRPr="001F52A8">
        <w:rPr>
          <w:lang w:val="en-US"/>
        </w:rPr>
        <w:t xml:space="preserve"> is </w:t>
      </w:r>
      <w:r w:rsidR="00FD56FF" w:rsidRPr="001F52A8">
        <w:rPr>
          <w:lang w:val="en-US"/>
        </w:rPr>
        <w:t xml:space="preserve">indeed </w:t>
      </w:r>
      <w:r w:rsidR="00362B58" w:rsidRPr="001F52A8">
        <w:rPr>
          <w:lang w:val="en-US"/>
        </w:rPr>
        <w:t>a</w:t>
      </w:r>
      <w:r w:rsidR="00F84FA6" w:rsidRPr="001F52A8">
        <w:rPr>
          <w:lang w:val="en-US"/>
        </w:rPr>
        <w:t xml:space="preserve"> natural or inevitable sociological development</w:t>
      </w:r>
      <w:r w:rsidR="00E70C1B" w:rsidRPr="001F52A8">
        <w:rPr>
          <w:lang w:val="en-US"/>
        </w:rPr>
        <w:t xml:space="preserve"> as the nation grows and develops</w:t>
      </w:r>
      <w:r w:rsidR="00B4548C" w:rsidRPr="001F52A8">
        <w:rPr>
          <w:lang w:val="en-US"/>
        </w:rPr>
        <w:t xml:space="preserve">. </w:t>
      </w:r>
      <w:r w:rsidR="00C565D4" w:rsidRPr="001F52A8">
        <w:rPr>
          <w:lang w:val="en-US"/>
        </w:rPr>
        <w:t xml:space="preserve">The story </w:t>
      </w:r>
      <w:r w:rsidR="000A58A1" w:rsidRPr="001F52A8">
        <w:rPr>
          <w:lang w:val="en-US"/>
        </w:rPr>
        <w:t xml:space="preserve">in 1 Samuel 8 – 12 is </w:t>
      </w:r>
      <w:r w:rsidR="00704F1F">
        <w:rPr>
          <w:lang w:val="en-US"/>
        </w:rPr>
        <w:t xml:space="preserve">then </w:t>
      </w:r>
      <w:r w:rsidR="000A58A1" w:rsidRPr="001F52A8">
        <w:rPr>
          <w:lang w:val="en-US"/>
        </w:rPr>
        <w:t>an account of a nation going through a necessary “rite of passage.”</w:t>
      </w:r>
      <w:r w:rsidR="00CD03C9" w:rsidRPr="001F52A8">
        <w:rPr>
          <w:rStyle w:val="FootnoteReference"/>
          <w:lang w:val="en-US"/>
        </w:rPr>
        <w:footnoteReference w:id="112"/>
      </w:r>
      <w:r w:rsidR="000A58A1" w:rsidRPr="001F52A8">
        <w:rPr>
          <w:lang w:val="en-US"/>
        </w:rPr>
        <w:t xml:space="preserve"> </w:t>
      </w:r>
      <w:r w:rsidR="00F1495B" w:rsidRPr="001F52A8">
        <w:rPr>
          <w:lang w:val="en-US"/>
        </w:rPr>
        <w:t xml:space="preserve">But </w:t>
      </w:r>
      <w:r w:rsidR="00DA16EE" w:rsidRPr="001F52A8">
        <w:rPr>
          <w:lang w:val="en-US"/>
        </w:rPr>
        <w:t>“like other nations”</w:t>
      </w:r>
      <w:r w:rsidR="008B5521" w:rsidRPr="001F52A8">
        <w:rPr>
          <w:lang w:val="en-US"/>
        </w:rPr>
        <w:t xml:space="preserve"> </w:t>
      </w:r>
      <w:r w:rsidR="003F290C">
        <w:rPr>
          <w:lang w:val="en-US"/>
        </w:rPr>
        <w:t xml:space="preserve">is </w:t>
      </w:r>
      <w:r w:rsidR="00CF1AC8">
        <w:rPr>
          <w:lang w:val="en-US"/>
        </w:rPr>
        <w:t>“a bid . . . for ordinariness</w:t>
      </w:r>
      <w:r w:rsidR="00751149">
        <w:rPr>
          <w:lang w:val="en-US"/>
        </w:rPr>
        <w:t>”</w:t>
      </w:r>
      <w:r w:rsidR="008202B9">
        <w:rPr>
          <w:lang w:val="en-US"/>
        </w:rPr>
        <w:t xml:space="preserve"> as a means to survival.</w:t>
      </w:r>
      <w:r w:rsidR="004907A4" w:rsidRPr="001F52A8">
        <w:rPr>
          <w:rStyle w:val="FootnoteReference"/>
          <w:rFonts w:cs="Calibri"/>
        </w:rPr>
        <w:footnoteReference w:id="113"/>
      </w:r>
      <w:r w:rsidR="00751149">
        <w:rPr>
          <w:lang w:val="en-US"/>
        </w:rPr>
        <w:t xml:space="preserve"> </w:t>
      </w:r>
      <w:r w:rsidR="00D93DBA" w:rsidRPr="001F52A8">
        <w:rPr>
          <w:lang w:val="en-US"/>
        </w:rPr>
        <w:t xml:space="preserve">Israel </w:t>
      </w:r>
      <w:r w:rsidR="00524443" w:rsidRPr="001F52A8">
        <w:rPr>
          <w:lang w:val="en-US"/>
        </w:rPr>
        <w:t xml:space="preserve">was designed </w:t>
      </w:r>
      <w:r w:rsidR="00D93DBA" w:rsidRPr="001F52A8">
        <w:rPr>
          <w:lang w:val="en-US"/>
        </w:rPr>
        <w:t>to be and to model something different.</w:t>
      </w:r>
      <w:r w:rsidR="0045752D">
        <w:rPr>
          <w:lang w:val="en-US"/>
        </w:rPr>
        <w:t xml:space="preserve"> </w:t>
      </w:r>
      <w:r w:rsidR="005E740F">
        <w:rPr>
          <w:rFonts w:cs="Calibri"/>
          <w:lang w:val="en-US"/>
        </w:rPr>
        <w:t>So t</w:t>
      </w:r>
      <w:r w:rsidR="0045752D" w:rsidRPr="001F52A8">
        <w:rPr>
          <w:rFonts w:cs="Calibri"/>
          <w:lang w:val="en-US"/>
        </w:rPr>
        <w:t xml:space="preserve">he elders who ask for a king adduce </w:t>
      </w:r>
      <w:r w:rsidR="0045752D">
        <w:rPr>
          <w:rFonts w:cs="Calibri"/>
          <w:lang w:val="en-US"/>
        </w:rPr>
        <w:t>bad</w:t>
      </w:r>
      <w:r w:rsidR="0045752D" w:rsidRPr="001F52A8">
        <w:rPr>
          <w:rFonts w:cs="Calibri"/>
          <w:lang w:val="en-US"/>
        </w:rPr>
        <w:t xml:space="preserve"> reasons as well as </w:t>
      </w:r>
      <w:r w:rsidR="0045752D">
        <w:rPr>
          <w:rFonts w:cs="Calibri"/>
          <w:lang w:val="en-US"/>
        </w:rPr>
        <w:t>defensible</w:t>
      </w:r>
      <w:r w:rsidR="0045752D" w:rsidRPr="001F52A8">
        <w:rPr>
          <w:rFonts w:cs="Calibri"/>
          <w:lang w:val="en-US"/>
        </w:rPr>
        <w:t xml:space="preserve"> ones (the Samuel</w:t>
      </w:r>
      <w:r w:rsidR="0045752D">
        <w:rPr>
          <w:rFonts w:cs="Calibri"/>
          <w:lang w:val="en-US"/>
        </w:rPr>
        <w:t xml:space="preserve"> </w:t>
      </w:r>
      <w:r w:rsidR="0045752D" w:rsidRPr="001F52A8">
        <w:rPr>
          <w:rFonts w:cs="Calibri"/>
          <w:lang w:val="en-US"/>
        </w:rPr>
        <w:t>sons are not suitable as successors to their father), and they seem persuaded not a bit by what Samuel warns.</w:t>
      </w:r>
      <w:r w:rsidR="0045752D" w:rsidRPr="001F52A8">
        <w:rPr>
          <w:rStyle w:val="FootnoteReference"/>
          <w:rFonts w:cs="Calibri"/>
          <w:lang w:val="en-US"/>
        </w:rPr>
        <w:footnoteReference w:id="114"/>
      </w:r>
    </w:p>
    <w:p w14:paraId="0B1578B8" w14:textId="66599126" w:rsidR="00F6506F" w:rsidRPr="001F52A8" w:rsidRDefault="008F3457" w:rsidP="00F6506F">
      <w:pPr>
        <w:pStyle w:val="ListParagraph"/>
        <w:numPr>
          <w:ilvl w:val="0"/>
          <w:numId w:val="7"/>
        </w:numPr>
        <w:ind w:left="720"/>
        <w:rPr>
          <w:rFonts w:asciiTheme="minorHAnsi" w:hAnsiTheme="minorHAnsi" w:cstheme="minorHAnsi"/>
          <w:lang w:val="en-US"/>
        </w:rPr>
      </w:pPr>
      <w:r w:rsidRPr="001F52A8">
        <w:rPr>
          <w:lang w:val="en-US"/>
        </w:rPr>
        <w:t xml:space="preserve">because the </w:t>
      </w:r>
      <w:r w:rsidR="00B83F8E" w:rsidRPr="001F52A8">
        <w:rPr>
          <w:lang w:val="en-US"/>
        </w:rPr>
        <w:t>people</w:t>
      </w:r>
      <w:r w:rsidR="00ED4F7B">
        <w:rPr>
          <w:lang w:val="en-US"/>
        </w:rPr>
        <w:t xml:space="preserve"> </w:t>
      </w:r>
      <w:r w:rsidR="00B83F8E" w:rsidRPr="001F52A8">
        <w:rPr>
          <w:lang w:val="en-US"/>
        </w:rPr>
        <w:t>are</w:t>
      </w:r>
      <w:r w:rsidR="00E50752" w:rsidRPr="001F52A8">
        <w:rPr>
          <w:lang w:val="en-US"/>
        </w:rPr>
        <w:t xml:space="preserve"> thereby rebuffing </w:t>
      </w:r>
      <w:r w:rsidR="00AF3B32" w:rsidRPr="001F52A8">
        <w:rPr>
          <w:lang w:val="en-US"/>
        </w:rPr>
        <w:t xml:space="preserve">Samuel as </w:t>
      </w:r>
      <w:r w:rsidR="00DE388A" w:rsidRPr="001F52A8">
        <w:rPr>
          <w:lang w:val="en-US"/>
        </w:rPr>
        <w:t xml:space="preserve">the person put in </w:t>
      </w:r>
      <w:r w:rsidR="00880BF7" w:rsidRPr="001F52A8">
        <w:rPr>
          <w:lang w:val="en-US"/>
        </w:rPr>
        <w:t>authority</w:t>
      </w:r>
      <w:r w:rsidR="00DE388A" w:rsidRPr="001F52A8">
        <w:rPr>
          <w:lang w:val="en-US"/>
        </w:rPr>
        <w:t xml:space="preserve"> by Yahweh</w:t>
      </w:r>
      <w:r w:rsidR="00880BF7" w:rsidRPr="001F52A8">
        <w:rPr>
          <w:lang w:val="en-US"/>
        </w:rPr>
        <w:t xml:space="preserve"> </w:t>
      </w:r>
      <w:r w:rsidR="00BB1FE4" w:rsidRPr="001F52A8">
        <w:rPr>
          <w:lang w:val="en-US"/>
        </w:rPr>
        <w:t>(though they could claim that Deut 17:14</w:t>
      </w:r>
      <w:r w:rsidR="00F07FD7" w:rsidRPr="001F52A8">
        <w:rPr>
          <w:lang w:val="en-US"/>
        </w:rPr>
        <w:t>-20</w:t>
      </w:r>
      <w:r w:rsidR="00BB1FE4" w:rsidRPr="001F52A8">
        <w:rPr>
          <w:lang w:val="en-US"/>
        </w:rPr>
        <w:t xml:space="preserve"> allows the appointment of a king</w:t>
      </w:r>
      <w:r w:rsidR="001C4FC0" w:rsidRPr="001F52A8">
        <w:rPr>
          <w:lang w:val="en-US"/>
        </w:rPr>
        <w:t xml:space="preserve"> </w:t>
      </w:r>
      <w:r w:rsidR="00F07FD7" w:rsidRPr="001F52A8">
        <w:rPr>
          <w:lang w:val="en-US"/>
        </w:rPr>
        <w:t>– by Yahweh</w:t>
      </w:r>
      <w:r w:rsidR="00BB1FE4" w:rsidRPr="001F52A8">
        <w:rPr>
          <w:lang w:val="en-US"/>
        </w:rPr>
        <w:t xml:space="preserve">) </w:t>
      </w:r>
      <w:r w:rsidR="00880BF7" w:rsidRPr="001F52A8">
        <w:rPr>
          <w:lang w:val="en-US"/>
        </w:rPr>
        <w:t xml:space="preserve">and/or </w:t>
      </w:r>
      <w:r w:rsidR="00DE388A" w:rsidRPr="001F52A8">
        <w:rPr>
          <w:lang w:val="en-US"/>
        </w:rPr>
        <w:t xml:space="preserve">rebuffing </w:t>
      </w:r>
      <w:r w:rsidR="00E50752" w:rsidRPr="001F52A8">
        <w:rPr>
          <w:lang w:val="en-US"/>
        </w:rPr>
        <w:t xml:space="preserve">Yahweh </w:t>
      </w:r>
      <w:r w:rsidR="00DE388A" w:rsidRPr="001F52A8">
        <w:rPr>
          <w:lang w:val="en-US"/>
        </w:rPr>
        <w:t>himself</w:t>
      </w:r>
      <w:r w:rsidR="00E03A47">
        <w:rPr>
          <w:lang w:val="en-US"/>
        </w:rPr>
        <w:t>,</w:t>
      </w:r>
      <w:r w:rsidR="00DE388A" w:rsidRPr="001F52A8">
        <w:rPr>
          <w:lang w:val="en-US"/>
        </w:rPr>
        <w:t xml:space="preserve"> </w:t>
      </w:r>
      <w:r w:rsidR="00F906CB" w:rsidRPr="001F52A8">
        <w:rPr>
          <w:lang w:val="en-US"/>
        </w:rPr>
        <w:t>in keeping with their consistent practice</w:t>
      </w:r>
      <w:r w:rsidR="005C6B6A" w:rsidRPr="001F52A8">
        <w:rPr>
          <w:lang w:val="en-US"/>
        </w:rPr>
        <w:t xml:space="preserve"> (8:</w:t>
      </w:r>
      <w:r w:rsidR="00D44C82" w:rsidRPr="001F52A8">
        <w:rPr>
          <w:lang w:val="en-US"/>
        </w:rPr>
        <w:t>6-8)</w:t>
      </w:r>
      <w:r w:rsidR="00EC3229" w:rsidRPr="001F52A8">
        <w:rPr>
          <w:lang w:val="en-US"/>
        </w:rPr>
        <w:t>.</w:t>
      </w:r>
      <w:r w:rsidR="00A276D5" w:rsidRPr="001F52A8">
        <w:rPr>
          <w:rFonts w:asciiTheme="minorHAnsi" w:hAnsiTheme="minorHAnsi" w:cstheme="minorHAnsi"/>
          <w:lang w:val="en-US"/>
        </w:rPr>
        <w:t xml:space="preserve"> </w:t>
      </w:r>
      <w:r w:rsidR="00080053">
        <w:rPr>
          <w:rFonts w:asciiTheme="minorHAnsi" w:hAnsiTheme="minorHAnsi" w:cstheme="minorHAnsi"/>
          <w:lang w:val="en-US"/>
        </w:rPr>
        <w:t>The king’s</w:t>
      </w:r>
      <w:r w:rsidR="00A276D5" w:rsidRPr="001F52A8">
        <w:rPr>
          <w:rFonts w:asciiTheme="minorHAnsi" w:hAnsiTheme="minorHAnsi" w:cstheme="minorHAnsi"/>
          <w:lang w:val="en-US"/>
        </w:rPr>
        <w:t xml:space="preserve"> appearance </w:t>
      </w:r>
      <w:r w:rsidR="00080053">
        <w:rPr>
          <w:rFonts w:asciiTheme="minorHAnsi" w:hAnsiTheme="minorHAnsi" w:cstheme="minorHAnsi"/>
          <w:lang w:val="en-US"/>
        </w:rPr>
        <w:t>“</w:t>
      </w:r>
      <w:r w:rsidR="00A276D5" w:rsidRPr="001F52A8">
        <w:rPr>
          <w:rFonts w:asciiTheme="minorHAnsi" w:hAnsiTheme="minorHAnsi" w:cstheme="minorHAnsi"/>
          <w:lang w:val="en-US"/>
        </w:rPr>
        <w:t>opens a new way to apostasy from the first commandment.”</w:t>
      </w:r>
      <w:r w:rsidR="00A276D5" w:rsidRPr="001F52A8">
        <w:rPr>
          <w:rStyle w:val="FootnoteReference"/>
          <w:rFonts w:asciiTheme="minorHAnsi" w:hAnsiTheme="minorHAnsi" w:cstheme="minorHAnsi"/>
          <w:lang w:val="en-US"/>
        </w:rPr>
        <w:footnoteReference w:id="115"/>
      </w:r>
    </w:p>
    <w:p w14:paraId="0CF9E282" w14:textId="6A9F7FB5" w:rsidR="00331BB5" w:rsidRPr="001F52A8" w:rsidRDefault="00D5388F" w:rsidP="003F18F9">
      <w:pPr>
        <w:pStyle w:val="ListParagraph"/>
        <w:numPr>
          <w:ilvl w:val="0"/>
          <w:numId w:val="7"/>
        </w:numPr>
        <w:ind w:left="720"/>
        <w:rPr>
          <w:lang w:val="en-US"/>
        </w:rPr>
      </w:pPr>
      <w:r w:rsidRPr="001F52A8">
        <w:rPr>
          <w:lang w:val="en-US"/>
        </w:rPr>
        <w:t>b</w:t>
      </w:r>
      <w:r w:rsidR="00331BB5" w:rsidRPr="001F52A8">
        <w:rPr>
          <w:lang w:val="en-US"/>
        </w:rPr>
        <w:t xml:space="preserve">ecause Yahweh </w:t>
      </w:r>
      <w:r w:rsidR="00412A32" w:rsidRPr="001F52A8">
        <w:rPr>
          <w:lang w:val="en-US"/>
        </w:rPr>
        <w:t>is prepared to do as they say</w:t>
      </w:r>
      <w:r w:rsidR="00331BB5" w:rsidRPr="001F52A8">
        <w:rPr>
          <w:lang w:val="en-US"/>
        </w:rPr>
        <w:t xml:space="preserve"> (8:</w:t>
      </w:r>
      <w:r w:rsidR="001F23C6" w:rsidRPr="001F52A8">
        <w:rPr>
          <w:lang w:val="en-US"/>
        </w:rPr>
        <w:t>7)</w:t>
      </w:r>
      <w:r w:rsidR="00412A32" w:rsidRPr="001F52A8">
        <w:rPr>
          <w:lang w:val="en-US"/>
        </w:rPr>
        <w:t>, though</w:t>
      </w:r>
      <w:r w:rsidR="00220C38" w:rsidRPr="001F52A8">
        <w:rPr>
          <w:lang w:val="en-US"/>
        </w:rPr>
        <w:t xml:space="preserve"> </w:t>
      </w:r>
      <w:r w:rsidR="00412A32" w:rsidRPr="001F52A8">
        <w:rPr>
          <w:lang w:val="en-US"/>
        </w:rPr>
        <w:t xml:space="preserve">he first </w:t>
      </w:r>
      <w:r w:rsidR="00220C38" w:rsidRPr="001F52A8">
        <w:rPr>
          <w:lang w:val="en-US"/>
        </w:rPr>
        <w:t>wants</w:t>
      </w:r>
      <w:r w:rsidR="00412A32" w:rsidRPr="001F52A8">
        <w:rPr>
          <w:lang w:val="en-US"/>
        </w:rPr>
        <w:t xml:space="preserve"> Samuel to get them to think about the implications</w:t>
      </w:r>
      <w:r w:rsidR="00E332A6" w:rsidRPr="001F52A8">
        <w:rPr>
          <w:lang w:val="en-US"/>
        </w:rPr>
        <w:t xml:space="preserve"> of their proposal</w:t>
      </w:r>
      <w:r w:rsidR="00412A32" w:rsidRPr="001F52A8">
        <w:rPr>
          <w:lang w:val="en-US"/>
        </w:rPr>
        <w:t>.</w:t>
      </w:r>
      <w:r w:rsidR="000426DC">
        <w:rPr>
          <w:lang w:val="en-US"/>
        </w:rPr>
        <w:t xml:space="preserve"> God “gives them up” to their own desires (cf. Rom </w:t>
      </w:r>
      <w:r w:rsidR="00D90B38">
        <w:rPr>
          <w:lang w:val="en-US"/>
        </w:rPr>
        <w:t>1:24, 26, 28).</w:t>
      </w:r>
      <w:r w:rsidR="00D90B38">
        <w:rPr>
          <w:rStyle w:val="FootnoteReference"/>
          <w:lang w:val="en-US"/>
        </w:rPr>
        <w:footnoteReference w:id="116"/>
      </w:r>
    </w:p>
    <w:p w14:paraId="110D946C" w14:textId="6079F68C" w:rsidR="00AA0DE9" w:rsidRPr="001F52A8" w:rsidRDefault="00517F15" w:rsidP="003F18F9">
      <w:pPr>
        <w:pStyle w:val="ListParagraph"/>
        <w:numPr>
          <w:ilvl w:val="0"/>
          <w:numId w:val="7"/>
        </w:numPr>
        <w:ind w:left="720"/>
        <w:rPr>
          <w:lang w:val="en-US"/>
        </w:rPr>
      </w:pPr>
      <w:r w:rsidRPr="001F52A8">
        <w:rPr>
          <w:lang w:val="en-US"/>
        </w:rPr>
        <w:t xml:space="preserve">even though they will find </w:t>
      </w:r>
      <w:r w:rsidR="007E7C6F" w:rsidRPr="001F52A8">
        <w:rPr>
          <w:lang w:val="en-US"/>
        </w:rPr>
        <w:t>having a king is</w:t>
      </w:r>
      <w:r w:rsidR="002A2BBA" w:rsidRPr="001F52A8">
        <w:rPr>
          <w:lang w:val="en-US"/>
        </w:rPr>
        <w:t xml:space="preserve"> </w:t>
      </w:r>
      <w:r w:rsidR="008C1B9C">
        <w:rPr>
          <w:lang w:val="en-US"/>
        </w:rPr>
        <w:t>expensive</w:t>
      </w:r>
      <w:r w:rsidR="00780630" w:rsidRPr="001F52A8">
        <w:rPr>
          <w:lang w:val="en-US"/>
        </w:rPr>
        <w:t xml:space="preserve"> (8:</w:t>
      </w:r>
      <w:r w:rsidR="00544D44" w:rsidRPr="001F52A8">
        <w:rPr>
          <w:lang w:val="en-US"/>
        </w:rPr>
        <w:t xml:space="preserve">9-17). </w:t>
      </w:r>
      <w:r w:rsidR="00F65E6F" w:rsidRPr="001F52A8">
        <w:rPr>
          <w:lang w:val="en-US"/>
        </w:rPr>
        <w:t>Central government costs money, even if it tries to be economic</w:t>
      </w:r>
      <w:r w:rsidR="00A14DF9" w:rsidRPr="001F52A8">
        <w:rPr>
          <w:lang w:val="en-US"/>
        </w:rPr>
        <w:t>, though in practice g</w:t>
      </w:r>
      <w:r w:rsidR="008A3BA6" w:rsidRPr="001F52A8">
        <w:rPr>
          <w:lang w:val="en-US"/>
        </w:rPr>
        <w:t>overnments don</w:t>
      </w:r>
      <w:r w:rsidR="008C1B9C">
        <w:rPr>
          <w:lang w:val="en-US"/>
        </w:rPr>
        <w:t>’</w:t>
      </w:r>
      <w:r w:rsidR="008A3BA6" w:rsidRPr="001F52A8">
        <w:rPr>
          <w:lang w:val="en-US"/>
        </w:rPr>
        <w:t xml:space="preserve">t try </w:t>
      </w:r>
      <w:r w:rsidR="0049585D" w:rsidRPr="001F52A8">
        <w:rPr>
          <w:lang w:val="en-US"/>
        </w:rPr>
        <w:t xml:space="preserve">hard </w:t>
      </w:r>
      <w:r w:rsidR="008A3BA6" w:rsidRPr="001F52A8">
        <w:rPr>
          <w:lang w:val="en-US"/>
        </w:rPr>
        <w:t>to be economic in the way they themselves live</w:t>
      </w:r>
      <w:r w:rsidR="0049585D" w:rsidRPr="001F52A8">
        <w:rPr>
          <w:lang w:val="en-US"/>
        </w:rPr>
        <w:t xml:space="preserve"> off the back of their people</w:t>
      </w:r>
      <w:r w:rsidR="00F65E6F" w:rsidRPr="001F52A8">
        <w:rPr>
          <w:lang w:val="en-US"/>
        </w:rPr>
        <w:t xml:space="preserve">. </w:t>
      </w:r>
      <w:r w:rsidR="00A51938" w:rsidRPr="001F52A8">
        <w:rPr>
          <w:lang w:val="en-US"/>
        </w:rPr>
        <w:t>“</w:t>
      </w:r>
      <w:r w:rsidR="00A51938" w:rsidRPr="001F52A8">
        <w:rPr>
          <w:rFonts w:eastAsia="LiberationSerif" w:cstheme="minorHAnsi"/>
          <w:lang w:val="en-US"/>
        </w:rPr>
        <w:t>From Samuel’s perspective,</w:t>
      </w:r>
      <w:r w:rsidR="00A51938" w:rsidRPr="001F52A8">
        <w:rPr>
          <w:lang w:val="en-US"/>
        </w:rPr>
        <w:t xml:space="preserve"> </w:t>
      </w:r>
      <w:r w:rsidR="00A51938" w:rsidRPr="001F52A8">
        <w:rPr>
          <w:rFonts w:eastAsia="LiberationSerif" w:cstheme="minorHAnsi"/>
          <w:lang w:val="en-US"/>
        </w:rPr>
        <w:t xml:space="preserve">what characterizes a king above all is that he will </w:t>
      </w:r>
      <w:r w:rsidR="00A51938" w:rsidRPr="001F52A8">
        <w:rPr>
          <w:rFonts w:eastAsia="LiberationSerif" w:cstheme="minorHAnsi"/>
          <w:i/>
          <w:iCs/>
          <w:lang w:val="en-US"/>
        </w:rPr>
        <w:t>take.</w:t>
      </w:r>
      <w:r w:rsidR="00A51938" w:rsidRPr="001F52A8">
        <w:rPr>
          <w:rFonts w:eastAsia="LiberationSerif" w:cstheme="minorHAnsi"/>
          <w:lang w:val="en-US"/>
        </w:rPr>
        <w:t>”</w:t>
      </w:r>
      <w:r w:rsidR="00A51938" w:rsidRPr="001F52A8">
        <w:rPr>
          <w:rStyle w:val="FootnoteReference"/>
          <w:rFonts w:eastAsia="LiberationSerif" w:cstheme="minorHAnsi"/>
          <w:lang w:val="en-US"/>
        </w:rPr>
        <w:footnoteReference w:id="117"/>
      </w:r>
      <w:r w:rsidR="00A51938" w:rsidRPr="001F52A8">
        <w:rPr>
          <w:rFonts w:eastAsia="LiberationSerif" w:cstheme="minorHAnsi"/>
          <w:lang w:val="en-US"/>
        </w:rPr>
        <w:t xml:space="preserve"> </w:t>
      </w:r>
      <w:r w:rsidR="00E838A1" w:rsidRPr="001F52A8">
        <w:rPr>
          <w:rFonts w:eastAsia="LiberationSerif" w:cstheme="minorHAnsi"/>
          <w:lang w:val="en-US"/>
        </w:rPr>
        <w:t>He can later claim to have been cheaper</w:t>
      </w:r>
      <w:r w:rsidR="009E2610" w:rsidRPr="001F52A8">
        <w:rPr>
          <w:rFonts w:eastAsia="LiberationSerif" w:cstheme="minorHAnsi"/>
          <w:lang w:val="en-US"/>
        </w:rPr>
        <w:t>, even if his sons were not</w:t>
      </w:r>
      <w:r w:rsidR="00E838A1" w:rsidRPr="001F52A8">
        <w:rPr>
          <w:rFonts w:eastAsia="LiberationSerif" w:cstheme="minorHAnsi"/>
          <w:lang w:val="en-US"/>
        </w:rPr>
        <w:t xml:space="preserve"> (12:</w:t>
      </w:r>
      <w:r w:rsidR="009E2610" w:rsidRPr="001F52A8">
        <w:rPr>
          <w:rFonts w:eastAsia="LiberationSerif" w:cstheme="minorHAnsi"/>
          <w:lang w:val="en-US"/>
        </w:rPr>
        <w:t>1-5</w:t>
      </w:r>
      <w:r w:rsidR="00DE7DDE" w:rsidRPr="001F52A8">
        <w:rPr>
          <w:rFonts w:eastAsia="LiberationSerif" w:cstheme="minorHAnsi"/>
          <w:lang w:val="en-US"/>
        </w:rPr>
        <w:t>; “take</w:t>
      </w:r>
      <w:r w:rsidR="000617F4" w:rsidRPr="001F52A8">
        <w:rPr>
          <w:rFonts w:eastAsia="LiberationSerif" w:cstheme="minorHAnsi"/>
          <w:lang w:val="en-US"/>
        </w:rPr>
        <w:t>” recurs there, too</w:t>
      </w:r>
      <w:r w:rsidR="009E2610" w:rsidRPr="001F52A8">
        <w:rPr>
          <w:rFonts w:eastAsia="LiberationSerif" w:cstheme="minorHAnsi"/>
          <w:lang w:val="en-US"/>
        </w:rPr>
        <w:t>).</w:t>
      </w:r>
      <w:r w:rsidR="000617F4" w:rsidRPr="001F52A8">
        <w:rPr>
          <w:rStyle w:val="FootnoteReference"/>
          <w:rFonts w:eastAsia="LiberationSerif" w:cstheme="minorHAnsi"/>
          <w:lang w:val="en-US"/>
        </w:rPr>
        <w:footnoteReference w:id="118"/>
      </w:r>
      <w:r w:rsidR="009E2610" w:rsidRPr="001F52A8">
        <w:rPr>
          <w:rFonts w:eastAsia="LiberationSerif" w:cstheme="minorHAnsi"/>
          <w:lang w:val="en-US"/>
        </w:rPr>
        <w:t xml:space="preserve"> </w:t>
      </w:r>
      <w:r w:rsidR="00E7534C" w:rsidRPr="001F52A8">
        <w:rPr>
          <w:lang w:val="en-US"/>
        </w:rPr>
        <w:t>But</w:t>
      </w:r>
      <w:r w:rsidR="00F65E6F" w:rsidRPr="001F52A8">
        <w:rPr>
          <w:lang w:val="en-US"/>
        </w:rPr>
        <w:t xml:space="preserve"> a government has to be fed</w:t>
      </w:r>
      <w:r w:rsidR="0000067C" w:rsidRPr="001F52A8">
        <w:rPr>
          <w:lang w:val="en-US"/>
        </w:rPr>
        <w:t>, and the</w:t>
      </w:r>
      <w:r w:rsidR="008C1B9C">
        <w:rPr>
          <w:lang w:val="en-US"/>
        </w:rPr>
        <w:t xml:space="preserve"> people</w:t>
      </w:r>
      <w:r w:rsidR="00F65E6F" w:rsidRPr="001F52A8">
        <w:rPr>
          <w:lang w:val="en-US"/>
        </w:rPr>
        <w:t xml:space="preserve"> are going to have to foot the bill</w:t>
      </w:r>
      <w:r w:rsidR="00E80AA0" w:rsidRPr="001F52A8">
        <w:rPr>
          <w:lang w:val="en-US"/>
        </w:rPr>
        <w:t>.</w:t>
      </w:r>
      <w:r w:rsidR="005A509F" w:rsidRPr="001F52A8">
        <w:rPr>
          <w:lang w:val="en-US"/>
        </w:rPr>
        <w:t xml:space="preserve"> </w:t>
      </w:r>
      <w:r w:rsidR="002E57D2" w:rsidRPr="001F52A8">
        <w:rPr>
          <w:lang w:val="en-US"/>
        </w:rPr>
        <w:t>To be less anachronistic, it’s all going to cost labor</w:t>
      </w:r>
      <w:r w:rsidR="000E3E98" w:rsidRPr="001F52A8">
        <w:rPr>
          <w:lang w:val="en-US"/>
        </w:rPr>
        <w:t xml:space="preserve">, the price being mostly paid by people </w:t>
      </w:r>
      <w:r w:rsidR="002E57D2" w:rsidRPr="001F52A8">
        <w:rPr>
          <w:lang w:val="en-US"/>
        </w:rPr>
        <w:t xml:space="preserve">other </w:t>
      </w:r>
      <w:r w:rsidR="000E3E98" w:rsidRPr="001F52A8">
        <w:rPr>
          <w:lang w:val="en-US"/>
        </w:rPr>
        <w:t>than the elders themselves.</w:t>
      </w:r>
      <w:r w:rsidR="00AD01ED" w:rsidRPr="001F52A8">
        <w:rPr>
          <w:rStyle w:val="FootnoteReference"/>
          <w:lang w:val="en-US"/>
        </w:rPr>
        <w:footnoteReference w:id="119"/>
      </w:r>
      <w:r w:rsidR="000E3E98" w:rsidRPr="001F52A8">
        <w:rPr>
          <w:lang w:val="en-US"/>
        </w:rPr>
        <w:t xml:space="preserve"> </w:t>
      </w:r>
      <w:r w:rsidR="005A509F" w:rsidRPr="001F52A8">
        <w:rPr>
          <w:lang w:val="en-US"/>
        </w:rPr>
        <w:t xml:space="preserve">There is </w:t>
      </w:r>
      <w:r w:rsidR="00E44C20" w:rsidRPr="001F52A8">
        <w:rPr>
          <w:lang w:val="en-US"/>
        </w:rPr>
        <w:t>yet more</w:t>
      </w:r>
      <w:r w:rsidR="005A509F" w:rsidRPr="001F52A8">
        <w:rPr>
          <w:lang w:val="en-US"/>
        </w:rPr>
        <w:t xml:space="preserve"> irony </w:t>
      </w:r>
      <w:r w:rsidR="00E44C20" w:rsidRPr="001F52A8">
        <w:rPr>
          <w:lang w:val="en-US"/>
        </w:rPr>
        <w:t>in</w:t>
      </w:r>
      <w:r w:rsidR="005A509F" w:rsidRPr="001F52A8">
        <w:rPr>
          <w:lang w:val="en-US"/>
        </w:rPr>
        <w:t xml:space="preserve"> </w:t>
      </w:r>
      <w:r w:rsidR="00336905" w:rsidRPr="001F52A8">
        <w:rPr>
          <w:lang w:val="en-US"/>
        </w:rPr>
        <w:t xml:space="preserve">the </w:t>
      </w:r>
      <w:r w:rsidR="00E44C20" w:rsidRPr="001F52A8">
        <w:rPr>
          <w:lang w:val="en-US"/>
        </w:rPr>
        <w:t xml:space="preserve">fact that this warning is </w:t>
      </w:r>
      <w:r w:rsidR="00B11A07" w:rsidRPr="001F52A8">
        <w:rPr>
          <w:lang w:val="en-US"/>
        </w:rPr>
        <w:t xml:space="preserve">labelled as a </w:t>
      </w:r>
      <w:r w:rsidR="00336905" w:rsidRPr="001F52A8">
        <w:rPr>
          <w:lang w:val="en-US"/>
        </w:rPr>
        <w:t xml:space="preserve">description of the way the king will </w:t>
      </w:r>
      <w:r w:rsidR="00336905" w:rsidRPr="001F52A8">
        <w:rPr>
          <w:lang w:val="en-US"/>
        </w:rPr>
        <w:lastRenderedPageBreak/>
        <w:t>exercise authority</w:t>
      </w:r>
      <w:r w:rsidR="00B11A07" w:rsidRPr="001F52A8">
        <w:rPr>
          <w:lang w:val="en-US"/>
        </w:rPr>
        <w:t xml:space="preserve">, of </w:t>
      </w:r>
      <w:r w:rsidR="00B223B1" w:rsidRPr="001F52A8">
        <w:rPr>
          <w:lang w:val="en-US"/>
        </w:rPr>
        <w:t xml:space="preserve">his </w:t>
      </w:r>
      <w:r w:rsidR="00B223B1" w:rsidRPr="001F52A8">
        <w:rPr>
          <w:i/>
          <w:iCs/>
          <w:lang w:val="en-US"/>
        </w:rPr>
        <w:t>mi</w:t>
      </w:r>
      <w:r w:rsidR="00B223B1" w:rsidRPr="001F52A8">
        <w:rPr>
          <w:rFonts w:cs="Calibri"/>
          <w:i/>
          <w:iCs/>
          <w:lang w:val="en-US"/>
        </w:rPr>
        <w:t>špāṭ</w:t>
      </w:r>
      <w:r w:rsidR="00BA33D3" w:rsidRPr="001F52A8">
        <w:rPr>
          <w:rFonts w:cs="Calibri"/>
          <w:lang w:val="en-US"/>
        </w:rPr>
        <w:t>. O</w:t>
      </w:r>
      <w:r w:rsidR="00EC5ADF" w:rsidRPr="001F52A8">
        <w:rPr>
          <w:rFonts w:cs="Calibri"/>
          <w:lang w:val="en-US"/>
        </w:rPr>
        <w:t xml:space="preserve">ne would </w:t>
      </w:r>
      <w:r w:rsidR="00BE1358" w:rsidRPr="001F52A8">
        <w:rPr>
          <w:rFonts w:cs="Calibri"/>
          <w:lang w:val="en-US"/>
        </w:rPr>
        <w:t xml:space="preserve">have </w:t>
      </w:r>
      <w:r w:rsidR="00EC5ADF" w:rsidRPr="001F52A8">
        <w:rPr>
          <w:rFonts w:cs="Calibri"/>
          <w:lang w:val="en-US"/>
        </w:rPr>
        <w:t>hope</w:t>
      </w:r>
      <w:r w:rsidR="00BE1358" w:rsidRPr="001F52A8">
        <w:rPr>
          <w:rFonts w:cs="Calibri"/>
          <w:lang w:val="en-US"/>
        </w:rPr>
        <w:t>d</w:t>
      </w:r>
      <w:r w:rsidR="00EC5ADF" w:rsidRPr="001F52A8">
        <w:rPr>
          <w:rFonts w:cs="Calibri"/>
          <w:lang w:val="en-US"/>
        </w:rPr>
        <w:t xml:space="preserve"> </w:t>
      </w:r>
      <w:r w:rsidR="007253C7" w:rsidRPr="001F52A8">
        <w:rPr>
          <w:rFonts w:cs="Calibri"/>
          <w:lang w:val="en-US"/>
        </w:rPr>
        <w:t xml:space="preserve">that a description of the king’s </w:t>
      </w:r>
      <w:r w:rsidR="007253C7" w:rsidRPr="001F52A8">
        <w:rPr>
          <w:i/>
          <w:iCs/>
          <w:lang w:val="en-US"/>
        </w:rPr>
        <w:t>mi</w:t>
      </w:r>
      <w:r w:rsidR="007253C7" w:rsidRPr="001F52A8">
        <w:rPr>
          <w:rFonts w:cs="Calibri"/>
          <w:i/>
          <w:iCs/>
          <w:lang w:val="en-US"/>
        </w:rPr>
        <w:t>špāṭ</w:t>
      </w:r>
      <w:r w:rsidR="00C01FDF" w:rsidRPr="001F52A8">
        <w:rPr>
          <w:rFonts w:cs="Calibri"/>
          <w:lang w:val="en-US"/>
        </w:rPr>
        <w:t xml:space="preserve"> would have been more positively prescriptive </w:t>
      </w:r>
      <w:r w:rsidR="00974947">
        <w:rPr>
          <w:rFonts w:cs="Calibri"/>
          <w:lang w:val="en-US"/>
        </w:rPr>
        <w:t>for</w:t>
      </w:r>
      <w:r w:rsidR="00C01FDF" w:rsidRPr="001F52A8">
        <w:rPr>
          <w:rFonts w:cs="Calibri"/>
          <w:lang w:val="en-US"/>
        </w:rPr>
        <w:t xml:space="preserve"> the people’s </w:t>
      </w:r>
      <w:r w:rsidR="00974947">
        <w:rPr>
          <w:rFonts w:cs="Calibri"/>
          <w:lang w:val="en-US"/>
        </w:rPr>
        <w:t>sake</w:t>
      </w:r>
      <w:r w:rsidR="00257ED2" w:rsidRPr="001F52A8">
        <w:rPr>
          <w:rFonts w:cs="Calibri"/>
          <w:lang w:val="en-US"/>
        </w:rPr>
        <w:t>, like (one hopes)</w:t>
      </w:r>
      <w:r w:rsidR="007253C7" w:rsidRPr="001F52A8">
        <w:rPr>
          <w:rFonts w:cs="Calibri"/>
          <w:lang w:val="en-US"/>
        </w:rPr>
        <w:t xml:space="preserve"> the account of</w:t>
      </w:r>
      <w:r w:rsidR="00874D25">
        <w:rPr>
          <w:rFonts w:cs="Calibri"/>
          <w:lang w:val="en-US"/>
        </w:rPr>
        <w:t xml:space="preserve"> it</w:t>
      </w:r>
      <w:r w:rsidR="007253C7" w:rsidRPr="001F52A8">
        <w:rPr>
          <w:rFonts w:cs="Calibri"/>
          <w:lang w:val="en-US"/>
        </w:rPr>
        <w:t xml:space="preserve"> </w:t>
      </w:r>
      <w:r w:rsidR="00F412E4" w:rsidRPr="001F52A8">
        <w:rPr>
          <w:rFonts w:cs="Calibri"/>
          <w:lang w:val="en-US"/>
        </w:rPr>
        <w:t>in 10:25</w:t>
      </w:r>
      <w:r w:rsidR="00580F5A" w:rsidRPr="001F52A8">
        <w:rPr>
          <w:rFonts w:cs="Calibri"/>
          <w:lang w:val="en-US"/>
        </w:rPr>
        <w:t xml:space="preserve"> (cf. 2 Sam </w:t>
      </w:r>
      <w:r w:rsidR="00643D81" w:rsidRPr="001F52A8">
        <w:rPr>
          <w:rFonts w:cs="Calibri"/>
          <w:lang w:val="en-US"/>
        </w:rPr>
        <w:t>8:15).</w:t>
      </w:r>
      <w:r w:rsidR="006B2C7C" w:rsidRPr="001F52A8">
        <w:rPr>
          <w:rFonts w:cs="Calibri"/>
          <w:lang w:val="en-US"/>
        </w:rPr>
        <w:t xml:space="preserve"> Here </w:t>
      </w:r>
      <w:r w:rsidR="00BA33D3" w:rsidRPr="001F52A8">
        <w:rPr>
          <w:rFonts w:cs="Calibri"/>
          <w:lang w:val="en-US"/>
        </w:rPr>
        <w:t xml:space="preserve">the king’s </w:t>
      </w:r>
      <w:r w:rsidR="00BA33D3" w:rsidRPr="001F52A8">
        <w:rPr>
          <w:i/>
          <w:iCs/>
          <w:lang w:val="en-US"/>
        </w:rPr>
        <w:t>mi</w:t>
      </w:r>
      <w:r w:rsidR="00BA33D3" w:rsidRPr="001F52A8">
        <w:rPr>
          <w:rFonts w:cs="Calibri"/>
          <w:i/>
          <w:iCs/>
          <w:lang w:val="en-US"/>
        </w:rPr>
        <w:t>špāṭ</w:t>
      </w:r>
      <w:r w:rsidR="00BA33D3" w:rsidRPr="001F52A8">
        <w:rPr>
          <w:rFonts w:cs="Calibri"/>
          <w:lang w:val="en-US"/>
        </w:rPr>
        <w:t xml:space="preserve"> </w:t>
      </w:r>
      <w:r w:rsidR="000730BF">
        <w:rPr>
          <w:rFonts w:cs="Calibri"/>
          <w:lang w:val="en-US"/>
        </w:rPr>
        <w:t>is</w:t>
      </w:r>
      <w:r w:rsidR="006B2C7C" w:rsidRPr="001F52A8">
        <w:rPr>
          <w:rFonts w:cs="Calibri"/>
          <w:lang w:val="en-US"/>
        </w:rPr>
        <w:t xml:space="preserve"> simply what </w:t>
      </w:r>
      <w:r w:rsidR="00BA33D3" w:rsidRPr="001F52A8">
        <w:rPr>
          <w:rFonts w:cs="Calibri"/>
          <w:lang w:val="en-US"/>
        </w:rPr>
        <w:t>he</w:t>
      </w:r>
      <w:r w:rsidR="006B2C7C" w:rsidRPr="001F52A8">
        <w:rPr>
          <w:rFonts w:cs="Calibri"/>
          <w:lang w:val="en-US"/>
        </w:rPr>
        <w:t xml:space="preserve"> will legitimately be entitled to do in making kingship work</w:t>
      </w:r>
      <w:r w:rsidR="001C729B">
        <w:rPr>
          <w:rFonts w:cs="Calibri"/>
          <w:lang w:val="en-US"/>
        </w:rPr>
        <w:t>; it</w:t>
      </w:r>
      <w:r w:rsidR="00640F58">
        <w:rPr>
          <w:rFonts w:cs="Calibri"/>
          <w:lang w:val="en-US"/>
        </w:rPr>
        <w:t xml:space="preserve"> means more than “custom” or “manner.”</w:t>
      </w:r>
      <w:r w:rsidR="006A4EFD">
        <w:rPr>
          <w:rStyle w:val="FootnoteReference"/>
          <w:rFonts w:cs="Calibri"/>
          <w:lang w:val="en-US"/>
        </w:rPr>
        <w:footnoteReference w:id="120"/>
      </w:r>
      <w:r w:rsidR="00640F58">
        <w:rPr>
          <w:rFonts w:cs="Calibri"/>
          <w:lang w:val="en-US"/>
        </w:rPr>
        <w:t xml:space="preserve"> </w:t>
      </w:r>
      <w:r w:rsidR="008A1323" w:rsidRPr="001F52A8">
        <w:rPr>
          <w:rFonts w:cs="Calibri"/>
          <w:lang w:val="en-US"/>
        </w:rPr>
        <w:t xml:space="preserve">But </w:t>
      </w:r>
      <w:r w:rsidR="00595C5B" w:rsidRPr="001F52A8">
        <w:rPr>
          <w:rFonts w:cs="Calibri"/>
          <w:lang w:val="en-US"/>
        </w:rPr>
        <w:t xml:space="preserve">at least </w:t>
      </w:r>
      <w:r w:rsidR="008A1323" w:rsidRPr="001F52A8">
        <w:rPr>
          <w:rFonts w:cs="Calibri"/>
          <w:lang w:val="en-US"/>
        </w:rPr>
        <w:t xml:space="preserve">the </w:t>
      </w:r>
      <w:r w:rsidR="0048232C" w:rsidRPr="001F52A8">
        <w:rPr>
          <w:rFonts w:cs="Calibri"/>
          <w:lang w:val="en-US"/>
        </w:rPr>
        <w:t>“rule” may draw attention to limits that a king must respect.</w:t>
      </w:r>
      <w:r w:rsidR="0048232C" w:rsidRPr="001F52A8">
        <w:rPr>
          <w:rStyle w:val="FootnoteReference"/>
          <w:rFonts w:cs="Calibri"/>
          <w:lang w:val="en-US"/>
        </w:rPr>
        <w:footnoteReference w:id="121"/>
      </w:r>
    </w:p>
    <w:p w14:paraId="0F004D53" w14:textId="5679AB0B" w:rsidR="00AD20B7" w:rsidRPr="001F52A8" w:rsidRDefault="00AA0DE9" w:rsidP="00AD20B7">
      <w:pPr>
        <w:pStyle w:val="ListParagraph"/>
        <w:numPr>
          <w:ilvl w:val="0"/>
          <w:numId w:val="7"/>
        </w:numPr>
        <w:ind w:left="720"/>
        <w:rPr>
          <w:rFonts w:asciiTheme="minorHAnsi" w:hAnsiTheme="minorHAnsi" w:cstheme="minorHAnsi"/>
          <w:lang w:val="en-US"/>
        </w:rPr>
      </w:pPr>
      <w:r w:rsidRPr="001F52A8">
        <w:rPr>
          <w:lang w:val="en-US"/>
        </w:rPr>
        <w:t xml:space="preserve">even though </w:t>
      </w:r>
      <w:r w:rsidR="00720374" w:rsidRPr="001F52A8">
        <w:rPr>
          <w:lang w:val="en-US"/>
        </w:rPr>
        <w:t>the king</w:t>
      </w:r>
      <w:r w:rsidR="00101151" w:rsidRPr="001F52A8">
        <w:rPr>
          <w:lang w:val="en-US"/>
        </w:rPr>
        <w:t xml:space="preserve"> will be </w:t>
      </w:r>
      <w:r w:rsidR="00537AC5" w:rsidRPr="001F52A8">
        <w:rPr>
          <w:lang w:val="en-US"/>
        </w:rPr>
        <w:t xml:space="preserve">one who </w:t>
      </w:r>
      <w:r w:rsidR="00E80AA0" w:rsidRPr="001F52A8">
        <w:rPr>
          <w:lang w:val="en-US"/>
        </w:rPr>
        <w:t xml:space="preserve">thus </w:t>
      </w:r>
      <w:r w:rsidR="00537AC5" w:rsidRPr="001F52A8">
        <w:rPr>
          <w:lang w:val="en-US"/>
        </w:rPr>
        <w:t>puts them into servitude and makes them cry out</w:t>
      </w:r>
      <w:r w:rsidRPr="001F52A8">
        <w:rPr>
          <w:lang w:val="en-US"/>
        </w:rPr>
        <w:t>, instead of being a liberator when they cry out</w:t>
      </w:r>
      <w:r w:rsidR="00712B53" w:rsidRPr="001F52A8">
        <w:rPr>
          <w:lang w:val="en-US"/>
        </w:rPr>
        <w:t xml:space="preserve"> (8:18)</w:t>
      </w:r>
      <w:r w:rsidR="00A95B2E" w:rsidRPr="001F52A8">
        <w:rPr>
          <w:lang w:val="en-US"/>
        </w:rPr>
        <w:t>.</w:t>
      </w:r>
      <w:r w:rsidR="00537AC5" w:rsidRPr="001F52A8">
        <w:rPr>
          <w:rStyle w:val="FootnoteReference"/>
          <w:lang w:val="en-US"/>
        </w:rPr>
        <w:footnoteReference w:id="122"/>
      </w:r>
      <w:r w:rsidR="000A7000" w:rsidRPr="001F52A8">
        <w:rPr>
          <w:lang w:val="en-US"/>
        </w:rPr>
        <w:t xml:space="preserve"> </w:t>
      </w:r>
      <w:r w:rsidR="00A95B2E" w:rsidRPr="001F52A8">
        <w:rPr>
          <w:lang w:val="en-US"/>
        </w:rPr>
        <w:t>A</w:t>
      </w:r>
      <w:r w:rsidR="000A7000" w:rsidRPr="001F52A8">
        <w:rPr>
          <w:lang w:val="en-US"/>
        </w:rPr>
        <w:t>nd</w:t>
      </w:r>
      <w:r w:rsidR="008E3B0A" w:rsidRPr="001F52A8">
        <w:rPr>
          <w:lang w:val="en-US"/>
        </w:rPr>
        <w:t xml:space="preserve"> when they do cry out thus, </w:t>
      </w:r>
      <w:r w:rsidR="000A7000" w:rsidRPr="001F52A8">
        <w:rPr>
          <w:lang w:val="en-US"/>
        </w:rPr>
        <w:t>Yahweh will not respond</w:t>
      </w:r>
      <w:r w:rsidR="00A95B2E" w:rsidRPr="001F52A8">
        <w:rPr>
          <w:lang w:val="en-US"/>
        </w:rPr>
        <w:t>. They have chosen their alternative bed and they will have to lie in it</w:t>
      </w:r>
      <w:r w:rsidR="004A5827" w:rsidRPr="001F52A8">
        <w:rPr>
          <w:lang w:val="en-US"/>
        </w:rPr>
        <w:t>.</w:t>
      </w:r>
      <w:r w:rsidR="00737FCF" w:rsidRPr="001F52A8">
        <w:rPr>
          <w:lang w:val="en-US"/>
        </w:rPr>
        <w:t xml:space="preserve"> </w:t>
      </w:r>
      <w:r w:rsidR="009C6A14" w:rsidRPr="001F52A8">
        <w:rPr>
          <w:lang w:val="en-US"/>
        </w:rPr>
        <w:t xml:space="preserve">To put it more positively, they will learn a painful lesson if they insist on their </w:t>
      </w:r>
      <w:r w:rsidR="00377048" w:rsidRPr="001F52A8">
        <w:rPr>
          <w:lang w:val="en-US"/>
        </w:rPr>
        <w:t>request</w:t>
      </w:r>
      <w:r w:rsidR="009C6A14" w:rsidRPr="001F52A8">
        <w:rPr>
          <w:lang w:val="en-US"/>
        </w:rPr>
        <w:t>.</w:t>
      </w:r>
      <w:r w:rsidR="00292553" w:rsidRPr="001F52A8">
        <w:rPr>
          <w:lang w:val="en-US"/>
        </w:rPr>
        <w:t xml:space="preserve"> To put it even more positively, </w:t>
      </w:r>
      <w:r w:rsidR="00AD20B7" w:rsidRPr="001F52A8">
        <w:rPr>
          <w:lang w:val="en-US"/>
        </w:rPr>
        <w:t xml:space="preserve">though </w:t>
      </w:r>
      <w:r w:rsidR="00AD20B7" w:rsidRPr="001F52A8">
        <w:rPr>
          <w:rFonts w:asciiTheme="minorHAnsi" w:hAnsiTheme="minorHAnsi" w:cstheme="minorHAnsi"/>
          <w:lang w:val="en-US"/>
        </w:rPr>
        <w:t>the monarchy will fail, it is nevertheless “a sign act” that “will provide a continuing testimony to God’s righteousness, to the people’s faithlessness, and to the difference between a human kingdom and the kingdom of God.”</w:t>
      </w:r>
      <w:r w:rsidR="00AD20B7" w:rsidRPr="001F52A8">
        <w:rPr>
          <w:rStyle w:val="FootnoteReference"/>
          <w:rFonts w:asciiTheme="minorHAnsi" w:hAnsiTheme="minorHAnsi" w:cstheme="minorHAnsi"/>
          <w:lang w:val="en-US"/>
        </w:rPr>
        <w:footnoteReference w:id="123"/>
      </w:r>
    </w:p>
    <w:p w14:paraId="1A5475CE" w14:textId="3D4CB170" w:rsidR="001C11BB" w:rsidRPr="001F52A8" w:rsidRDefault="004A5827" w:rsidP="00B66270">
      <w:pPr>
        <w:pStyle w:val="ListParagraph"/>
        <w:numPr>
          <w:ilvl w:val="0"/>
          <w:numId w:val="7"/>
        </w:numPr>
        <w:ind w:left="720"/>
        <w:rPr>
          <w:lang w:val="en-US"/>
        </w:rPr>
      </w:pPr>
      <w:r w:rsidRPr="001F52A8">
        <w:rPr>
          <w:lang w:val="en-US"/>
        </w:rPr>
        <w:t>because they nevertheless insist on having a kin</w:t>
      </w:r>
      <w:r w:rsidR="00B2060A" w:rsidRPr="001F52A8">
        <w:rPr>
          <w:lang w:val="en-US"/>
        </w:rPr>
        <w:t>g; they feel the need of someone to fight their battles (8:19-20)</w:t>
      </w:r>
      <w:r w:rsidR="00EF2A29" w:rsidRPr="001F52A8">
        <w:rPr>
          <w:lang w:val="en-US"/>
        </w:rPr>
        <w:t>.</w:t>
      </w:r>
      <w:r w:rsidR="00B2060A" w:rsidRPr="001F52A8">
        <w:rPr>
          <w:lang w:val="en-US"/>
        </w:rPr>
        <w:t xml:space="preserve"> In itemizing the cost, Samuel ma</w:t>
      </w:r>
      <w:r w:rsidR="00EF2A29" w:rsidRPr="001F52A8">
        <w:rPr>
          <w:lang w:val="en-US"/>
        </w:rPr>
        <w:t>de</w:t>
      </w:r>
      <w:r w:rsidR="00B2060A" w:rsidRPr="001F52A8">
        <w:rPr>
          <w:lang w:val="en-US"/>
        </w:rPr>
        <w:t xml:space="preserve"> more explicit t</w:t>
      </w:r>
      <w:r w:rsidR="00BC4616" w:rsidRPr="001F52A8">
        <w:rPr>
          <w:lang w:val="en-US"/>
        </w:rPr>
        <w:t>hat</w:t>
      </w:r>
      <w:r w:rsidR="00B2060A" w:rsidRPr="001F52A8">
        <w:rPr>
          <w:lang w:val="en-US"/>
        </w:rPr>
        <w:t xml:space="preserve"> having a king like other nations impl</w:t>
      </w:r>
      <w:r w:rsidR="003F0C98" w:rsidRPr="001F52A8">
        <w:rPr>
          <w:lang w:val="en-US"/>
        </w:rPr>
        <w:t>ies the general assumption</w:t>
      </w:r>
      <w:r w:rsidR="00B2060A" w:rsidRPr="001F52A8">
        <w:rPr>
          <w:lang w:val="en-US"/>
        </w:rPr>
        <w:t xml:space="preserve"> that the main task of a government is its people’s protection. The Philistine imbroglio has shown </w:t>
      </w:r>
      <w:r w:rsidR="00575FA3">
        <w:rPr>
          <w:lang w:val="en-US"/>
        </w:rPr>
        <w:t>this</w:t>
      </w:r>
      <w:r w:rsidR="00B2060A" w:rsidRPr="001F52A8">
        <w:rPr>
          <w:lang w:val="en-US"/>
        </w:rPr>
        <w:t xml:space="preserve"> necessary</w:t>
      </w:r>
      <w:r w:rsidR="003F0C98" w:rsidRPr="001F52A8">
        <w:rPr>
          <w:lang w:val="en-US"/>
        </w:rPr>
        <w:t xml:space="preserve"> in the past</w:t>
      </w:r>
      <w:r w:rsidR="00B2060A" w:rsidRPr="001F52A8">
        <w:rPr>
          <w:lang w:val="en-US"/>
        </w:rPr>
        <w:t xml:space="preserve">, and the surprising fact that there is apparently </w:t>
      </w:r>
      <w:r w:rsidR="00E975D1" w:rsidRPr="001F52A8">
        <w:rPr>
          <w:lang w:val="en-US"/>
        </w:rPr>
        <w:t xml:space="preserve">now </w:t>
      </w:r>
      <w:r w:rsidR="00B2060A" w:rsidRPr="001F52A8">
        <w:rPr>
          <w:lang w:val="en-US"/>
        </w:rPr>
        <w:t>a Philistine base in the vicinity (10:5) also suggests the need. In</w:t>
      </w:r>
      <w:r w:rsidR="00B97E0E" w:rsidRPr="001F52A8">
        <w:rPr>
          <w:lang w:val="en-US"/>
        </w:rPr>
        <w:t xml:space="preserve"> a moment</w:t>
      </w:r>
      <w:r w:rsidR="00B2060A" w:rsidRPr="001F52A8">
        <w:rPr>
          <w:lang w:val="en-US"/>
        </w:rPr>
        <w:t xml:space="preserve"> Yahweh </w:t>
      </w:r>
      <w:r w:rsidR="00B97E0E" w:rsidRPr="001F52A8">
        <w:rPr>
          <w:lang w:val="en-US"/>
        </w:rPr>
        <w:t xml:space="preserve">will </w:t>
      </w:r>
      <w:r w:rsidR="00B2060A" w:rsidRPr="001F52A8">
        <w:rPr>
          <w:lang w:val="en-US"/>
        </w:rPr>
        <w:t xml:space="preserve">refer to the people’s need for deliverance from the Philistines and </w:t>
      </w:r>
      <w:r w:rsidR="00B97E0E" w:rsidRPr="001F52A8">
        <w:rPr>
          <w:lang w:val="en-US"/>
        </w:rPr>
        <w:t xml:space="preserve">to </w:t>
      </w:r>
      <w:r w:rsidR="00B2060A" w:rsidRPr="001F52A8">
        <w:rPr>
          <w:lang w:val="en-US"/>
        </w:rPr>
        <w:t>the cry they have uttered (</w:t>
      </w:r>
      <w:r w:rsidR="00B2060A" w:rsidRPr="001F52A8">
        <w:rPr>
          <w:rFonts w:cstheme="minorHAnsi"/>
          <w:i/>
          <w:iCs/>
          <w:lang w:val="en-US"/>
        </w:rPr>
        <w:t>ṣə‘āqâ</w:t>
      </w:r>
      <w:r w:rsidR="00B2060A" w:rsidRPr="001F52A8">
        <w:rPr>
          <w:rFonts w:cstheme="minorHAnsi"/>
          <w:lang w:val="en-US"/>
        </w:rPr>
        <w:t xml:space="preserve">; </w:t>
      </w:r>
      <w:r w:rsidR="00B2060A" w:rsidRPr="001F52A8">
        <w:rPr>
          <w:lang w:val="en-US"/>
        </w:rPr>
        <w:t xml:space="preserve">9:16), like the one they uttered in Egypt (Exod 3:7, 9). </w:t>
      </w:r>
      <w:r w:rsidR="00E94260" w:rsidRPr="001F52A8">
        <w:rPr>
          <w:lang w:val="en-US"/>
        </w:rPr>
        <w:t>Yes,</w:t>
      </w:r>
      <w:r w:rsidR="00B2060A" w:rsidRPr="001F52A8">
        <w:rPr>
          <w:lang w:val="en-US"/>
        </w:rPr>
        <w:t xml:space="preserve"> they want a king to lead them in battle, </w:t>
      </w:r>
      <w:r w:rsidR="005F7304" w:rsidRPr="001F52A8">
        <w:rPr>
          <w:lang w:val="en-US"/>
        </w:rPr>
        <w:t>a</w:t>
      </w:r>
      <w:r w:rsidR="00B2060A" w:rsidRPr="001F52A8">
        <w:rPr>
          <w:lang w:val="en-US"/>
        </w:rPr>
        <w:t xml:space="preserve"> </w:t>
      </w:r>
      <w:r w:rsidR="00B2060A" w:rsidRPr="001F52A8">
        <w:rPr>
          <w:i/>
          <w:iCs/>
          <w:lang w:val="en-US"/>
        </w:rPr>
        <w:t xml:space="preserve">real </w:t>
      </w:r>
      <w:r w:rsidR="00B2060A" w:rsidRPr="001F52A8">
        <w:rPr>
          <w:lang w:val="en-US"/>
        </w:rPr>
        <w:t xml:space="preserve">king, </w:t>
      </w:r>
      <w:r w:rsidR="005F7304" w:rsidRPr="001F52A8">
        <w:rPr>
          <w:lang w:val="en-US"/>
        </w:rPr>
        <w:t xml:space="preserve">not an occasional </w:t>
      </w:r>
      <w:r w:rsidR="00FC1FD4" w:rsidRPr="001F52A8">
        <w:rPr>
          <w:lang w:val="en-US"/>
        </w:rPr>
        <w:t>human judge and an invisible divine king.</w:t>
      </w:r>
      <w:r w:rsidR="00B2060A" w:rsidRPr="001F52A8">
        <w:rPr>
          <w:lang w:val="en-US"/>
        </w:rPr>
        <w:t xml:space="preserve"> </w:t>
      </w:r>
      <w:r w:rsidR="00A02896" w:rsidRPr="001F52A8">
        <w:rPr>
          <w:lang w:val="en-US"/>
        </w:rPr>
        <w:t>Th</w:t>
      </w:r>
      <w:r w:rsidR="00BA7A9F" w:rsidRPr="001F52A8">
        <w:rPr>
          <w:lang w:val="en-US"/>
        </w:rPr>
        <w:t xml:space="preserve">is aspect of their request </w:t>
      </w:r>
      <w:r w:rsidR="00170E70" w:rsidRPr="001F52A8">
        <w:rPr>
          <w:lang w:val="en-US"/>
        </w:rPr>
        <w:t>looks like an afterthought, and might be intended that way.</w:t>
      </w:r>
      <w:r w:rsidR="00170E70" w:rsidRPr="001F52A8">
        <w:rPr>
          <w:rStyle w:val="FootnoteReference"/>
          <w:lang w:val="en-US"/>
        </w:rPr>
        <w:footnoteReference w:id="124"/>
      </w:r>
      <w:r w:rsidR="00170E70" w:rsidRPr="001F52A8">
        <w:rPr>
          <w:lang w:val="en-US"/>
        </w:rPr>
        <w:t xml:space="preserve"> </w:t>
      </w:r>
      <w:r w:rsidR="00B66270" w:rsidRPr="001F52A8">
        <w:rPr>
          <w:lang w:val="en-US"/>
        </w:rPr>
        <w:t>But as Samuel said, a military requires expenditure.</w:t>
      </w:r>
    </w:p>
    <w:p w14:paraId="13BE8E46" w14:textId="6949B385" w:rsidR="00C43879" w:rsidRPr="001F52A8" w:rsidRDefault="004A5827" w:rsidP="00C43879">
      <w:pPr>
        <w:pStyle w:val="ListParagraph"/>
        <w:numPr>
          <w:ilvl w:val="0"/>
          <w:numId w:val="7"/>
        </w:numPr>
        <w:ind w:left="720"/>
        <w:rPr>
          <w:lang w:val="en-US"/>
        </w:rPr>
      </w:pPr>
      <w:r w:rsidRPr="001F52A8">
        <w:rPr>
          <w:lang w:val="en-US"/>
        </w:rPr>
        <w:t xml:space="preserve">because Yahweh </w:t>
      </w:r>
      <w:r w:rsidR="00E86BA9" w:rsidRPr="001F52A8">
        <w:rPr>
          <w:lang w:val="en-US"/>
        </w:rPr>
        <w:t>agrees</w:t>
      </w:r>
      <w:r w:rsidR="007B5E70" w:rsidRPr="001F52A8">
        <w:rPr>
          <w:lang w:val="en-US"/>
        </w:rPr>
        <w:t xml:space="preserve"> (8:21-22). What else </w:t>
      </w:r>
      <w:r w:rsidR="00DA4C1D" w:rsidRPr="001F52A8">
        <w:rPr>
          <w:lang w:val="en-US"/>
        </w:rPr>
        <w:t>was</w:t>
      </w:r>
      <w:r w:rsidR="007B5E70" w:rsidRPr="001F52A8">
        <w:rPr>
          <w:lang w:val="en-US"/>
        </w:rPr>
        <w:t xml:space="preserve"> he </w:t>
      </w:r>
      <w:r w:rsidR="00DA4C1D" w:rsidRPr="001F52A8">
        <w:rPr>
          <w:lang w:val="en-US"/>
        </w:rPr>
        <w:t xml:space="preserve">to </w:t>
      </w:r>
      <w:r w:rsidR="007B5E70" w:rsidRPr="001F52A8">
        <w:rPr>
          <w:lang w:val="en-US"/>
        </w:rPr>
        <w:t>do?</w:t>
      </w:r>
      <w:r w:rsidR="00DA4C1D" w:rsidRPr="001F52A8">
        <w:rPr>
          <w:lang w:val="en-US"/>
        </w:rPr>
        <w:t xml:space="preserve"> Turn his back on them as they had turned their backs on him? Insist on appointing another </w:t>
      </w:r>
      <w:r w:rsidR="0015440E" w:rsidRPr="001F52A8">
        <w:rPr>
          <w:lang w:val="en-US"/>
        </w:rPr>
        <w:t>non-kingly leader?</w:t>
      </w:r>
      <w:r w:rsidR="00783052" w:rsidRPr="001F52A8">
        <w:rPr>
          <w:lang w:val="en-US"/>
        </w:rPr>
        <w:t xml:space="preserve"> </w:t>
      </w:r>
      <w:r w:rsidR="00AB479F" w:rsidRPr="001F52A8">
        <w:rPr>
          <w:lang w:val="en-US"/>
        </w:rPr>
        <w:t xml:space="preserve">In the Scriptures </w:t>
      </w:r>
      <w:r w:rsidR="00F01AB5" w:rsidRPr="001F52A8">
        <w:rPr>
          <w:lang w:val="en-US"/>
        </w:rPr>
        <w:t xml:space="preserve">and in the subsequent life </w:t>
      </w:r>
      <w:r w:rsidR="00B41C1A" w:rsidRPr="001F52A8">
        <w:rPr>
          <w:lang w:val="en-US"/>
        </w:rPr>
        <w:t xml:space="preserve">of the people of God, he </w:t>
      </w:r>
      <w:r w:rsidR="00AB479F" w:rsidRPr="001F52A8">
        <w:rPr>
          <w:lang w:val="en-US"/>
        </w:rPr>
        <w:t xml:space="preserve">is consistently trimming what he wants to what is </w:t>
      </w:r>
      <w:r w:rsidR="00F6399F" w:rsidRPr="001F52A8">
        <w:rPr>
          <w:lang w:val="en-US"/>
        </w:rPr>
        <w:t>practicable</w:t>
      </w:r>
      <w:r w:rsidR="00476072" w:rsidRPr="001F52A8">
        <w:rPr>
          <w:lang w:val="en-US"/>
        </w:rPr>
        <w:t>, not least in the forms of leadership he allows to develop</w:t>
      </w:r>
      <w:r w:rsidR="00F6399F" w:rsidRPr="001F52A8">
        <w:rPr>
          <w:lang w:val="en-US"/>
        </w:rPr>
        <w:t xml:space="preserve">. </w:t>
      </w:r>
      <w:r w:rsidR="001313B4" w:rsidRPr="001F52A8">
        <w:rPr>
          <w:lang w:val="en-US"/>
        </w:rPr>
        <w:t>“T</w:t>
      </w:r>
      <w:r w:rsidR="001313B4" w:rsidRPr="001F52A8">
        <w:rPr>
          <w:rFonts w:asciiTheme="minorHAnsi" w:hAnsiTheme="minorHAnsi" w:cstheme="minorHAnsi"/>
          <w:lang w:val="en-US"/>
        </w:rPr>
        <w:t xml:space="preserve">he mysterious forbearance of God and the continuing </w:t>
      </w:r>
      <w:r w:rsidR="001313B4" w:rsidRPr="00BD59DD">
        <w:rPr>
          <w:rFonts w:asciiTheme="minorHAnsi" w:hAnsiTheme="minorHAnsi" w:cstheme="minorHAnsi"/>
          <w:lang w:val="en-US"/>
        </w:rPr>
        <w:t>perfidy of God's people walk side by side.”</w:t>
      </w:r>
      <w:r w:rsidR="001313B4" w:rsidRPr="00BD59DD">
        <w:rPr>
          <w:rStyle w:val="FootnoteReference"/>
          <w:rFonts w:asciiTheme="minorHAnsi" w:hAnsiTheme="minorHAnsi" w:cstheme="minorHAnsi"/>
          <w:lang w:val="en-US"/>
        </w:rPr>
        <w:footnoteReference w:id="125"/>
      </w:r>
      <w:r w:rsidR="00EC05DF" w:rsidRPr="00BD59DD">
        <w:rPr>
          <w:rFonts w:asciiTheme="minorHAnsi" w:hAnsiTheme="minorHAnsi" w:cstheme="minorHAnsi"/>
          <w:lang w:val="en-US"/>
        </w:rPr>
        <w:t xml:space="preserve"> “He gave them a</w:t>
      </w:r>
      <w:r w:rsidR="00B01B08" w:rsidRPr="00BD59DD">
        <w:rPr>
          <w:rFonts w:asciiTheme="minorHAnsi" w:hAnsiTheme="minorHAnsi" w:cstheme="minorHAnsi"/>
          <w:lang w:val="en-US"/>
        </w:rPr>
        <w:t xml:space="preserve"> </w:t>
      </w:r>
      <w:r w:rsidR="00EC05DF" w:rsidRPr="00BD59DD">
        <w:rPr>
          <w:rFonts w:asciiTheme="minorHAnsi" w:hAnsiTheme="minorHAnsi" w:cstheme="minorHAnsi"/>
          <w:lang w:val="en-US"/>
        </w:rPr>
        <w:t>king, as it is written, according to their heart, but</w:t>
      </w:r>
      <w:r w:rsidR="00B01B08" w:rsidRPr="00BD59DD">
        <w:rPr>
          <w:rFonts w:asciiTheme="minorHAnsi" w:hAnsiTheme="minorHAnsi" w:cstheme="minorHAnsi"/>
          <w:lang w:val="en-US"/>
        </w:rPr>
        <w:t xml:space="preserve"> </w:t>
      </w:r>
      <w:r w:rsidR="00EC05DF" w:rsidRPr="00BD59DD">
        <w:rPr>
          <w:rFonts w:asciiTheme="minorHAnsi" w:hAnsiTheme="minorHAnsi" w:cstheme="minorHAnsi"/>
          <w:lang w:val="en-US"/>
        </w:rPr>
        <w:t xml:space="preserve">not according to </w:t>
      </w:r>
      <w:r w:rsidR="00EB6B9A" w:rsidRPr="00BD59DD">
        <w:rPr>
          <w:rFonts w:asciiTheme="minorHAnsi" w:hAnsiTheme="minorHAnsi" w:cstheme="minorHAnsi"/>
          <w:lang w:val="en-US"/>
        </w:rPr>
        <w:t>H</w:t>
      </w:r>
      <w:r w:rsidR="00EC05DF" w:rsidRPr="00BD59DD">
        <w:rPr>
          <w:rFonts w:asciiTheme="minorHAnsi" w:hAnsiTheme="minorHAnsi" w:cstheme="minorHAnsi"/>
          <w:lang w:val="en-US"/>
        </w:rPr>
        <w:t>is heart.</w:t>
      </w:r>
      <w:r w:rsidR="00B01B08" w:rsidRPr="00BD59DD">
        <w:rPr>
          <w:rFonts w:asciiTheme="minorHAnsi" w:hAnsiTheme="minorHAnsi" w:cstheme="minorHAnsi"/>
          <w:lang w:val="en-US"/>
        </w:rPr>
        <w:t>”</w:t>
      </w:r>
      <w:r w:rsidR="00B01B08" w:rsidRPr="00BD59DD">
        <w:rPr>
          <w:rStyle w:val="FootnoteReference"/>
          <w:rFonts w:asciiTheme="minorHAnsi" w:hAnsiTheme="minorHAnsi" w:cstheme="minorHAnsi"/>
          <w:lang w:val="en-US"/>
        </w:rPr>
        <w:footnoteReference w:id="126"/>
      </w:r>
      <w:r w:rsidR="00B01B08" w:rsidRPr="00BD59DD">
        <w:rPr>
          <w:rFonts w:asciiTheme="minorHAnsi" w:hAnsiTheme="minorHAnsi" w:cstheme="minorHAnsi"/>
          <w:lang w:val="en-US"/>
        </w:rPr>
        <w:t xml:space="preserve"> </w:t>
      </w:r>
      <w:r w:rsidR="00C43879" w:rsidRPr="001F52A8">
        <w:rPr>
          <w:rFonts w:cs="Calibri"/>
          <w:color w:val="222222"/>
          <w:lang w:val="en-US"/>
        </w:rPr>
        <w:t>The monarchy is “an unwelcome but inevitable reality.”</w:t>
      </w:r>
      <w:r w:rsidR="00C43879" w:rsidRPr="001F52A8">
        <w:rPr>
          <w:rStyle w:val="FootnoteReference"/>
          <w:rFonts w:cs="Calibri"/>
          <w:color w:val="222222"/>
          <w:lang w:val="en-US"/>
        </w:rPr>
        <w:footnoteReference w:id="127"/>
      </w:r>
    </w:p>
    <w:p w14:paraId="23C9C40F" w14:textId="5CF9F725" w:rsidR="009E5461" w:rsidRPr="001F52A8" w:rsidRDefault="009E5461" w:rsidP="000B0A0F">
      <w:pPr>
        <w:pStyle w:val="Heading2"/>
      </w:pPr>
      <w:r w:rsidRPr="001F52A8">
        <w:lastRenderedPageBreak/>
        <w:t xml:space="preserve">How </w:t>
      </w:r>
      <w:r w:rsidR="00ED4C13" w:rsidRPr="001F52A8">
        <w:t xml:space="preserve">and How Not </w:t>
      </w:r>
      <w:r w:rsidRPr="001F52A8">
        <w:t>to Have a King</w:t>
      </w:r>
    </w:p>
    <w:p w14:paraId="1DE72A29" w14:textId="32E21EB7" w:rsidR="00E36AD2" w:rsidRPr="001F52A8" w:rsidRDefault="00281718" w:rsidP="007302C1">
      <w:r w:rsidRPr="001F52A8">
        <w:rPr>
          <w:rFonts w:ascii="Calibri" w:hAnsi="Calibri" w:cs="Calibri"/>
        </w:rPr>
        <w:t>“We move from why it was done to how it was done”</w:t>
      </w:r>
      <w:r w:rsidRPr="001F52A8">
        <w:rPr>
          <w:rStyle w:val="FootnoteReference"/>
        </w:rPr>
        <w:t xml:space="preserve"> </w:t>
      </w:r>
      <w:r w:rsidRPr="001F52A8">
        <w:rPr>
          <w:rStyle w:val="FootnoteReference"/>
        </w:rPr>
        <w:footnoteReference w:id="128"/>
      </w:r>
      <w:r w:rsidRPr="001F52A8">
        <w:rPr>
          <w:rFonts w:ascii="Calibri" w:hAnsi="Calibri" w:cs="Calibri"/>
        </w:rPr>
        <w:t xml:space="preserve"> </w:t>
      </w:r>
      <w:r w:rsidR="008450F7" w:rsidRPr="001F52A8">
        <w:rPr>
          <w:rFonts w:ascii="Calibri" w:hAnsi="Calibri" w:cs="Calibri"/>
        </w:rPr>
        <w:t>The argument between the people</w:t>
      </w:r>
      <w:r w:rsidR="00A3727A" w:rsidRPr="001F52A8">
        <w:rPr>
          <w:rFonts w:ascii="Calibri" w:hAnsi="Calibri" w:cs="Calibri"/>
        </w:rPr>
        <w:t xml:space="preserve"> (or the elders</w:t>
      </w:r>
      <w:r w:rsidR="003C3714" w:rsidRPr="001F52A8">
        <w:rPr>
          <w:rFonts w:ascii="Calibri" w:hAnsi="Calibri" w:cs="Calibri"/>
        </w:rPr>
        <w:t xml:space="preserve"> </w:t>
      </w:r>
      <w:r w:rsidR="00A3727A" w:rsidRPr="001F52A8">
        <w:rPr>
          <w:rFonts w:ascii="Calibri" w:hAnsi="Calibri" w:cs="Calibri"/>
        </w:rPr>
        <w:t>representing them)</w:t>
      </w:r>
      <w:r w:rsidR="008450F7" w:rsidRPr="001F52A8">
        <w:rPr>
          <w:rFonts w:ascii="Calibri" w:hAnsi="Calibri" w:cs="Calibri"/>
        </w:rPr>
        <w:t xml:space="preserve">, Samuel, and Yahweh ends with </w:t>
      </w:r>
      <w:r w:rsidR="00400274" w:rsidRPr="001F52A8">
        <w:rPr>
          <w:rFonts w:ascii="Calibri" w:hAnsi="Calibri" w:cs="Calibri"/>
        </w:rPr>
        <w:t>Samuel sending ev</w:t>
      </w:r>
      <w:r w:rsidR="006A638F" w:rsidRPr="001F52A8">
        <w:rPr>
          <w:rFonts w:ascii="Calibri" w:hAnsi="Calibri" w:cs="Calibri"/>
        </w:rPr>
        <w:t>e</w:t>
      </w:r>
      <w:r w:rsidR="00400274" w:rsidRPr="001F52A8">
        <w:rPr>
          <w:rFonts w:ascii="Calibri" w:hAnsi="Calibri" w:cs="Calibri"/>
        </w:rPr>
        <w:t>ry</w:t>
      </w:r>
      <w:r w:rsidR="006A638F" w:rsidRPr="001F52A8">
        <w:rPr>
          <w:rFonts w:ascii="Calibri" w:hAnsi="Calibri" w:cs="Calibri"/>
        </w:rPr>
        <w:t>on</w:t>
      </w:r>
      <w:r w:rsidR="00400274" w:rsidRPr="001F52A8">
        <w:rPr>
          <w:rFonts w:ascii="Calibri" w:hAnsi="Calibri" w:cs="Calibri"/>
        </w:rPr>
        <w:t>e back to their home town. A decision has been reached</w:t>
      </w:r>
      <w:r w:rsidR="005E47AA">
        <w:rPr>
          <w:rFonts w:ascii="Calibri" w:hAnsi="Calibri" w:cs="Calibri"/>
        </w:rPr>
        <w:t>.</w:t>
      </w:r>
      <w:r w:rsidR="00400274" w:rsidRPr="001F52A8">
        <w:rPr>
          <w:rFonts w:ascii="Calibri" w:hAnsi="Calibri" w:cs="Calibri"/>
        </w:rPr>
        <w:t xml:space="preserve"> </w:t>
      </w:r>
      <w:r w:rsidR="005E47AA">
        <w:rPr>
          <w:rFonts w:ascii="Calibri" w:hAnsi="Calibri" w:cs="Calibri"/>
        </w:rPr>
        <w:t>H</w:t>
      </w:r>
      <w:r w:rsidR="00400274" w:rsidRPr="001F52A8">
        <w:rPr>
          <w:rFonts w:ascii="Calibri" w:hAnsi="Calibri" w:cs="Calibri"/>
        </w:rPr>
        <w:t>ow it will be implemented</w:t>
      </w:r>
      <w:r w:rsidR="005E47AA">
        <w:rPr>
          <w:rFonts w:ascii="Calibri" w:hAnsi="Calibri" w:cs="Calibri"/>
        </w:rPr>
        <w:t>?</w:t>
      </w:r>
      <w:r w:rsidR="006A638F" w:rsidRPr="001F52A8">
        <w:rPr>
          <w:rFonts w:ascii="Calibri" w:hAnsi="Calibri" w:cs="Calibri"/>
        </w:rPr>
        <w:t xml:space="preserve"> </w:t>
      </w:r>
      <w:r w:rsidR="0045772B" w:rsidRPr="001F52A8">
        <w:rPr>
          <w:rFonts w:ascii="Calibri" w:hAnsi="Calibri" w:cs="Calibri"/>
        </w:rPr>
        <w:t xml:space="preserve">Will the elders consult? </w:t>
      </w:r>
      <w:r w:rsidR="008B0D14" w:rsidRPr="001F52A8">
        <w:rPr>
          <w:rFonts w:ascii="Calibri" w:hAnsi="Calibri" w:cs="Calibri"/>
        </w:rPr>
        <w:t>Will the</w:t>
      </w:r>
      <w:r w:rsidR="0045772B" w:rsidRPr="001F52A8">
        <w:rPr>
          <w:rFonts w:ascii="Calibri" w:hAnsi="Calibri" w:cs="Calibri"/>
        </w:rPr>
        <w:t>re be</w:t>
      </w:r>
      <w:r w:rsidRPr="001F52A8">
        <w:rPr>
          <w:rFonts w:ascii="Calibri" w:hAnsi="Calibri" w:cs="Calibri"/>
        </w:rPr>
        <w:t xml:space="preserve"> nominations and</w:t>
      </w:r>
      <w:r w:rsidR="00BE031F" w:rsidRPr="001F52A8">
        <w:rPr>
          <w:rFonts w:ascii="Calibri" w:hAnsi="Calibri" w:cs="Calibri"/>
        </w:rPr>
        <w:t xml:space="preserve"> an election? Will Samuel spend time consulting with Yahweh? </w:t>
      </w:r>
      <w:r w:rsidR="00CB3586" w:rsidRPr="001F52A8">
        <w:t xml:space="preserve">Who </w:t>
      </w:r>
      <w:r w:rsidR="00942C2B" w:rsidRPr="001F52A8">
        <w:t>would Yahweh want as king</w:t>
      </w:r>
      <w:r w:rsidR="00C314EE">
        <w:t xml:space="preserve"> (cf. Deut 17:</w:t>
      </w:r>
      <w:r w:rsidR="00D63701">
        <w:t>15)</w:t>
      </w:r>
      <w:r w:rsidR="00942C2B" w:rsidRPr="001F52A8">
        <w:t>?</w:t>
      </w:r>
      <w:r w:rsidR="00BC13BA" w:rsidRPr="001F52A8">
        <w:t xml:space="preserve"> </w:t>
      </w:r>
      <w:r w:rsidR="008F16FD" w:rsidRPr="001F52A8">
        <w:t xml:space="preserve">The answer is that </w:t>
      </w:r>
      <w:r w:rsidR="005E7426" w:rsidRPr="001F52A8">
        <w:t xml:space="preserve">Yahweh will designate </w:t>
      </w:r>
      <w:r w:rsidR="008F16FD" w:rsidRPr="001F52A8">
        <w:t>Saul</w:t>
      </w:r>
      <w:r w:rsidR="00635D22" w:rsidRPr="001F52A8">
        <w:t xml:space="preserve">. </w:t>
      </w:r>
    </w:p>
    <w:p w14:paraId="37B65DFC" w14:textId="77777777" w:rsidR="00E36AD2" w:rsidRPr="001F52A8" w:rsidRDefault="00E36AD2" w:rsidP="007302C1"/>
    <w:p w14:paraId="240E3254" w14:textId="4AC00A37" w:rsidR="000B0935" w:rsidRPr="001F52A8" w:rsidRDefault="00EE2407" w:rsidP="000B0935">
      <w:pPr>
        <w:pStyle w:val="ListParagraph"/>
        <w:numPr>
          <w:ilvl w:val="0"/>
          <w:numId w:val="8"/>
        </w:numPr>
        <w:ind w:left="720"/>
        <w:rPr>
          <w:rFonts w:cs="Calibri"/>
          <w:lang w:val="en-US"/>
        </w:rPr>
      </w:pPr>
      <w:r w:rsidRPr="001F52A8">
        <w:rPr>
          <w:lang w:val="en-US"/>
        </w:rPr>
        <w:t>He is s</w:t>
      </w:r>
      <w:r w:rsidR="00464476" w:rsidRPr="001F52A8">
        <w:rPr>
          <w:lang w:val="en-US"/>
        </w:rPr>
        <w:t xml:space="preserve">omeone </w:t>
      </w:r>
      <w:r w:rsidR="00256716" w:rsidRPr="001F52A8">
        <w:rPr>
          <w:lang w:val="en-US"/>
        </w:rPr>
        <w:t>with</w:t>
      </w:r>
      <w:r w:rsidR="00464476" w:rsidRPr="001F52A8">
        <w:rPr>
          <w:lang w:val="en-US"/>
        </w:rPr>
        <w:t xml:space="preserve"> a</w:t>
      </w:r>
      <w:r w:rsidR="00256716" w:rsidRPr="001F52A8">
        <w:rPr>
          <w:lang w:val="en-US"/>
        </w:rPr>
        <w:t>n impressive</w:t>
      </w:r>
      <w:r w:rsidR="00942C2B" w:rsidRPr="001F52A8">
        <w:rPr>
          <w:lang w:val="en-US"/>
        </w:rPr>
        <w:t xml:space="preserve"> </w:t>
      </w:r>
      <w:r w:rsidR="009A3D88" w:rsidRPr="001F52A8">
        <w:rPr>
          <w:lang w:val="en-US"/>
        </w:rPr>
        <w:t xml:space="preserve">family </w:t>
      </w:r>
      <w:r w:rsidR="00942C2B" w:rsidRPr="001F52A8">
        <w:rPr>
          <w:lang w:val="en-US"/>
        </w:rPr>
        <w:t>background</w:t>
      </w:r>
      <w:r w:rsidR="009509CC" w:rsidRPr="001F52A8">
        <w:rPr>
          <w:lang w:val="en-US"/>
        </w:rPr>
        <w:t>, and</w:t>
      </w:r>
      <w:r w:rsidR="00942C2B" w:rsidRPr="001F52A8">
        <w:rPr>
          <w:lang w:val="en-US"/>
        </w:rPr>
        <w:t xml:space="preserve"> </w:t>
      </w:r>
      <w:r w:rsidR="00256716" w:rsidRPr="001F52A8">
        <w:rPr>
          <w:lang w:val="en-US"/>
        </w:rPr>
        <w:t xml:space="preserve">he </w:t>
      </w:r>
      <w:r w:rsidR="00796926" w:rsidRPr="001F52A8">
        <w:rPr>
          <w:lang w:val="en-US"/>
        </w:rPr>
        <w:t xml:space="preserve">is </w:t>
      </w:r>
      <w:r w:rsidR="003C2857" w:rsidRPr="001F52A8">
        <w:rPr>
          <w:lang w:val="en-US"/>
        </w:rPr>
        <w:t>himself impressive in appearance</w:t>
      </w:r>
      <w:r w:rsidR="00B045E6" w:rsidRPr="001F52A8">
        <w:rPr>
          <w:lang w:val="en-US"/>
        </w:rPr>
        <w:t xml:space="preserve"> (9:1</w:t>
      </w:r>
      <w:r w:rsidR="00D21922" w:rsidRPr="001F52A8">
        <w:rPr>
          <w:lang w:val="en-US"/>
        </w:rPr>
        <w:t>-2</w:t>
      </w:r>
      <w:r w:rsidR="00B045E6" w:rsidRPr="001F52A8">
        <w:rPr>
          <w:lang w:val="en-US"/>
        </w:rPr>
        <w:t>)</w:t>
      </w:r>
      <w:r w:rsidR="008E31D9" w:rsidRPr="001F52A8">
        <w:rPr>
          <w:lang w:val="en-US"/>
        </w:rPr>
        <w:t xml:space="preserve">, though </w:t>
      </w:r>
      <w:r w:rsidR="001E5A96" w:rsidRPr="001F52A8">
        <w:rPr>
          <w:lang w:val="en-US"/>
        </w:rPr>
        <w:t xml:space="preserve">it will transpire that </w:t>
      </w:r>
      <w:r w:rsidR="00EB38C4" w:rsidRPr="001F52A8">
        <w:rPr>
          <w:lang w:val="en-US"/>
        </w:rPr>
        <w:t xml:space="preserve">the narrative </w:t>
      </w:r>
      <w:r w:rsidR="004B4A65" w:rsidRPr="001F52A8">
        <w:rPr>
          <w:lang w:val="en-US"/>
        </w:rPr>
        <w:t xml:space="preserve">is playing with the </w:t>
      </w:r>
      <w:r w:rsidR="00CF1E76">
        <w:rPr>
          <w:lang w:val="en-US"/>
        </w:rPr>
        <w:t>auditor</w:t>
      </w:r>
      <w:r w:rsidR="004B4A65" w:rsidRPr="001F52A8">
        <w:rPr>
          <w:lang w:val="en-US"/>
        </w:rPr>
        <w:t>s in implying that</w:t>
      </w:r>
      <w:r w:rsidR="003A41D8" w:rsidRPr="001F52A8">
        <w:rPr>
          <w:lang w:val="en-US"/>
        </w:rPr>
        <w:t xml:space="preserve"> these are important considerations</w:t>
      </w:r>
      <w:r w:rsidRPr="001F52A8">
        <w:rPr>
          <w:lang w:val="en-US"/>
        </w:rPr>
        <w:t>.</w:t>
      </w:r>
      <w:r w:rsidR="00900B28">
        <w:rPr>
          <w:lang w:val="en-US"/>
        </w:rPr>
        <w:t xml:space="preserve"> And maybe it</w:t>
      </w:r>
      <w:r w:rsidR="006D15B1">
        <w:rPr>
          <w:lang w:val="en-US"/>
        </w:rPr>
        <w:t>’</w:t>
      </w:r>
      <w:r w:rsidR="00900B28">
        <w:rPr>
          <w:lang w:val="en-US"/>
        </w:rPr>
        <w:t>s significant that he comes from little Benjamin</w:t>
      </w:r>
      <w:r w:rsidR="00F73F1C">
        <w:rPr>
          <w:lang w:val="en-US"/>
        </w:rPr>
        <w:t xml:space="preserve"> (9:21</w:t>
      </w:r>
      <w:r w:rsidR="00601776">
        <w:rPr>
          <w:lang w:val="en-US"/>
        </w:rPr>
        <w:t>; cf. Ps 68:27 [28])</w:t>
      </w:r>
      <w:r w:rsidR="00FB6535">
        <w:rPr>
          <w:lang w:val="en-US"/>
        </w:rPr>
        <w:t xml:space="preserve">, with its shameful background (Judg </w:t>
      </w:r>
      <w:r w:rsidR="000C4B5F">
        <w:rPr>
          <w:lang w:val="en-US"/>
        </w:rPr>
        <w:t>19 – 21).</w:t>
      </w:r>
    </w:p>
    <w:p w14:paraId="2EB513B7" w14:textId="2DFE46A7" w:rsidR="00551A0E" w:rsidRPr="001F52A8" w:rsidRDefault="0084130E" w:rsidP="00387C6F">
      <w:pPr>
        <w:pStyle w:val="ListParagraph"/>
        <w:numPr>
          <w:ilvl w:val="0"/>
          <w:numId w:val="8"/>
        </w:numPr>
        <w:ind w:left="720"/>
        <w:rPr>
          <w:rFonts w:cs="Calibri"/>
          <w:lang w:val="en-US"/>
        </w:rPr>
      </w:pPr>
      <w:r w:rsidRPr="001F52A8">
        <w:rPr>
          <w:lang w:val="en-US"/>
        </w:rPr>
        <w:t>“Saul makes his first appearance in the Bible as an agreeable young man, motivated only by a sense of family duty, unassuming, deferential, and, as far as we can see, without high ambition</w:t>
      </w:r>
      <w:r w:rsidR="00445845">
        <w:rPr>
          <w:lang w:val="en-US"/>
        </w:rPr>
        <w:t>.</w:t>
      </w:r>
      <w:r w:rsidRPr="001F52A8">
        <w:rPr>
          <w:lang w:val="en-US"/>
        </w:rPr>
        <w:t>”</w:t>
      </w:r>
      <w:r w:rsidR="00D2725F" w:rsidRPr="001F52A8">
        <w:rPr>
          <w:rStyle w:val="FootnoteReference"/>
          <w:lang w:val="en-US"/>
        </w:rPr>
        <w:footnoteReference w:id="129"/>
      </w:r>
      <w:r w:rsidR="00387C6F" w:rsidRPr="001F52A8">
        <w:rPr>
          <w:lang w:val="en-US"/>
        </w:rPr>
        <w:t xml:space="preserve"> </w:t>
      </w:r>
      <w:r w:rsidR="00445845">
        <w:rPr>
          <w:lang w:val="en-US"/>
        </w:rPr>
        <w:t>H</w:t>
      </w:r>
      <w:r w:rsidR="00EE2407" w:rsidRPr="001F52A8">
        <w:rPr>
          <w:lang w:val="en-US"/>
        </w:rPr>
        <w:t xml:space="preserve">e is </w:t>
      </w:r>
      <w:r w:rsidR="00E34128" w:rsidRPr="001F52A8">
        <w:rPr>
          <w:lang w:val="en-US"/>
        </w:rPr>
        <w:t>also</w:t>
      </w:r>
      <w:r w:rsidR="00C205EF" w:rsidRPr="001F52A8">
        <w:rPr>
          <w:lang w:val="en-US"/>
        </w:rPr>
        <w:t xml:space="preserve"> </w:t>
      </w:r>
      <w:r w:rsidR="002E168B" w:rsidRPr="001F52A8">
        <w:rPr>
          <w:lang w:val="en-US"/>
        </w:rPr>
        <w:t xml:space="preserve">not as knowledgeable or as bright </w:t>
      </w:r>
      <w:r w:rsidR="00FC7810" w:rsidRPr="001F52A8">
        <w:rPr>
          <w:lang w:val="en-US"/>
        </w:rPr>
        <w:t>as his boy</w:t>
      </w:r>
      <w:r w:rsidR="00D21922" w:rsidRPr="001F52A8">
        <w:rPr>
          <w:lang w:val="en-US"/>
        </w:rPr>
        <w:t xml:space="preserve"> </w:t>
      </w:r>
      <w:r w:rsidR="00361A38" w:rsidRPr="001F52A8">
        <w:rPr>
          <w:lang w:val="en-US"/>
        </w:rPr>
        <w:t>(</w:t>
      </w:r>
      <w:r w:rsidR="00D21922" w:rsidRPr="001F52A8">
        <w:rPr>
          <w:lang w:val="en-US"/>
        </w:rPr>
        <w:t>9:3-10</w:t>
      </w:r>
      <w:r w:rsidR="00361A38" w:rsidRPr="001F52A8">
        <w:rPr>
          <w:lang w:val="en-US"/>
        </w:rPr>
        <w:t>)</w:t>
      </w:r>
      <w:r w:rsidR="008E31D9" w:rsidRPr="001F52A8">
        <w:rPr>
          <w:lang w:val="en-US"/>
        </w:rPr>
        <w:t xml:space="preserve">, which </w:t>
      </w:r>
      <w:r w:rsidR="009C6B75" w:rsidRPr="001F52A8">
        <w:rPr>
          <w:lang w:val="en-US"/>
        </w:rPr>
        <w:t xml:space="preserve">warns us </w:t>
      </w:r>
      <w:r w:rsidR="00D23B32" w:rsidRPr="001F52A8">
        <w:rPr>
          <w:lang w:val="en-US"/>
        </w:rPr>
        <w:t xml:space="preserve">more overtly </w:t>
      </w:r>
      <w:r w:rsidR="009C6B75" w:rsidRPr="001F52A8">
        <w:rPr>
          <w:lang w:val="en-US"/>
        </w:rPr>
        <w:t xml:space="preserve">that things </w:t>
      </w:r>
      <w:r w:rsidR="00C47E46" w:rsidRPr="001F52A8">
        <w:rPr>
          <w:lang w:val="en-US"/>
        </w:rPr>
        <w:t>m</w:t>
      </w:r>
      <w:r w:rsidR="009C6B75" w:rsidRPr="001F52A8">
        <w:rPr>
          <w:lang w:val="en-US"/>
        </w:rPr>
        <w:t xml:space="preserve">ay not turn out well. </w:t>
      </w:r>
    </w:p>
    <w:p w14:paraId="68F3ECB1" w14:textId="182A3BA1" w:rsidR="00E9618C" w:rsidRPr="001F52A8" w:rsidRDefault="00D128AE" w:rsidP="00661492">
      <w:pPr>
        <w:pStyle w:val="ListParagraph"/>
        <w:numPr>
          <w:ilvl w:val="0"/>
          <w:numId w:val="8"/>
        </w:numPr>
        <w:ind w:left="720"/>
        <w:rPr>
          <w:rFonts w:cs="Calibri"/>
          <w:lang w:val="en-US"/>
        </w:rPr>
      </w:pPr>
      <w:r w:rsidRPr="001F52A8">
        <w:rPr>
          <w:lang w:val="en-US"/>
        </w:rPr>
        <w:t xml:space="preserve">Saul and the boy arrive at a certain town while looking for some lost donkeys. </w:t>
      </w:r>
      <w:r w:rsidRPr="001F52A8">
        <w:rPr>
          <w:rFonts w:cstheme="minorHAnsi"/>
          <w:lang w:val="en-US"/>
        </w:rPr>
        <w:t>Maybe it’s Ramah, as Samuel has a house here (9:18).</w:t>
      </w:r>
      <w:r>
        <w:rPr>
          <w:rFonts w:cstheme="minorHAnsi"/>
          <w:lang w:val="en-US"/>
        </w:rPr>
        <w:t xml:space="preserve"> </w:t>
      </w:r>
      <w:r w:rsidR="00551A0E" w:rsidRPr="001F52A8">
        <w:rPr>
          <w:lang w:val="en-US"/>
        </w:rPr>
        <w:t>B</w:t>
      </w:r>
      <w:r w:rsidR="00460528" w:rsidRPr="001F52A8">
        <w:rPr>
          <w:lang w:val="en-US"/>
        </w:rPr>
        <w:t xml:space="preserve">y no coincidence Samuel is going to be </w:t>
      </w:r>
      <w:r w:rsidR="003E0304" w:rsidRPr="001F52A8">
        <w:rPr>
          <w:lang w:val="en-US"/>
        </w:rPr>
        <w:t>t</w:t>
      </w:r>
      <w:r w:rsidR="00460528" w:rsidRPr="001F52A8">
        <w:rPr>
          <w:lang w:val="en-US"/>
        </w:rPr>
        <w:t>here</w:t>
      </w:r>
      <w:r>
        <w:rPr>
          <w:lang w:val="en-US"/>
        </w:rPr>
        <w:t xml:space="preserve">, </w:t>
      </w:r>
      <w:r w:rsidR="00204301" w:rsidRPr="001F52A8">
        <w:rPr>
          <w:lang w:val="en-US"/>
        </w:rPr>
        <w:t xml:space="preserve">leading worship at the shrine, </w:t>
      </w:r>
      <w:r w:rsidR="00204301" w:rsidRPr="001F52A8">
        <w:rPr>
          <w:rFonts w:cstheme="minorHAnsi"/>
          <w:lang w:val="en-US"/>
        </w:rPr>
        <w:t xml:space="preserve">the first (almost the only) individual </w:t>
      </w:r>
      <w:r w:rsidR="00204301" w:rsidRPr="001F52A8">
        <w:rPr>
          <w:rFonts w:cstheme="minorHAnsi"/>
          <w:i/>
          <w:iCs/>
          <w:lang w:val="en-US"/>
        </w:rPr>
        <w:t>bāmâ</w:t>
      </w:r>
      <w:r w:rsidR="00204301" w:rsidRPr="001F52A8">
        <w:rPr>
          <w:rFonts w:cstheme="minorHAnsi"/>
          <w:lang w:val="en-US"/>
        </w:rPr>
        <w:t xml:space="preserve"> (“high place”) in the First Testament story</w:t>
      </w:r>
      <w:r w:rsidR="00F830C7" w:rsidRPr="001F52A8">
        <w:rPr>
          <w:rFonts w:cstheme="minorHAnsi"/>
          <w:lang w:val="en-US"/>
        </w:rPr>
        <w:t xml:space="preserve"> (9:11-15)</w:t>
      </w:r>
      <w:r w:rsidR="00204301" w:rsidRPr="001F52A8">
        <w:rPr>
          <w:lang w:val="en-US"/>
        </w:rPr>
        <w:t xml:space="preserve">. </w:t>
      </w:r>
      <w:r w:rsidR="00102D8A" w:rsidRPr="001F52A8">
        <w:rPr>
          <w:lang w:val="en-US"/>
        </w:rPr>
        <w:t xml:space="preserve">Yahweh has told him that </w:t>
      </w:r>
      <w:r w:rsidR="00357FF2">
        <w:rPr>
          <w:lang w:val="en-US"/>
        </w:rPr>
        <w:t>someone</w:t>
      </w:r>
      <w:r w:rsidR="00102D8A" w:rsidRPr="001F52A8">
        <w:rPr>
          <w:lang w:val="en-US"/>
        </w:rPr>
        <w:t xml:space="preserve"> is coming whom he is to anoint</w:t>
      </w:r>
      <w:r w:rsidR="00BD0552">
        <w:rPr>
          <w:lang w:val="en-US"/>
        </w:rPr>
        <w:t>.</w:t>
      </w:r>
      <w:r w:rsidR="00E9618C" w:rsidRPr="001F52A8">
        <w:rPr>
          <w:lang w:val="en-US"/>
        </w:rPr>
        <w:t xml:space="preserve"> Yahweh prefers to speak of the prospective leader as </w:t>
      </w:r>
      <w:r w:rsidR="00B650EA">
        <w:rPr>
          <w:lang w:val="en-US"/>
        </w:rPr>
        <w:t>a</w:t>
      </w:r>
      <w:r w:rsidR="00E9618C" w:rsidRPr="001F52A8">
        <w:rPr>
          <w:lang w:val="en-US"/>
        </w:rPr>
        <w:t xml:space="preserve"> commandant</w:t>
      </w:r>
      <w:r w:rsidR="00357FF2">
        <w:rPr>
          <w:lang w:val="en-US"/>
        </w:rPr>
        <w:t xml:space="preserve"> </w:t>
      </w:r>
      <w:r w:rsidR="00357FF2" w:rsidRPr="001F52A8">
        <w:rPr>
          <w:rFonts w:cstheme="minorHAnsi"/>
          <w:lang w:val="en-US"/>
        </w:rPr>
        <w:t>(</w:t>
      </w:r>
      <w:r w:rsidR="00357FF2" w:rsidRPr="001F52A8">
        <w:rPr>
          <w:rFonts w:cstheme="minorHAnsi"/>
          <w:i/>
          <w:iCs/>
          <w:lang w:val="en-US"/>
        </w:rPr>
        <w:t>n</w:t>
      </w:r>
      <w:r w:rsidR="00357FF2" w:rsidRPr="001F52A8">
        <w:rPr>
          <w:rFonts w:cs="Calibri"/>
          <w:i/>
          <w:iCs/>
          <w:lang w:val="en-US"/>
        </w:rPr>
        <w:t>āgîd</w:t>
      </w:r>
      <w:r w:rsidR="00357FF2" w:rsidRPr="001F52A8">
        <w:rPr>
          <w:rFonts w:cs="Calibri"/>
          <w:lang w:val="en-US"/>
        </w:rPr>
        <w:t>)</w:t>
      </w:r>
      <w:r w:rsidR="00E9618C" w:rsidRPr="001F52A8">
        <w:rPr>
          <w:rFonts w:cs="Calibri"/>
          <w:lang w:val="en-US"/>
        </w:rPr>
        <w:t>, who</w:t>
      </w:r>
      <w:r w:rsidR="000D15F9" w:rsidRPr="001F52A8">
        <w:rPr>
          <w:rFonts w:cs="Calibri"/>
          <w:lang w:val="en-US"/>
        </w:rPr>
        <w:t>se task</w:t>
      </w:r>
      <w:r w:rsidR="00E9618C" w:rsidRPr="001F52A8">
        <w:rPr>
          <w:rFonts w:cstheme="minorHAnsi"/>
          <w:lang w:val="en-US"/>
        </w:rPr>
        <w:t xml:space="preserve"> is to restrain or control or marshal Israel (</w:t>
      </w:r>
      <w:r w:rsidR="00E9618C" w:rsidRPr="001F52A8">
        <w:rPr>
          <w:rFonts w:cstheme="minorHAnsi"/>
          <w:i/>
          <w:iCs/>
          <w:lang w:val="en-US"/>
        </w:rPr>
        <w:t>‘āṣar</w:t>
      </w:r>
      <w:r w:rsidR="00E9618C" w:rsidRPr="001F52A8">
        <w:rPr>
          <w:rFonts w:cstheme="minorHAnsi"/>
          <w:lang w:val="en-US"/>
        </w:rPr>
        <w:t>; 9:16-17)</w:t>
      </w:r>
      <w:r w:rsidR="000D15F9" w:rsidRPr="001F52A8">
        <w:rPr>
          <w:rFonts w:cstheme="minorHAnsi"/>
          <w:lang w:val="en-US"/>
        </w:rPr>
        <w:t>. B</w:t>
      </w:r>
      <w:r w:rsidR="00E9618C" w:rsidRPr="001F52A8">
        <w:rPr>
          <w:rFonts w:cstheme="minorHAnsi"/>
          <w:lang w:val="en-US"/>
        </w:rPr>
        <w:t xml:space="preserve">oth noun and verb are elusive words, but a main point about them is that they do not mean “king” or “reign.” A </w:t>
      </w:r>
      <w:r w:rsidR="00765E7A" w:rsidRPr="001F52A8">
        <w:rPr>
          <w:rFonts w:cstheme="minorHAnsi"/>
          <w:lang w:val="en-US"/>
        </w:rPr>
        <w:t xml:space="preserve">commandant </w:t>
      </w:r>
      <w:r w:rsidR="00E9618C" w:rsidRPr="001F52A8">
        <w:rPr>
          <w:rFonts w:cs="Calibri"/>
          <w:lang w:val="en-US"/>
        </w:rPr>
        <w:t>suggests someone chosen, designated, exalted, and anointed by Yahweh,</w:t>
      </w:r>
      <w:r w:rsidR="00E9618C" w:rsidRPr="001F52A8">
        <w:rPr>
          <w:rStyle w:val="FootnoteReference"/>
          <w:rFonts w:cs="Calibri"/>
          <w:lang w:val="en-US"/>
        </w:rPr>
        <w:footnoteReference w:id="130"/>
      </w:r>
      <w:r w:rsidR="00E9618C" w:rsidRPr="001F52A8">
        <w:rPr>
          <w:rFonts w:cs="Calibri"/>
          <w:lang w:val="en-US"/>
        </w:rPr>
        <w:t xml:space="preserve"> someone “announced” by Yahweh (the verb </w:t>
      </w:r>
      <w:r w:rsidR="00E9618C" w:rsidRPr="001F52A8">
        <w:rPr>
          <w:rFonts w:cs="Calibri"/>
          <w:i/>
          <w:iCs/>
          <w:lang w:val="en-US"/>
        </w:rPr>
        <w:t xml:space="preserve">nāgad </w:t>
      </w:r>
      <w:r w:rsidR="00E9618C" w:rsidRPr="001F52A8">
        <w:rPr>
          <w:rFonts w:cs="Calibri"/>
          <w:lang w:val="en-US"/>
        </w:rPr>
        <w:t>comes eight times in 9:1 – 10:16)</w:t>
      </w:r>
      <w:r w:rsidR="003F1EB7">
        <w:rPr>
          <w:rFonts w:cs="Calibri"/>
          <w:lang w:val="en-US"/>
        </w:rPr>
        <w:t>,</w:t>
      </w:r>
      <w:r w:rsidR="00E9618C" w:rsidRPr="001F52A8">
        <w:rPr>
          <w:rFonts w:cs="Calibri"/>
          <w:lang w:val="en-US"/>
        </w:rPr>
        <w:t xml:space="preserve"> someone under Yahweh’s direction, more like a prophet than a king. It confront</w:t>
      </w:r>
      <w:r w:rsidR="00530009">
        <w:rPr>
          <w:rFonts w:cs="Calibri"/>
          <w:lang w:val="en-US"/>
        </w:rPr>
        <w:t>s</w:t>
      </w:r>
      <w:r w:rsidR="00E9618C" w:rsidRPr="001F52A8">
        <w:rPr>
          <w:rFonts w:cs="Calibri"/>
          <w:lang w:val="en-US"/>
        </w:rPr>
        <w:t xml:space="preserve"> any idea of </w:t>
      </w:r>
      <w:r w:rsidR="005323FF" w:rsidRPr="001F52A8">
        <w:rPr>
          <w:rFonts w:cs="Calibri"/>
          <w:lang w:val="en-US"/>
        </w:rPr>
        <w:t>a leader</w:t>
      </w:r>
      <w:r w:rsidR="00E9618C" w:rsidRPr="001F52A8">
        <w:rPr>
          <w:rFonts w:cs="Calibri"/>
          <w:lang w:val="en-US"/>
        </w:rPr>
        <w:t xml:space="preserve"> who engage</w:t>
      </w:r>
      <w:r w:rsidR="009E5ECA">
        <w:rPr>
          <w:rFonts w:cs="Calibri"/>
          <w:lang w:val="en-US"/>
        </w:rPr>
        <w:t>s</w:t>
      </w:r>
      <w:r w:rsidR="00E9618C" w:rsidRPr="001F52A8">
        <w:rPr>
          <w:rFonts w:cs="Calibri"/>
          <w:lang w:val="en-US"/>
        </w:rPr>
        <w:t xml:space="preserve"> in decisive initiative</w:t>
      </w:r>
      <w:r w:rsidR="00494E41">
        <w:rPr>
          <w:rFonts w:cs="Calibri"/>
          <w:lang w:val="en-US"/>
        </w:rPr>
        <w:t>s</w:t>
      </w:r>
      <w:r w:rsidR="00E9618C" w:rsidRPr="001F52A8">
        <w:rPr>
          <w:rFonts w:cs="Calibri"/>
          <w:lang w:val="en-US"/>
        </w:rPr>
        <w:t xml:space="preserve"> on the basis of his own vision of what a situation needs. </w:t>
      </w:r>
      <w:r w:rsidR="009E5ECA">
        <w:rPr>
          <w:rFonts w:cs="Calibri"/>
          <w:lang w:val="en-US"/>
        </w:rPr>
        <w:t>Thus</w:t>
      </w:r>
      <w:r w:rsidR="00F542E6" w:rsidRPr="001F52A8">
        <w:rPr>
          <w:rFonts w:cs="Calibri"/>
          <w:lang w:val="en-US"/>
        </w:rPr>
        <w:t xml:space="preserve"> </w:t>
      </w:r>
      <w:r w:rsidR="005A0570" w:rsidRPr="001F52A8">
        <w:rPr>
          <w:rFonts w:cs="Calibri"/>
          <w:lang w:val="en-US"/>
        </w:rPr>
        <w:t>Yahweh</w:t>
      </w:r>
      <w:r w:rsidR="0075225C" w:rsidRPr="001F52A8">
        <w:rPr>
          <w:rFonts w:cs="Calibri"/>
          <w:lang w:val="en-US"/>
        </w:rPr>
        <w:t xml:space="preserve"> </w:t>
      </w:r>
      <w:r w:rsidR="0043785A" w:rsidRPr="001F52A8">
        <w:rPr>
          <w:rFonts w:cs="Calibri"/>
          <w:lang w:val="en-US"/>
        </w:rPr>
        <w:t xml:space="preserve">here four times </w:t>
      </w:r>
      <w:r w:rsidR="0075225C" w:rsidRPr="001F52A8">
        <w:rPr>
          <w:rFonts w:cs="Calibri"/>
          <w:lang w:val="en-US"/>
        </w:rPr>
        <w:t xml:space="preserve">calls </w:t>
      </w:r>
      <w:r w:rsidR="0043785A" w:rsidRPr="001F52A8">
        <w:rPr>
          <w:rFonts w:cs="Calibri"/>
          <w:lang w:val="en-US"/>
        </w:rPr>
        <w:t>Israel</w:t>
      </w:r>
      <w:r w:rsidR="0075225C" w:rsidRPr="001F52A8">
        <w:rPr>
          <w:rFonts w:cs="Calibri"/>
          <w:lang w:val="en-US"/>
        </w:rPr>
        <w:t xml:space="preserve"> “my people” (9:16-17);</w:t>
      </w:r>
      <w:r w:rsidR="00336899" w:rsidRPr="001F52A8">
        <w:rPr>
          <w:rStyle w:val="FootnoteReference"/>
          <w:rFonts w:cs="Calibri"/>
          <w:lang w:val="en-US"/>
        </w:rPr>
        <w:footnoteReference w:id="131"/>
      </w:r>
      <w:r w:rsidR="00336899" w:rsidRPr="001F52A8">
        <w:rPr>
          <w:rFonts w:cs="Calibri"/>
          <w:lang w:val="en-US"/>
        </w:rPr>
        <w:t xml:space="preserve"> </w:t>
      </w:r>
      <w:r w:rsidR="00F256E1" w:rsidRPr="001F52A8">
        <w:rPr>
          <w:rFonts w:cs="Calibri"/>
          <w:lang w:val="en-US"/>
        </w:rPr>
        <w:t>he uses</w:t>
      </w:r>
      <w:r w:rsidR="0075225C" w:rsidRPr="001F52A8">
        <w:rPr>
          <w:rFonts w:cs="Calibri"/>
          <w:lang w:val="en-US"/>
        </w:rPr>
        <w:t xml:space="preserve"> the </w:t>
      </w:r>
      <w:r w:rsidR="00044F8B" w:rsidRPr="001F52A8">
        <w:rPr>
          <w:rFonts w:cs="Calibri"/>
          <w:lang w:val="en-US"/>
        </w:rPr>
        <w:t xml:space="preserve">expression only </w:t>
      </w:r>
      <w:r w:rsidR="00F256E1" w:rsidRPr="001F52A8">
        <w:rPr>
          <w:rFonts w:cs="Calibri"/>
          <w:lang w:val="en-US"/>
        </w:rPr>
        <w:t>once</w:t>
      </w:r>
      <w:r w:rsidR="00044F8B" w:rsidRPr="001F52A8">
        <w:rPr>
          <w:rFonts w:cs="Calibri"/>
          <w:lang w:val="en-US"/>
        </w:rPr>
        <w:t xml:space="preserve"> more in 1</w:t>
      </w:r>
      <w:r w:rsidR="00F256E1" w:rsidRPr="001F52A8">
        <w:rPr>
          <w:rFonts w:cs="Calibri"/>
          <w:lang w:val="en-US"/>
        </w:rPr>
        <w:t xml:space="preserve"> Samuel (2:</w:t>
      </w:r>
      <w:r w:rsidR="00336899" w:rsidRPr="001F52A8">
        <w:rPr>
          <w:rFonts w:cs="Calibri"/>
          <w:lang w:val="en-US"/>
        </w:rPr>
        <w:t>29).</w:t>
      </w:r>
      <w:r w:rsidR="00044F8B" w:rsidRPr="001F52A8">
        <w:rPr>
          <w:rFonts w:cs="Calibri"/>
          <w:lang w:val="en-US"/>
        </w:rPr>
        <w:t xml:space="preserve"> </w:t>
      </w:r>
      <w:r w:rsidR="001A7CDC">
        <w:rPr>
          <w:rFonts w:cs="Calibri"/>
          <w:lang w:val="en-US"/>
        </w:rPr>
        <w:t>D</w:t>
      </w:r>
      <w:r w:rsidR="004F4513">
        <w:rPr>
          <w:rFonts w:cs="Calibri"/>
          <w:lang w:val="en-US"/>
        </w:rPr>
        <w:t xml:space="preserve">espite </w:t>
      </w:r>
      <w:r w:rsidR="008508DE">
        <w:rPr>
          <w:rFonts w:cs="Calibri"/>
          <w:lang w:val="en-US"/>
        </w:rPr>
        <w:t xml:space="preserve">Deut 17:15, </w:t>
      </w:r>
      <w:r w:rsidR="009D13F5" w:rsidRPr="001F52A8">
        <w:rPr>
          <w:rFonts w:cs="Calibri"/>
          <w:lang w:val="en-US"/>
        </w:rPr>
        <w:t xml:space="preserve">the idea of </w:t>
      </w:r>
      <w:r w:rsidR="00766C43" w:rsidRPr="001F52A8">
        <w:rPr>
          <w:rFonts w:cs="Calibri"/>
          <w:lang w:val="en-US"/>
        </w:rPr>
        <w:t>the leader</w:t>
      </w:r>
      <w:r w:rsidR="009D13F5" w:rsidRPr="001F52A8">
        <w:rPr>
          <w:rFonts w:cs="Calibri"/>
          <w:lang w:val="en-US"/>
        </w:rPr>
        <w:t xml:space="preserve"> being </w:t>
      </w:r>
      <w:r w:rsidR="00490CBE" w:rsidRPr="001F52A8">
        <w:rPr>
          <w:rFonts w:cs="Calibri"/>
          <w:lang w:val="en-US"/>
        </w:rPr>
        <w:t>some</w:t>
      </w:r>
      <w:r w:rsidR="009D13F5" w:rsidRPr="001F52A8">
        <w:rPr>
          <w:rFonts w:cs="Calibri"/>
          <w:lang w:val="en-US"/>
        </w:rPr>
        <w:t>one God “cho</w:t>
      </w:r>
      <w:r w:rsidR="00C1622F">
        <w:rPr>
          <w:rFonts w:cs="Calibri"/>
          <w:lang w:val="en-US"/>
        </w:rPr>
        <w:t>o</w:t>
      </w:r>
      <w:r w:rsidR="009D13F5" w:rsidRPr="001F52A8">
        <w:rPr>
          <w:rFonts w:cs="Calibri"/>
          <w:lang w:val="en-US"/>
        </w:rPr>
        <w:t>se</w:t>
      </w:r>
      <w:r w:rsidR="00C1622F">
        <w:rPr>
          <w:rFonts w:cs="Calibri"/>
          <w:lang w:val="en-US"/>
        </w:rPr>
        <w:t>s</w:t>
      </w:r>
      <w:r w:rsidR="009D13F5" w:rsidRPr="001F52A8">
        <w:rPr>
          <w:rFonts w:cs="Calibri"/>
          <w:lang w:val="en-US"/>
        </w:rPr>
        <w:t>” stands in some tension with the usual talk of the people as chosen by God</w:t>
      </w:r>
      <w:r w:rsidR="008508DE">
        <w:rPr>
          <w:rFonts w:cs="Calibri"/>
          <w:lang w:val="en-US"/>
        </w:rPr>
        <w:t>, a more common theme in Deuteronomy</w:t>
      </w:r>
      <w:r w:rsidR="00C1622F">
        <w:rPr>
          <w:rFonts w:cs="Calibri"/>
          <w:lang w:val="en-US"/>
        </w:rPr>
        <w:t>.</w:t>
      </w:r>
      <w:r w:rsidR="009D13F5" w:rsidRPr="001F52A8">
        <w:rPr>
          <w:rFonts w:cs="Calibri"/>
          <w:lang w:val="en-US"/>
        </w:rPr>
        <w:t xml:space="preserve"> “</w:t>
      </w:r>
      <w:r w:rsidR="00C1622F">
        <w:rPr>
          <w:rFonts w:cs="Calibri"/>
          <w:lang w:val="en-US"/>
        </w:rPr>
        <w:t>M</w:t>
      </w:r>
      <w:r w:rsidR="009D13F5" w:rsidRPr="001F52A8">
        <w:rPr>
          <w:rFonts w:cs="Calibri"/>
          <w:lang w:val="en-US"/>
        </w:rPr>
        <w:t>onarchy potentially endangered this belief in the election of the people as whole.”</w:t>
      </w:r>
      <w:r w:rsidR="009D13F5" w:rsidRPr="001F52A8">
        <w:rPr>
          <w:rStyle w:val="FootnoteReference"/>
          <w:rFonts w:cs="Calibri"/>
          <w:lang w:val="en-US"/>
        </w:rPr>
        <w:footnoteReference w:id="132"/>
      </w:r>
    </w:p>
    <w:p w14:paraId="1005B9FB" w14:textId="503F8D04" w:rsidR="00EE2407" w:rsidRPr="001F52A8" w:rsidRDefault="00F0139F" w:rsidP="003F18F9">
      <w:pPr>
        <w:pStyle w:val="ListParagraph"/>
        <w:numPr>
          <w:ilvl w:val="0"/>
          <w:numId w:val="8"/>
        </w:numPr>
        <w:ind w:left="720"/>
        <w:rPr>
          <w:rFonts w:cs="Calibri"/>
          <w:lang w:val="en-US"/>
        </w:rPr>
      </w:pPr>
      <w:r w:rsidRPr="001F52A8">
        <w:rPr>
          <w:rFonts w:cstheme="minorHAnsi"/>
          <w:lang w:val="en-US"/>
        </w:rPr>
        <w:t xml:space="preserve">He is the one </w:t>
      </w:r>
      <w:r w:rsidR="003641D1" w:rsidRPr="001F52A8">
        <w:rPr>
          <w:rFonts w:cstheme="minorHAnsi"/>
          <w:lang w:val="en-US"/>
        </w:rPr>
        <w:t xml:space="preserve">to whom Israel’s entire desire </w:t>
      </w:r>
      <w:r w:rsidR="00F62C8D">
        <w:rPr>
          <w:rFonts w:cstheme="minorHAnsi"/>
          <w:lang w:val="en-US"/>
        </w:rPr>
        <w:t xml:space="preserve">or delight </w:t>
      </w:r>
      <w:r w:rsidR="00F62C8D" w:rsidRPr="001F52A8">
        <w:rPr>
          <w:rFonts w:cstheme="minorHAnsi"/>
          <w:lang w:val="en-US"/>
        </w:rPr>
        <w:t>(</w:t>
      </w:r>
      <w:r w:rsidR="00F62C8D" w:rsidRPr="001F52A8">
        <w:rPr>
          <w:rFonts w:cs="Calibri"/>
          <w:i/>
          <w:iCs/>
          <w:lang w:val="en-US"/>
        </w:rPr>
        <w:t>ḥemdâ</w:t>
      </w:r>
      <w:r w:rsidR="00F62C8D" w:rsidRPr="001F52A8">
        <w:rPr>
          <w:rFonts w:cs="Calibri"/>
          <w:lang w:val="en-US"/>
        </w:rPr>
        <w:t>)</w:t>
      </w:r>
      <w:r w:rsidR="00F62C8D" w:rsidRPr="001F52A8">
        <w:rPr>
          <w:rFonts w:cs="Calibri"/>
          <w:i/>
          <w:iCs/>
          <w:lang w:val="en-US"/>
        </w:rPr>
        <w:t xml:space="preserve"> </w:t>
      </w:r>
      <w:r w:rsidR="003641D1" w:rsidRPr="001F52A8">
        <w:rPr>
          <w:rFonts w:cstheme="minorHAnsi"/>
          <w:lang w:val="en-US"/>
        </w:rPr>
        <w:t>re</w:t>
      </w:r>
      <w:r w:rsidR="007F111E" w:rsidRPr="001F52A8">
        <w:rPr>
          <w:rFonts w:cstheme="minorHAnsi"/>
          <w:lang w:val="en-US"/>
        </w:rPr>
        <w:t>l</w:t>
      </w:r>
      <w:r w:rsidR="003641D1" w:rsidRPr="001F52A8">
        <w:rPr>
          <w:rFonts w:cstheme="minorHAnsi"/>
          <w:lang w:val="en-US"/>
        </w:rPr>
        <w:t>ates</w:t>
      </w:r>
      <w:r w:rsidR="007F111E" w:rsidRPr="001F52A8">
        <w:rPr>
          <w:rFonts w:cstheme="minorHAnsi"/>
          <w:lang w:val="en-US"/>
        </w:rPr>
        <w:t xml:space="preserve"> </w:t>
      </w:r>
      <w:r w:rsidR="009B3E19" w:rsidRPr="001F52A8">
        <w:rPr>
          <w:rFonts w:cstheme="minorHAnsi"/>
          <w:lang w:val="en-US"/>
        </w:rPr>
        <w:t>or</w:t>
      </w:r>
      <w:r w:rsidR="00CA06E3" w:rsidRPr="001F52A8">
        <w:rPr>
          <w:rFonts w:cstheme="minorHAnsi"/>
          <w:lang w:val="en-US"/>
        </w:rPr>
        <w:t xml:space="preserve"> b</w:t>
      </w:r>
      <w:r w:rsidR="00CA4DBB" w:rsidRPr="001F52A8">
        <w:rPr>
          <w:rFonts w:cstheme="minorHAnsi"/>
          <w:lang w:val="en-US"/>
        </w:rPr>
        <w:t>elongs or attaches</w:t>
      </w:r>
      <w:r w:rsidR="00CA06E3" w:rsidRPr="001F52A8">
        <w:rPr>
          <w:rFonts w:cstheme="minorHAnsi"/>
          <w:lang w:val="en-US"/>
        </w:rPr>
        <w:t xml:space="preserve"> </w:t>
      </w:r>
      <w:r w:rsidR="007F111E" w:rsidRPr="001F52A8">
        <w:rPr>
          <w:rFonts w:cstheme="minorHAnsi"/>
          <w:lang w:val="en-US"/>
        </w:rPr>
        <w:t>(</w:t>
      </w:r>
      <w:r w:rsidR="000513E1" w:rsidRPr="001F52A8">
        <w:rPr>
          <w:rFonts w:cstheme="minorHAnsi"/>
          <w:lang w:val="en-US"/>
        </w:rPr>
        <w:t>9:20).</w:t>
      </w:r>
      <w:r w:rsidR="00DB498C" w:rsidRPr="001F52A8">
        <w:rPr>
          <w:rFonts w:cstheme="minorHAnsi"/>
          <w:lang w:val="en-US"/>
        </w:rPr>
        <w:t xml:space="preserve"> </w:t>
      </w:r>
      <w:r w:rsidR="00E2771C" w:rsidRPr="001F52A8">
        <w:rPr>
          <w:rFonts w:cstheme="minorHAnsi"/>
          <w:lang w:val="en-US"/>
        </w:rPr>
        <w:t>Samuel</w:t>
      </w:r>
      <w:r w:rsidR="000848BE">
        <w:rPr>
          <w:rFonts w:cstheme="minorHAnsi"/>
          <w:lang w:val="en-US"/>
        </w:rPr>
        <w:t>’s noun</w:t>
      </w:r>
      <w:r w:rsidR="008B5595" w:rsidRPr="001F52A8">
        <w:rPr>
          <w:rFonts w:cstheme="minorHAnsi"/>
          <w:lang w:val="en-US"/>
        </w:rPr>
        <w:t xml:space="preserve"> c</w:t>
      </w:r>
      <w:r w:rsidR="00F0764B" w:rsidRPr="001F52A8">
        <w:rPr>
          <w:rFonts w:cstheme="minorHAnsi"/>
          <w:lang w:val="en-US"/>
        </w:rPr>
        <w:t>ould imply</w:t>
      </w:r>
      <w:r w:rsidR="008B5595" w:rsidRPr="001F52A8">
        <w:rPr>
          <w:rFonts w:cstheme="minorHAnsi"/>
          <w:lang w:val="en-US"/>
        </w:rPr>
        <w:t xml:space="preserve"> something proper</w:t>
      </w:r>
      <w:r w:rsidR="00BB00AC" w:rsidRPr="001F52A8">
        <w:rPr>
          <w:rFonts w:cs="Calibri"/>
          <w:lang w:val="en-US"/>
        </w:rPr>
        <w:t xml:space="preserve"> </w:t>
      </w:r>
      <w:r w:rsidR="00F0764B" w:rsidRPr="001F52A8">
        <w:rPr>
          <w:rFonts w:cs="Calibri"/>
          <w:lang w:val="en-US"/>
        </w:rPr>
        <w:t>(</w:t>
      </w:r>
      <w:r w:rsidR="00FF0848" w:rsidRPr="001F52A8">
        <w:rPr>
          <w:rFonts w:cs="Calibri"/>
          <w:lang w:val="en-US"/>
        </w:rPr>
        <w:t>Ps 19:10 [11]</w:t>
      </w:r>
      <w:r w:rsidR="00217D6D" w:rsidRPr="001F52A8">
        <w:rPr>
          <w:rFonts w:cs="Calibri"/>
          <w:lang w:val="en-US"/>
        </w:rPr>
        <w:t>; 106:24</w:t>
      </w:r>
      <w:r w:rsidR="00FF0848" w:rsidRPr="001F52A8">
        <w:rPr>
          <w:rFonts w:cs="Calibri"/>
          <w:lang w:val="en-US"/>
        </w:rPr>
        <w:t>)</w:t>
      </w:r>
      <w:r w:rsidR="00490CBE" w:rsidRPr="001F52A8">
        <w:rPr>
          <w:rFonts w:cs="Calibri"/>
          <w:lang w:val="en-US"/>
        </w:rPr>
        <w:t xml:space="preserve"> or something </w:t>
      </w:r>
      <w:r w:rsidR="00490CBE" w:rsidRPr="001F52A8">
        <w:rPr>
          <w:rFonts w:cstheme="minorHAnsi"/>
          <w:lang w:val="en-US"/>
        </w:rPr>
        <w:t>wrongful (Deut 5;21 [18]; Josh 7:21</w:t>
      </w:r>
      <w:r w:rsidR="00852C44" w:rsidRPr="001F52A8">
        <w:rPr>
          <w:rFonts w:cstheme="minorHAnsi"/>
          <w:lang w:val="en-US"/>
        </w:rPr>
        <w:t>)</w:t>
      </w:r>
      <w:r w:rsidR="00FF0848" w:rsidRPr="001F52A8">
        <w:rPr>
          <w:rFonts w:cs="Calibri"/>
          <w:lang w:val="en-US"/>
        </w:rPr>
        <w:t>.</w:t>
      </w:r>
    </w:p>
    <w:p w14:paraId="4DC2699E" w14:textId="650052F8" w:rsidR="00A06AA9" w:rsidRPr="001F52A8" w:rsidRDefault="00852C44" w:rsidP="003F18F9">
      <w:pPr>
        <w:pStyle w:val="ListParagraph"/>
        <w:numPr>
          <w:ilvl w:val="0"/>
          <w:numId w:val="8"/>
        </w:numPr>
        <w:ind w:left="720"/>
        <w:rPr>
          <w:rFonts w:cs="Calibri"/>
          <w:lang w:val="en-US"/>
        </w:rPr>
      </w:pPr>
      <w:r w:rsidRPr="001F52A8">
        <w:rPr>
          <w:rFonts w:cstheme="minorHAnsi"/>
          <w:lang w:val="en-US"/>
        </w:rPr>
        <w:t>Saul’s</w:t>
      </w:r>
      <w:r w:rsidR="00FC739B" w:rsidRPr="001F52A8">
        <w:rPr>
          <w:rFonts w:cstheme="minorHAnsi"/>
          <w:lang w:val="en-US"/>
        </w:rPr>
        <w:t xml:space="preserve"> response, </w:t>
      </w:r>
      <w:r w:rsidR="00DB498C" w:rsidRPr="001F52A8">
        <w:rPr>
          <w:rFonts w:cstheme="minorHAnsi"/>
          <w:lang w:val="en-US"/>
        </w:rPr>
        <w:t>“What, me?” (9:21)</w:t>
      </w:r>
      <w:r w:rsidR="00FC739B" w:rsidRPr="001F52A8">
        <w:rPr>
          <w:rFonts w:cstheme="minorHAnsi"/>
          <w:lang w:val="en-US"/>
        </w:rPr>
        <w:t xml:space="preserve">, </w:t>
      </w:r>
      <w:r w:rsidR="002D4C0E" w:rsidRPr="001F52A8">
        <w:rPr>
          <w:rFonts w:cstheme="minorHAnsi"/>
          <w:lang w:val="en-US"/>
        </w:rPr>
        <w:t>matches a common pat</w:t>
      </w:r>
      <w:r w:rsidR="00867D88" w:rsidRPr="001F52A8">
        <w:rPr>
          <w:rFonts w:cstheme="minorHAnsi"/>
          <w:lang w:val="en-US"/>
        </w:rPr>
        <w:t>tern when Yahweh summons people</w:t>
      </w:r>
      <w:r w:rsidR="00CA2861" w:rsidRPr="001F52A8">
        <w:rPr>
          <w:rFonts w:cstheme="minorHAnsi"/>
          <w:lang w:val="en-US"/>
        </w:rPr>
        <w:t xml:space="preserve">, but that parallel does not make </w:t>
      </w:r>
      <w:r w:rsidR="00375BFE" w:rsidRPr="001F52A8">
        <w:rPr>
          <w:rFonts w:cstheme="minorHAnsi"/>
          <w:lang w:val="en-US"/>
        </w:rPr>
        <w:t>the response less significant</w:t>
      </w:r>
      <w:r w:rsidR="00867D88" w:rsidRPr="001F52A8">
        <w:rPr>
          <w:rFonts w:cstheme="minorHAnsi"/>
          <w:lang w:val="en-US"/>
        </w:rPr>
        <w:t xml:space="preserve">. It </w:t>
      </w:r>
      <w:r w:rsidR="00FC739B" w:rsidRPr="001F52A8">
        <w:rPr>
          <w:rFonts w:cstheme="minorHAnsi"/>
          <w:lang w:val="en-US"/>
        </w:rPr>
        <w:t xml:space="preserve">suggests </w:t>
      </w:r>
      <w:r w:rsidR="0073579F" w:rsidRPr="001F52A8">
        <w:rPr>
          <w:rFonts w:cstheme="minorHAnsi"/>
          <w:lang w:val="en-US"/>
        </w:rPr>
        <w:t xml:space="preserve">he has not been aspiring to such a designation, </w:t>
      </w:r>
      <w:r w:rsidR="00375BFE" w:rsidRPr="001F52A8">
        <w:rPr>
          <w:rFonts w:cstheme="minorHAnsi"/>
          <w:lang w:val="en-US"/>
        </w:rPr>
        <w:t>what</w:t>
      </w:r>
      <w:r w:rsidR="00DA0031" w:rsidRPr="001F52A8">
        <w:rPr>
          <w:rFonts w:cstheme="minorHAnsi"/>
          <w:lang w:val="en-US"/>
        </w:rPr>
        <w:t xml:space="preserve">ever </w:t>
      </w:r>
      <w:r w:rsidR="0073579F" w:rsidRPr="001F52A8">
        <w:rPr>
          <w:rFonts w:cstheme="minorHAnsi"/>
          <w:lang w:val="en-US"/>
        </w:rPr>
        <w:t xml:space="preserve">Samuel </w:t>
      </w:r>
      <w:r w:rsidR="00DA0031" w:rsidRPr="001F52A8">
        <w:rPr>
          <w:rFonts w:cstheme="minorHAnsi"/>
          <w:lang w:val="en-US"/>
        </w:rPr>
        <w:t xml:space="preserve">means when he says </w:t>
      </w:r>
      <w:r w:rsidR="00096D47">
        <w:rPr>
          <w:rFonts w:cstheme="minorHAnsi"/>
          <w:lang w:val="en-US"/>
        </w:rPr>
        <w:t xml:space="preserve">he </w:t>
      </w:r>
      <w:r w:rsidR="0073579F" w:rsidRPr="001F52A8">
        <w:rPr>
          <w:rFonts w:cstheme="minorHAnsi"/>
          <w:lang w:val="en-US"/>
        </w:rPr>
        <w:t xml:space="preserve">knows </w:t>
      </w:r>
      <w:r w:rsidR="00DA0031" w:rsidRPr="001F52A8">
        <w:rPr>
          <w:rFonts w:cstheme="minorHAnsi"/>
          <w:lang w:val="en-US"/>
        </w:rPr>
        <w:t>what</w:t>
      </w:r>
      <w:r w:rsidR="00DD6428">
        <w:rPr>
          <w:rFonts w:cstheme="minorHAnsi"/>
          <w:lang w:val="en-US"/>
        </w:rPr>
        <w:t xml:space="preserve"> </w:t>
      </w:r>
      <w:r w:rsidR="00096D47">
        <w:rPr>
          <w:rFonts w:cstheme="minorHAnsi"/>
          <w:lang w:val="en-US"/>
        </w:rPr>
        <w:t>Saul</w:t>
      </w:r>
      <w:r w:rsidR="0073579F" w:rsidRPr="001F52A8">
        <w:rPr>
          <w:rFonts w:cstheme="minorHAnsi"/>
          <w:lang w:val="en-US"/>
        </w:rPr>
        <w:t xml:space="preserve"> has in his mind</w:t>
      </w:r>
      <w:r w:rsidR="00DA0031" w:rsidRPr="001F52A8">
        <w:rPr>
          <w:rFonts w:cstheme="minorHAnsi"/>
          <w:lang w:val="en-US"/>
        </w:rPr>
        <w:t xml:space="preserve">, about </w:t>
      </w:r>
      <w:r w:rsidR="0073579F" w:rsidRPr="001F52A8">
        <w:rPr>
          <w:rFonts w:cstheme="minorHAnsi"/>
          <w:lang w:val="en-US"/>
        </w:rPr>
        <w:t xml:space="preserve">which </w:t>
      </w:r>
      <w:r w:rsidR="00DA0031" w:rsidRPr="001F52A8">
        <w:rPr>
          <w:rFonts w:cstheme="minorHAnsi"/>
          <w:lang w:val="en-US"/>
        </w:rPr>
        <w:t>he</w:t>
      </w:r>
      <w:r w:rsidR="0073579F" w:rsidRPr="001F52A8">
        <w:rPr>
          <w:rFonts w:cstheme="minorHAnsi"/>
          <w:lang w:val="en-US"/>
        </w:rPr>
        <w:t xml:space="preserve"> promises to talk to him (9:</w:t>
      </w:r>
      <w:r w:rsidR="00A2152A" w:rsidRPr="001F52A8">
        <w:rPr>
          <w:rFonts w:cstheme="minorHAnsi"/>
          <w:lang w:val="en-US"/>
        </w:rPr>
        <w:t>18-</w:t>
      </w:r>
      <w:r w:rsidR="0073579F" w:rsidRPr="001F52A8">
        <w:rPr>
          <w:rFonts w:cstheme="minorHAnsi"/>
          <w:lang w:val="en-US"/>
        </w:rPr>
        <w:t>19)</w:t>
      </w:r>
      <w:r w:rsidR="00B045E6" w:rsidRPr="001F52A8">
        <w:rPr>
          <w:rFonts w:cstheme="minorHAnsi"/>
          <w:lang w:val="en-US"/>
        </w:rPr>
        <w:t>.</w:t>
      </w:r>
      <w:r w:rsidR="00FC739B" w:rsidRPr="001F52A8">
        <w:rPr>
          <w:rFonts w:cstheme="minorHAnsi"/>
          <w:lang w:val="en-US"/>
        </w:rPr>
        <w:t xml:space="preserve"> </w:t>
      </w:r>
      <w:r w:rsidR="00B348B9" w:rsidRPr="001F52A8">
        <w:rPr>
          <w:rFonts w:cstheme="minorHAnsi"/>
          <w:lang w:val="en-US"/>
        </w:rPr>
        <w:t xml:space="preserve">But </w:t>
      </w:r>
      <w:r w:rsidR="00496B42" w:rsidRPr="001F52A8">
        <w:rPr>
          <w:rFonts w:cstheme="minorHAnsi"/>
          <w:lang w:val="en-US"/>
        </w:rPr>
        <w:t>Saul</w:t>
      </w:r>
      <w:r w:rsidR="00B348B9" w:rsidRPr="001F52A8">
        <w:rPr>
          <w:rFonts w:cstheme="minorHAnsi"/>
          <w:lang w:val="en-US"/>
        </w:rPr>
        <w:t xml:space="preserve"> doesn’t </w:t>
      </w:r>
      <w:r w:rsidR="00A2092B" w:rsidRPr="001F52A8">
        <w:rPr>
          <w:rFonts w:cstheme="minorHAnsi"/>
          <w:lang w:val="en-US"/>
        </w:rPr>
        <w:t>take Gideo</w:t>
      </w:r>
      <w:r w:rsidR="00267E84" w:rsidRPr="001F52A8">
        <w:rPr>
          <w:rFonts w:cstheme="minorHAnsi"/>
          <w:lang w:val="en-US"/>
        </w:rPr>
        <w:t xml:space="preserve">n’s </w:t>
      </w:r>
      <w:r w:rsidR="00267E84" w:rsidRPr="001F52A8">
        <w:rPr>
          <w:rFonts w:cstheme="minorHAnsi"/>
          <w:lang w:val="en-US"/>
        </w:rPr>
        <w:lastRenderedPageBreak/>
        <w:t xml:space="preserve">stance of </w:t>
      </w:r>
      <w:r w:rsidR="00193D43" w:rsidRPr="001F52A8">
        <w:rPr>
          <w:rFonts w:cstheme="minorHAnsi"/>
          <w:lang w:val="en-US"/>
        </w:rPr>
        <w:t>simply refus</w:t>
      </w:r>
      <w:r w:rsidR="00267E84" w:rsidRPr="001F52A8">
        <w:rPr>
          <w:rFonts w:cstheme="minorHAnsi"/>
          <w:lang w:val="en-US"/>
        </w:rPr>
        <w:t>ing</w:t>
      </w:r>
      <w:r w:rsidR="00193D43" w:rsidRPr="001F52A8">
        <w:rPr>
          <w:rFonts w:cstheme="minorHAnsi"/>
          <w:lang w:val="en-US"/>
        </w:rPr>
        <w:t xml:space="preserve"> </w:t>
      </w:r>
      <w:r w:rsidR="00BC391A" w:rsidRPr="001F52A8">
        <w:rPr>
          <w:rFonts w:cstheme="minorHAnsi"/>
          <w:lang w:val="en-US"/>
        </w:rPr>
        <w:t xml:space="preserve">to “rule” </w:t>
      </w:r>
      <w:r w:rsidR="00267E84" w:rsidRPr="001F52A8">
        <w:rPr>
          <w:rFonts w:cstheme="minorHAnsi"/>
          <w:lang w:val="en-US"/>
        </w:rPr>
        <w:t>over the people (</w:t>
      </w:r>
      <w:r w:rsidR="00267E84" w:rsidRPr="001F52A8">
        <w:rPr>
          <w:rFonts w:cstheme="minorHAnsi"/>
          <w:i/>
          <w:iCs/>
          <w:lang w:val="en-US"/>
        </w:rPr>
        <w:t>m</w:t>
      </w:r>
      <w:r w:rsidR="00267E84" w:rsidRPr="001F52A8">
        <w:rPr>
          <w:rFonts w:cs="Calibri"/>
          <w:i/>
          <w:iCs/>
          <w:lang w:val="en-US"/>
        </w:rPr>
        <w:t>āšal</w:t>
      </w:r>
      <w:r w:rsidR="00C1411B" w:rsidRPr="001F52A8">
        <w:rPr>
          <w:rFonts w:cs="Calibri"/>
          <w:lang w:val="en-US"/>
        </w:rPr>
        <w:t>; Judg 8:22-23)</w:t>
      </w:r>
      <w:r w:rsidR="00A2092B" w:rsidRPr="001F52A8">
        <w:rPr>
          <w:rFonts w:cstheme="minorHAnsi"/>
          <w:lang w:val="en-US"/>
        </w:rPr>
        <w:t>, on the basis of Yahweh’s being the one who rule</w:t>
      </w:r>
      <w:r w:rsidR="00BB13E2" w:rsidRPr="001F52A8">
        <w:rPr>
          <w:rFonts w:cstheme="minorHAnsi"/>
          <w:lang w:val="en-US"/>
        </w:rPr>
        <w:t>s</w:t>
      </w:r>
      <w:r w:rsidR="00471355" w:rsidRPr="001F52A8">
        <w:rPr>
          <w:rFonts w:cstheme="minorHAnsi"/>
          <w:lang w:val="en-US"/>
        </w:rPr>
        <w:t xml:space="preserve">; but then, it was the Israelites not a prophet who </w:t>
      </w:r>
      <w:r w:rsidR="00F758A4" w:rsidRPr="001F52A8">
        <w:rPr>
          <w:rFonts w:cstheme="minorHAnsi"/>
          <w:lang w:val="en-US"/>
        </w:rPr>
        <w:t>approached Gideon.</w:t>
      </w:r>
    </w:p>
    <w:p w14:paraId="2D1A2B3E" w14:textId="1967560E" w:rsidR="00715582" w:rsidRPr="001F52A8" w:rsidRDefault="00AA02B7" w:rsidP="003F18F9">
      <w:pPr>
        <w:pStyle w:val="ListParagraph"/>
        <w:numPr>
          <w:ilvl w:val="0"/>
          <w:numId w:val="8"/>
        </w:numPr>
        <w:ind w:left="720"/>
        <w:rPr>
          <w:rFonts w:cs="Calibri"/>
          <w:lang w:val="en-US"/>
        </w:rPr>
      </w:pPr>
      <w:r w:rsidRPr="001F52A8">
        <w:rPr>
          <w:rFonts w:cstheme="minorHAnsi"/>
          <w:lang w:val="en-US"/>
        </w:rPr>
        <w:t xml:space="preserve">Saul thus becomes the first person to be anointed as a </w:t>
      </w:r>
      <w:r w:rsidR="00BD3C0B" w:rsidRPr="001F52A8">
        <w:rPr>
          <w:rFonts w:cstheme="minorHAnsi"/>
          <w:lang w:val="en-US"/>
        </w:rPr>
        <w:t>rul</w:t>
      </w:r>
      <w:r w:rsidRPr="001F52A8">
        <w:rPr>
          <w:rFonts w:cstheme="minorHAnsi"/>
          <w:lang w:val="en-US"/>
        </w:rPr>
        <w:t>er (as opposed to a priest</w:t>
      </w:r>
      <w:r w:rsidR="008C220D" w:rsidRPr="001F52A8">
        <w:rPr>
          <w:rFonts w:cstheme="minorHAnsi"/>
          <w:lang w:val="en-US"/>
        </w:rPr>
        <w:t>).</w:t>
      </w:r>
      <w:r w:rsidR="006132AC" w:rsidRPr="001F52A8">
        <w:rPr>
          <w:rFonts w:cstheme="minorHAnsi"/>
          <w:lang w:val="en-US"/>
        </w:rPr>
        <w:t xml:space="preserve"> </w:t>
      </w:r>
      <w:r w:rsidR="00C73804" w:rsidRPr="001F52A8">
        <w:rPr>
          <w:rFonts w:cstheme="minorHAnsi"/>
          <w:lang w:val="en-US"/>
        </w:rPr>
        <w:t xml:space="preserve">In effect </w:t>
      </w:r>
      <w:r w:rsidR="00F758A4" w:rsidRPr="001F52A8">
        <w:rPr>
          <w:rFonts w:cstheme="minorHAnsi"/>
          <w:lang w:val="en-US"/>
        </w:rPr>
        <w:t>Samuel</w:t>
      </w:r>
      <w:r w:rsidR="00C73804" w:rsidRPr="001F52A8">
        <w:rPr>
          <w:rFonts w:cstheme="minorHAnsi"/>
          <w:lang w:val="en-US"/>
        </w:rPr>
        <w:t xml:space="preserve"> crowns him</w:t>
      </w:r>
      <w:r w:rsidR="00FB52C0">
        <w:rPr>
          <w:rFonts w:cstheme="minorHAnsi"/>
          <w:lang w:val="en-US"/>
        </w:rPr>
        <w:t>, and</w:t>
      </w:r>
      <w:r w:rsidR="006132AC" w:rsidRPr="001F52A8">
        <w:rPr>
          <w:rFonts w:cstheme="minorHAnsi"/>
          <w:lang w:val="en-US"/>
        </w:rPr>
        <w:t xml:space="preserve"> declares that Yahweh has anointed him (10:</w:t>
      </w:r>
      <w:r w:rsidR="009C136F" w:rsidRPr="001F52A8">
        <w:rPr>
          <w:rFonts w:cstheme="minorHAnsi"/>
          <w:lang w:val="en-US"/>
        </w:rPr>
        <w:t>1).</w:t>
      </w:r>
      <w:r w:rsidR="00E6544A" w:rsidRPr="001F52A8">
        <w:rPr>
          <w:rFonts w:cstheme="minorHAnsi"/>
          <w:lang w:val="en-US"/>
        </w:rPr>
        <w:t xml:space="preserve"> </w:t>
      </w:r>
    </w:p>
    <w:p w14:paraId="6F706280" w14:textId="3F18D3E9" w:rsidR="008A20BF" w:rsidRPr="00723F60" w:rsidRDefault="0041772C" w:rsidP="00723F60">
      <w:pPr>
        <w:pStyle w:val="ListParagraph"/>
        <w:numPr>
          <w:ilvl w:val="0"/>
          <w:numId w:val="8"/>
        </w:numPr>
        <w:ind w:left="720"/>
        <w:rPr>
          <w:rFonts w:cs="Calibri"/>
          <w:lang w:val="en-US"/>
        </w:rPr>
      </w:pPr>
      <w:r w:rsidRPr="001F52A8">
        <w:rPr>
          <w:rFonts w:cstheme="minorHAnsi"/>
          <w:lang w:val="en-US"/>
        </w:rPr>
        <w:t>H</w:t>
      </w:r>
      <w:r w:rsidR="00E6544A" w:rsidRPr="001F52A8">
        <w:rPr>
          <w:rFonts w:cstheme="minorHAnsi"/>
          <w:lang w:val="en-US"/>
        </w:rPr>
        <w:t>e gives Saul signs that what he says is true</w:t>
      </w:r>
      <w:r w:rsidR="00A87F10" w:rsidRPr="001F52A8">
        <w:rPr>
          <w:rFonts w:cstheme="minorHAnsi"/>
          <w:lang w:val="en-US"/>
        </w:rPr>
        <w:t xml:space="preserve"> (10:</w:t>
      </w:r>
      <w:r w:rsidR="00223D36" w:rsidRPr="001F52A8">
        <w:rPr>
          <w:rFonts w:cstheme="minorHAnsi"/>
          <w:lang w:val="en-US"/>
        </w:rPr>
        <w:t>2-13)</w:t>
      </w:r>
      <w:r w:rsidR="00FC05E0" w:rsidRPr="001F52A8">
        <w:rPr>
          <w:rFonts w:cstheme="minorHAnsi"/>
          <w:lang w:val="en-US"/>
        </w:rPr>
        <w:t>, as Yahweh did for Moses and for Gideon</w:t>
      </w:r>
      <w:r w:rsidR="008A219C" w:rsidRPr="001F52A8">
        <w:rPr>
          <w:rFonts w:cstheme="minorHAnsi"/>
          <w:lang w:val="en-US"/>
        </w:rPr>
        <w:t xml:space="preserve">; it </w:t>
      </w:r>
      <w:r w:rsidR="00482DC0" w:rsidRPr="001F52A8">
        <w:rPr>
          <w:rFonts w:cstheme="minorHAnsi"/>
          <w:lang w:val="en-US"/>
        </w:rPr>
        <w:t>can be</w:t>
      </w:r>
      <w:r w:rsidR="008A219C" w:rsidRPr="001F52A8">
        <w:rPr>
          <w:rFonts w:cstheme="minorHAnsi"/>
          <w:lang w:val="en-US"/>
        </w:rPr>
        <w:t xml:space="preserve"> another feature of a summons </w:t>
      </w:r>
      <w:r w:rsidR="00482DC0" w:rsidRPr="001F52A8">
        <w:rPr>
          <w:rFonts w:cstheme="minorHAnsi"/>
          <w:lang w:val="en-US"/>
        </w:rPr>
        <w:t>by Yahweh</w:t>
      </w:r>
      <w:r w:rsidR="00223D36" w:rsidRPr="001F52A8">
        <w:rPr>
          <w:rFonts w:cstheme="minorHAnsi"/>
          <w:lang w:val="en-US"/>
        </w:rPr>
        <w:t xml:space="preserve">. </w:t>
      </w:r>
      <w:r w:rsidR="00675367" w:rsidRPr="001F52A8">
        <w:rPr>
          <w:rFonts w:cstheme="minorHAnsi"/>
          <w:lang w:val="en-US"/>
        </w:rPr>
        <w:t xml:space="preserve">The </w:t>
      </w:r>
      <w:r w:rsidR="00674B0B">
        <w:rPr>
          <w:rFonts w:cstheme="minorHAnsi"/>
          <w:lang w:val="en-US"/>
        </w:rPr>
        <w:t xml:space="preserve">signs’ </w:t>
      </w:r>
      <w:r w:rsidR="00675367" w:rsidRPr="001F52A8">
        <w:rPr>
          <w:rFonts w:cstheme="minorHAnsi"/>
          <w:lang w:val="en-US"/>
        </w:rPr>
        <w:t>fulfilment</w:t>
      </w:r>
      <w:r w:rsidR="004D02F2" w:rsidRPr="001F52A8">
        <w:rPr>
          <w:rFonts w:cstheme="minorHAnsi"/>
          <w:lang w:val="en-US"/>
        </w:rPr>
        <w:t xml:space="preserve"> </w:t>
      </w:r>
      <w:r w:rsidR="00675367" w:rsidRPr="001F52A8">
        <w:rPr>
          <w:rFonts w:cstheme="minorHAnsi"/>
          <w:lang w:val="en-US"/>
        </w:rPr>
        <w:t>will also be</w:t>
      </w:r>
      <w:r w:rsidR="004D02F2" w:rsidRPr="001F52A8">
        <w:rPr>
          <w:rFonts w:cstheme="minorHAnsi"/>
          <w:lang w:val="en-US"/>
        </w:rPr>
        <w:t xml:space="preserve"> an indication that Samuel is the prophet whom Saul can and must trust and follow </w:t>
      </w:r>
      <w:r w:rsidR="00134284" w:rsidRPr="001F52A8">
        <w:rPr>
          <w:rFonts w:cstheme="minorHAnsi"/>
          <w:lang w:val="en-US"/>
        </w:rPr>
        <w:t xml:space="preserve">(cf. </w:t>
      </w:r>
      <w:r w:rsidR="00024D43" w:rsidRPr="001F52A8">
        <w:rPr>
          <w:rFonts w:cstheme="minorHAnsi"/>
          <w:lang w:val="en-US"/>
        </w:rPr>
        <w:t>Deut 18</w:t>
      </w:r>
      <w:r w:rsidR="00FA494A" w:rsidRPr="001F52A8">
        <w:rPr>
          <w:rFonts w:cstheme="minorHAnsi"/>
          <w:lang w:val="en-US"/>
        </w:rPr>
        <w:t>:21-22</w:t>
      </w:r>
      <w:r w:rsidR="00134284" w:rsidRPr="001F52A8">
        <w:rPr>
          <w:rFonts w:cstheme="minorHAnsi"/>
          <w:lang w:val="en-US"/>
        </w:rPr>
        <w:t>)</w:t>
      </w:r>
      <w:r w:rsidR="00024D43" w:rsidRPr="001F52A8">
        <w:rPr>
          <w:rFonts w:cstheme="minorHAnsi"/>
          <w:lang w:val="en-US"/>
        </w:rPr>
        <w:t xml:space="preserve">. </w:t>
      </w:r>
      <w:r w:rsidR="00223D36" w:rsidRPr="001F52A8">
        <w:rPr>
          <w:rFonts w:cstheme="minorHAnsi"/>
          <w:lang w:val="en-US"/>
        </w:rPr>
        <w:t>The</w:t>
      </w:r>
      <w:r w:rsidR="00854C02" w:rsidRPr="001F52A8">
        <w:rPr>
          <w:rFonts w:cstheme="minorHAnsi"/>
          <w:lang w:val="en-US"/>
        </w:rPr>
        <w:t xml:space="preserve"> </w:t>
      </w:r>
      <w:r w:rsidR="00C94B7F" w:rsidRPr="001F52A8">
        <w:rPr>
          <w:rFonts w:cstheme="minorHAnsi"/>
          <w:lang w:val="en-US"/>
        </w:rPr>
        <w:t>climactic sign is that he will find himself</w:t>
      </w:r>
      <w:r w:rsidR="00223D36" w:rsidRPr="001F52A8">
        <w:rPr>
          <w:rFonts w:cstheme="minorHAnsi"/>
          <w:lang w:val="en-US"/>
        </w:rPr>
        <w:t xml:space="preserve"> </w:t>
      </w:r>
      <w:r w:rsidR="004357BF" w:rsidRPr="001F52A8">
        <w:rPr>
          <w:rFonts w:cstheme="minorHAnsi"/>
          <w:lang w:val="en-US"/>
        </w:rPr>
        <w:t>joining a gr</w:t>
      </w:r>
      <w:r w:rsidR="001251CC" w:rsidRPr="001F52A8">
        <w:rPr>
          <w:rFonts w:cstheme="minorHAnsi"/>
          <w:lang w:val="en-US"/>
        </w:rPr>
        <w:t xml:space="preserve">oup of prophets in </w:t>
      </w:r>
      <w:r w:rsidR="004357BF" w:rsidRPr="001F52A8">
        <w:rPr>
          <w:rFonts w:cstheme="minorHAnsi"/>
          <w:lang w:val="en-US"/>
        </w:rPr>
        <w:t>“</w:t>
      </w:r>
      <w:r w:rsidR="003E599F" w:rsidRPr="001F52A8">
        <w:rPr>
          <w:rFonts w:cstheme="minorHAnsi"/>
          <w:lang w:val="en-US"/>
        </w:rPr>
        <w:t>a</w:t>
      </w:r>
      <w:r w:rsidR="007E3334" w:rsidRPr="001F52A8">
        <w:rPr>
          <w:rFonts w:cstheme="minorHAnsi"/>
          <w:lang w:val="en-US"/>
        </w:rPr>
        <w:t xml:space="preserve">cting </w:t>
      </w:r>
      <w:r w:rsidR="00CF776F" w:rsidRPr="001F52A8">
        <w:rPr>
          <w:rFonts w:cstheme="minorHAnsi"/>
          <w:lang w:val="en-US"/>
        </w:rPr>
        <w:t>like a</w:t>
      </w:r>
      <w:r w:rsidR="007E3334" w:rsidRPr="001F52A8">
        <w:rPr>
          <w:rFonts w:cstheme="minorHAnsi"/>
          <w:lang w:val="en-US"/>
        </w:rPr>
        <w:t xml:space="preserve"> prophet</w:t>
      </w:r>
      <w:r w:rsidR="003E599F" w:rsidRPr="001F52A8">
        <w:rPr>
          <w:rFonts w:cstheme="minorHAnsi"/>
          <w:lang w:val="en-US"/>
        </w:rPr>
        <w:t>”</w:t>
      </w:r>
      <w:r w:rsidR="00A2295B">
        <w:rPr>
          <w:rFonts w:cstheme="minorHAnsi"/>
          <w:lang w:val="en-US"/>
        </w:rPr>
        <w:t xml:space="preserve"> </w:t>
      </w:r>
      <w:r w:rsidR="00A2295B" w:rsidRPr="001F52A8">
        <w:rPr>
          <w:rFonts w:cstheme="minorHAnsi"/>
          <w:lang w:val="en-US"/>
        </w:rPr>
        <w:t>(</w:t>
      </w:r>
      <w:r w:rsidR="00A2295B" w:rsidRPr="001F52A8">
        <w:rPr>
          <w:rFonts w:cstheme="minorHAnsi"/>
          <w:i/>
          <w:iCs/>
          <w:lang w:val="en-US"/>
        </w:rPr>
        <w:t>n</w:t>
      </w:r>
      <w:r w:rsidR="00A2295B" w:rsidRPr="001F52A8">
        <w:rPr>
          <w:rFonts w:cs="Calibri"/>
          <w:i/>
          <w:iCs/>
          <w:lang w:val="en-US"/>
        </w:rPr>
        <w:t xml:space="preserve">ābā’ </w:t>
      </w:r>
      <w:r w:rsidR="00A2295B" w:rsidRPr="001F52A8">
        <w:rPr>
          <w:rFonts w:cs="Calibri"/>
          <w:lang w:val="en-US"/>
        </w:rPr>
        <w:t>hitpael</w:t>
      </w:r>
      <w:r w:rsidR="00A2295B">
        <w:rPr>
          <w:rFonts w:cs="Calibri"/>
          <w:lang w:val="en-US"/>
        </w:rPr>
        <w:t>)</w:t>
      </w:r>
      <w:r w:rsidR="008A20BF" w:rsidRPr="001F52A8">
        <w:rPr>
          <w:rFonts w:cstheme="minorHAnsi"/>
          <w:lang w:val="en-US"/>
        </w:rPr>
        <w:t xml:space="preserve"> </w:t>
      </w:r>
      <w:r w:rsidR="002B6436" w:rsidRPr="001F52A8">
        <w:rPr>
          <w:rFonts w:cs="Calibri"/>
          <w:lang w:val="en-US"/>
        </w:rPr>
        <w:t xml:space="preserve">as Yahweh’s spirit </w:t>
      </w:r>
      <w:r w:rsidR="00CF6114">
        <w:rPr>
          <w:rFonts w:cs="Calibri"/>
          <w:lang w:val="en-US"/>
        </w:rPr>
        <w:t xml:space="preserve">or wind or breath </w:t>
      </w:r>
      <w:r w:rsidR="00D926CC" w:rsidRPr="001F52A8">
        <w:rPr>
          <w:rFonts w:cs="Calibri"/>
          <w:lang w:val="en-US"/>
        </w:rPr>
        <w:t xml:space="preserve">comes </w:t>
      </w:r>
      <w:r w:rsidR="0020335F" w:rsidRPr="001F52A8">
        <w:rPr>
          <w:rFonts w:cs="Calibri"/>
          <w:lang w:val="en-US"/>
        </w:rPr>
        <w:t>dynamically up</w:t>
      </w:r>
      <w:r w:rsidR="00E629D4" w:rsidRPr="001F52A8">
        <w:rPr>
          <w:rFonts w:cs="Calibri"/>
          <w:lang w:val="en-US"/>
        </w:rPr>
        <w:t>on</w:t>
      </w:r>
      <w:r w:rsidR="002B6436" w:rsidRPr="001F52A8">
        <w:rPr>
          <w:rFonts w:cs="Calibri"/>
          <w:lang w:val="en-US"/>
        </w:rPr>
        <w:t xml:space="preserve"> him</w:t>
      </w:r>
      <w:r w:rsidR="003A5F30">
        <w:rPr>
          <w:rFonts w:cs="Calibri"/>
          <w:lang w:val="en-US"/>
        </w:rPr>
        <w:t xml:space="preserve"> (10:6)</w:t>
      </w:r>
      <w:r w:rsidR="00802EC7" w:rsidRPr="001F52A8">
        <w:rPr>
          <w:rFonts w:cs="Calibri"/>
          <w:lang w:val="en-US"/>
        </w:rPr>
        <w:t>.</w:t>
      </w:r>
      <w:r w:rsidR="001251CC" w:rsidRPr="001F52A8">
        <w:rPr>
          <w:rFonts w:cs="Calibri"/>
          <w:lang w:val="en-US"/>
        </w:rPr>
        <w:t xml:space="preserve"> </w:t>
      </w:r>
      <w:r w:rsidR="002D6ADD" w:rsidRPr="001F52A8">
        <w:rPr>
          <w:rFonts w:cs="Calibri"/>
          <w:lang w:val="en-US"/>
        </w:rPr>
        <w:t xml:space="preserve">Translations such as “in a prophetic frenzy” </w:t>
      </w:r>
      <w:r w:rsidR="00EC41EC" w:rsidRPr="001F52A8">
        <w:rPr>
          <w:rFonts w:cs="Calibri"/>
          <w:lang w:val="en-US"/>
        </w:rPr>
        <w:t>(NRSV</w:t>
      </w:r>
      <w:r w:rsidR="00097925" w:rsidRPr="001F52A8">
        <w:rPr>
          <w:rFonts w:cs="Calibri"/>
          <w:lang w:val="en-US"/>
        </w:rPr>
        <w:t xml:space="preserve">) </w:t>
      </w:r>
      <w:r w:rsidR="008C2EEB" w:rsidRPr="001F52A8">
        <w:rPr>
          <w:rFonts w:cs="Calibri"/>
          <w:lang w:val="en-US"/>
        </w:rPr>
        <w:t>or “speaking in ec</w:t>
      </w:r>
      <w:r w:rsidR="00EC41EC" w:rsidRPr="001F52A8">
        <w:rPr>
          <w:rFonts w:cs="Calibri"/>
          <w:lang w:val="en-US"/>
        </w:rPr>
        <w:t>st</w:t>
      </w:r>
      <w:r w:rsidR="008C2EEB" w:rsidRPr="001F52A8">
        <w:rPr>
          <w:rFonts w:cs="Calibri"/>
          <w:lang w:val="en-US"/>
        </w:rPr>
        <w:t>asy</w:t>
      </w:r>
      <w:r w:rsidR="00097925" w:rsidRPr="001F52A8">
        <w:rPr>
          <w:rFonts w:cs="Calibri"/>
          <w:lang w:val="en-US"/>
        </w:rPr>
        <w:t>”</w:t>
      </w:r>
      <w:r w:rsidR="007C39D7" w:rsidRPr="001F52A8">
        <w:rPr>
          <w:rFonts w:cs="Calibri"/>
          <w:lang w:val="en-US"/>
        </w:rPr>
        <w:t xml:space="preserve"> (NJPS)</w:t>
      </w:r>
      <w:r w:rsidR="00C70D4E" w:rsidRPr="001F52A8">
        <w:rPr>
          <w:rFonts w:cstheme="minorHAnsi"/>
          <w:lang w:val="en-US"/>
        </w:rPr>
        <w:t xml:space="preserve"> </w:t>
      </w:r>
      <w:r w:rsidR="00F3460F" w:rsidRPr="001F52A8">
        <w:rPr>
          <w:rFonts w:cstheme="minorHAnsi"/>
          <w:lang w:val="en-US"/>
        </w:rPr>
        <w:t xml:space="preserve">do not </w:t>
      </w:r>
      <w:r w:rsidR="007C39D7" w:rsidRPr="001F52A8">
        <w:rPr>
          <w:rFonts w:cstheme="minorHAnsi"/>
          <w:lang w:val="en-US"/>
        </w:rPr>
        <w:t>clarify</w:t>
      </w:r>
      <w:r w:rsidR="00CF776F" w:rsidRPr="001F52A8">
        <w:rPr>
          <w:rFonts w:cstheme="minorHAnsi"/>
          <w:lang w:val="en-US"/>
        </w:rPr>
        <w:t xml:space="preserve"> the </w:t>
      </w:r>
      <w:r w:rsidR="00A2295B">
        <w:rPr>
          <w:rFonts w:cstheme="minorHAnsi"/>
          <w:lang w:val="en-US"/>
        </w:rPr>
        <w:t xml:space="preserve">verb’s </w:t>
      </w:r>
      <w:r w:rsidR="00CF776F" w:rsidRPr="001F52A8">
        <w:rPr>
          <w:rFonts w:cstheme="minorHAnsi"/>
          <w:lang w:val="en-US"/>
        </w:rPr>
        <w:t>meaning</w:t>
      </w:r>
      <w:r w:rsidR="00723F60">
        <w:rPr>
          <w:rFonts w:cs="Calibri"/>
          <w:lang w:val="en-US"/>
        </w:rPr>
        <w:t xml:space="preserve">. </w:t>
      </w:r>
      <w:r w:rsidR="00723F60" w:rsidRPr="00723F60">
        <w:rPr>
          <w:rFonts w:cstheme="minorHAnsi"/>
        </w:rPr>
        <w:t>In the eighteenth-century First Great Awakening, groaning, screaming, and collapsing could be signs of God’s having an impact on a person, and such phenomena have recurred in more recent Pentecostal and</w:t>
      </w:r>
      <w:r w:rsidR="00ED4F7B">
        <w:rPr>
          <w:rFonts w:cstheme="minorHAnsi"/>
        </w:rPr>
        <w:t xml:space="preserve"> </w:t>
      </w:r>
      <w:r w:rsidR="00723F60" w:rsidRPr="00723F60">
        <w:rPr>
          <w:rFonts w:cstheme="minorHAnsi"/>
        </w:rPr>
        <w:t xml:space="preserve">charismatic movements. </w:t>
      </w:r>
      <w:r w:rsidR="00992521">
        <w:rPr>
          <w:rFonts w:cstheme="minorHAnsi"/>
        </w:rPr>
        <w:t>L</w:t>
      </w:r>
      <w:r w:rsidR="00F20905" w:rsidRPr="00723F60">
        <w:rPr>
          <w:rFonts w:cs="Calibri"/>
        </w:rPr>
        <w:t xml:space="preserve">ike prophesying </w:t>
      </w:r>
      <w:r w:rsidR="00EA1438" w:rsidRPr="00723F60">
        <w:rPr>
          <w:rFonts w:cs="Calibri"/>
        </w:rPr>
        <w:t xml:space="preserve">or speaking in tongues, </w:t>
      </w:r>
      <w:r w:rsidR="00C70D4E" w:rsidRPr="00723F60">
        <w:rPr>
          <w:rFonts w:cstheme="minorHAnsi"/>
        </w:rPr>
        <w:t>the experience may imply a heightened consciousness,</w:t>
      </w:r>
      <w:r w:rsidR="009A450E" w:rsidRPr="00723F60">
        <w:rPr>
          <w:rFonts w:cstheme="minorHAnsi"/>
        </w:rPr>
        <w:t xml:space="preserve"> </w:t>
      </w:r>
      <w:r w:rsidR="00AE4F9D" w:rsidRPr="00723F60">
        <w:rPr>
          <w:rFonts w:cstheme="minorHAnsi"/>
        </w:rPr>
        <w:t xml:space="preserve">but </w:t>
      </w:r>
      <w:r w:rsidR="009A450E" w:rsidRPr="00723F60">
        <w:rPr>
          <w:rFonts w:cstheme="minorHAnsi"/>
        </w:rPr>
        <w:t>it need not do so</w:t>
      </w:r>
      <w:r w:rsidR="00F3460F" w:rsidRPr="00723F60">
        <w:rPr>
          <w:rFonts w:cstheme="minorHAnsi"/>
        </w:rPr>
        <w:t xml:space="preserve">. </w:t>
      </w:r>
      <w:r w:rsidR="00205067" w:rsidRPr="00723F60">
        <w:rPr>
          <w:rFonts w:cstheme="minorHAnsi"/>
        </w:rPr>
        <w:t>It does imply Saul act</w:t>
      </w:r>
      <w:r w:rsidR="00992521">
        <w:rPr>
          <w:rFonts w:cstheme="minorHAnsi"/>
        </w:rPr>
        <w:t>ing</w:t>
      </w:r>
      <w:r w:rsidR="00205067" w:rsidRPr="00723F60">
        <w:rPr>
          <w:rFonts w:cstheme="minorHAnsi"/>
        </w:rPr>
        <w:t xml:space="preserve"> in a way he normally did not.</w:t>
      </w:r>
      <w:r w:rsidR="007E2725" w:rsidRPr="00723F60">
        <w:rPr>
          <w:rFonts w:cstheme="minorHAnsi"/>
        </w:rPr>
        <w:t xml:space="preserve"> He will thus </w:t>
      </w:r>
      <w:r w:rsidR="004518A0" w:rsidRPr="00723F60">
        <w:rPr>
          <w:rFonts w:cstheme="minorHAnsi"/>
        </w:rPr>
        <w:t>“t</w:t>
      </w:r>
      <w:r w:rsidR="008A20BF" w:rsidRPr="00723F60">
        <w:rPr>
          <w:rFonts w:cstheme="minorHAnsi"/>
        </w:rPr>
        <w:t>urn into another man</w:t>
      </w:r>
      <w:r w:rsidR="004518A0" w:rsidRPr="00723F60">
        <w:rPr>
          <w:rFonts w:cstheme="minorHAnsi"/>
        </w:rPr>
        <w:t>”</w:t>
      </w:r>
      <w:r w:rsidR="008A20BF" w:rsidRPr="00723F60">
        <w:rPr>
          <w:rFonts w:cstheme="minorHAnsi"/>
        </w:rPr>
        <w:t xml:space="preserve"> (10:6)</w:t>
      </w:r>
      <w:r w:rsidR="00DE3C7E" w:rsidRPr="00723F60">
        <w:rPr>
          <w:rFonts w:cstheme="minorHAnsi"/>
        </w:rPr>
        <w:t xml:space="preserve">. </w:t>
      </w:r>
      <w:r w:rsidR="009E1C88" w:rsidRPr="00723F60">
        <w:rPr>
          <w:rFonts w:cstheme="minorHAnsi"/>
        </w:rPr>
        <w:t>To put it another way</w:t>
      </w:r>
      <w:r w:rsidR="00557681" w:rsidRPr="00723F60">
        <w:rPr>
          <w:rFonts w:cstheme="minorHAnsi"/>
        </w:rPr>
        <w:t xml:space="preserve">, </w:t>
      </w:r>
      <w:r w:rsidR="00E44F50" w:rsidRPr="00723F60">
        <w:rPr>
          <w:rFonts w:cstheme="minorHAnsi"/>
        </w:rPr>
        <w:t>God</w:t>
      </w:r>
      <w:r w:rsidR="00D73119" w:rsidRPr="00723F60">
        <w:rPr>
          <w:rFonts w:cstheme="minorHAnsi"/>
        </w:rPr>
        <w:t xml:space="preserve"> </w:t>
      </w:r>
      <w:r w:rsidR="00E44F50" w:rsidRPr="00723F60">
        <w:rPr>
          <w:rFonts w:cstheme="minorHAnsi"/>
        </w:rPr>
        <w:t>give</w:t>
      </w:r>
      <w:r w:rsidR="00842143" w:rsidRPr="00723F60">
        <w:rPr>
          <w:rFonts w:cstheme="minorHAnsi"/>
        </w:rPr>
        <w:t xml:space="preserve">s </w:t>
      </w:r>
      <w:r w:rsidR="00E44F50" w:rsidRPr="00723F60">
        <w:rPr>
          <w:rFonts w:cstheme="minorHAnsi"/>
        </w:rPr>
        <w:t xml:space="preserve">him </w:t>
      </w:r>
      <w:r w:rsidR="00842143" w:rsidRPr="00723F60">
        <w:rPr>
          <w:rFonts w:cstheme="minorHAnsi"/>
        </w:rPr>
        <w:t xml:space="preserve">another </w:t>
      </w:r>
      <w:r w:rsidR="00256E95" w:rsidRPr="00723F60">
        <w:rPr>
          <w:rFonts w:cstheme="minorHAnsi"/>
        </w:rPr>
        <w:t xml:space="preserve">mind </w:t>
      </w:r>
      <w:r w:rsidR="00E44F50" w:rsidRPr="00723F60">
        <w:rPr>
          <w:rFonts w:cstheme="minorHAnsi"/>
        </w:rPr>
        <w:t>or attitude</w:t>
      </w:r>
      <w:r w:rsidR="00D73119" w:rsidRPr="00723F60">
        <w:rPr>
          <w:rFonts w:cstheme="minorHAnsi"/>
        </w:rPr>
        <w:t xml:space="preserve"> </w:t>
      </w:r>
      <w:r w:rsidR="00256E95" w:rsidRPr="00723F60">
        <w:rPr>
          <w:rFonts w:cstheme="minorHAnsi"/>
        </w:rPr>
        <w:t>(10:9)</w:t>
      </w:r>
      <w:r w:rsidR="003507A6">
        <w:rPr>
          <w:rFonts w:cstheme="minorHAnsi"/>
        </w:rPr>
        <w:t>,</w:t>
      </w:r>
      <w:r w:rsidR="0022142E" w:rsidRPr="00723F60">
        <w:rPr>
          <w:rFonts w:cstheme="minorHAnsi"/>
        </w:rPr>
        <w:t xml:space="preserve"> an anticipatory summary of what happens when he meets the prophets</w:t>
      </w:r>
      <w:r w:rsidR="00DC38DD" w:rsidRPr="00723F60">
        <w:rPr>
          <w:rFonts w:cstheme="minorHAnsi"/>
        </w:rPr>
        <w:t>.</w:t>
      </w:r>
      <w:r w:rsidR="001D7357" w:rsidRPr="00723F60">
        <w:rPr>
          <w:rFonts w:cstheme="minorHAnsi"/>
        </w:rPr>
        <w:t xml:space="preserve"> </w:t>
      </w:r>
      <w:r w:rsidR="00974622" w:rsidRPr="00723F60">
        <w:rPr>
          <w:rFonts w:cstheme="minorHAnsi"/>
        </w:rPr>
        <w:t>B</w:t>
      </w:r>
      <w:r w:rsidR="00557681" w:rsidRPr="00723F60">
        <w:rPr>
          <w:rFonts w:cstheme="minorHAnsi"/>
        </w:rPr>
        <w:t xml:space="preserve">y nature </w:t>
      </w:r>
      <w:r w:rsidR="00974622" w:rsidRPr="00723F60">
        <w:rPr>
          <w:rFonts w:cstheme="minorHAnsi"/>
        </w:rPr>
        <w:t>Saul</w:t>
      </w:r>
      <w:r w:rsidR="00557681" w:rsidRPr="00723F60">
        <w:rPr>
          <w:rFonts w:cstheme="minorHAnsi"/>
        </w:rPr>
        <w:t xml:space="preserve"> is </w:t>
      </w:r>
      <w:r w:rsidR="001D7357" w:rsidRPr="00723F60">
        <w:rPr>
          <w:rFonts w:cstheme="minorHAnsi"/>
        </w:rPr>
        <w:t xml:space="preserve">just </w:t>
      </w:r>
      <w:r w:rsidR="006A7510" w:rsidRPr="00723F60">
        <w:rPr>
          <w:rFonts w:cstheme="minorHAnsi"/>
        </w:rPr>
        <w:t>a regular guy</w:t>
      </w:r>
      <w:r w:rsidR="00625C8C" w:rsidRPr="00723F60">
        <w:rPr>
          <w:rFonts w:cstheme="minorHAnsi"/>
        </w:rPr>
        <w:t>, without gifts of leadership or aspirations to leadership</w:t>
      </w:r>
      <w:r w:rsidR="00984D80" w:rsidRPr="00723F60">
        <w:rPr>
          <w:rFonts w:cstheme="minorHAnsi"/>
        </w:rPr>
        <w:t xml:space="preserve">, </w:t>
      </w:r>
      <w:r w:rsidR="00A87814" w:rsidRPr="00723F60">
        <w:rPr>
          <w:rFonts w:cstheme="minorHAnsi"/>
        </w:rPr>
        <w:t>like people</w:t>
      </w:r>
      <w:r w:rsidR="00984D80" w:rsidRPr="00723F60">
        <w:rPr>
          <w:rFonts w:cstheme="minorHAnsi"/>
        </w:rPr>
        <w:t xml:space="preserve"> such as Moses, Joshua, and Gi</w:t>
      </w:r>
      <w:r w:rsidR="00232A24" w:rsidRPr="00723F60">
        <w:rPr>
          <w:rFonts w:cstheme="minorHAnsi"/>
        </w:rPr>
        <w:t xml:space="preserve">deon. If the fulfilment of Yahweh’s purpose depends on Yahweh, the leader of Israel does not need leadership gifts. </w:t>
      </w:r>
      <w:r w:rsidR="00166972" w:rsidRPr="00723F60">
        <w:rPr>
          <w:rFonts w:cstheme="minorHAnsi"/>
        </w:rPr>
        <w:t xml:space="preserve">The coming of </w:t>
      </w:r>
      <w:r w:rsidR="006941B4" w:rsidRPr="00723F60">
        <w:rPr>
          <w:rFonts w:cstheme="minorHAnsi"/>
        </w:rPr>
        <w:t>Yahweh’s</w:t>
      </w:r>
      <w:r w:rsidR="00166972" w:rsidRPr="00723F60">
        <w:rPr>
          <w:rFonts w:cstheme="minorHAnsi"/>
        </w:rPr>
        <w:t xml:space="preserve"> spirit will look after </w:t>
      </w:r>
      <w:r w:rsidR="00591638" w:rsidRPr="00723F60">
        <w:rPr>
          <w:rFonts w:cstheme="minorHAnsi"/>
        </w:rPr>
        <w:t>such matters.</w:t>
      </w:r>
      <w:r w:rsidR="00D127A8">
        <w:rPr>
          <w:rFonts w:cstheme="minorHAnsi"/>
        </w:rPr>
        <w:t xml:space="preserve"> </w:t>
      </w:r>
      <w:r w:rsidR="00D127A8" w:rsidRPr="00723F60">
        <w:rPr>
          <w:rFonts w:cstheme="minorHAnsi"/>
        </w:rPr>
        <w:t>Yahweh gives him another mind, “a spirit of royal might”</w:t>
      </w:r>
      <w:r w:rsidR="00D127A8">
        <w:rPr>
          <w:rStyle w:val="FootnoteReference"/>
          <w:rFonts w:cstheme="minorHAnsi"/>
          <w:lang w:val="en-US"/>
        </w:rPr>
        <w:footnoteReference w:id="133"/>
      </w:r>
      <w:r w:rsidR="00D127A8" w:rsidRPr="00723F60">
        <w:rPr>
          <w:rFonts w:cstheme="minorHAnsi"/>
        </w:rPr>
        <w:t xml:space="preserve"> instead of one that just knows about cattle</w:t>
      </w:r>
      <w:r w:rsidR="00D127A8">
        <w:rPr>
          <w:rFonts w:cstheme="minorHAnsi"/>
        </w:rPr>
        <w:t>,</w:t>
      </w:r>
      <w:r w:rsidR="00D127A8">
        <w:rPr>
          <w:rStyle w:val="FootnoteReference"/>
          <w:rFonts w:cstheme="minorHAnsi"/>
          <w:lang w:val="en-US"/>
        </w:rPr>
        <w:footnoteReference w:id="134"/>
      </w:r>
      <w:r w:rsidR="00D127A8" w:rsidRPr="00723F60">
        <w:rPr>
          <w:rFonts w:cstheme="minorHAnsi"/>
        </w:rPr>
        <w:t xml:space="preserve"> </w:t>
      </w:r>
      <w:r w:rsidR="00D127A8">
        <w:rPr>
          <w:rFonts w:cstheme="minorHAnsi"/>
        </w:rPr>
        <w:t>a</w:t>
      </w:r>
      <w:r w:rsidR="00D127A8" w:rsidRPr="00723F60">
        <w:rPr>
          <w:rFonts w:cstheme="minorHAnsi"/>
        </w:rPr>
        <w:t xml:space="preserve">nd </w:t>
      </w:r>
      <w:r w:rsidR="00D127A8">
        <w:rPr>
          <w:rFonts w:cstheme="minorHAnsi"/>
        </w:rPr>
        <w:t>he</w:t>
      </w:r>
      <w:r w:rsidR="00D127A8" w:rsidRPr="00723F60">
        <w:rPr>
          <w:rFonts w:cstheme="minorHAnsi"/>
        </w:rPr>
        <w:t xml:space="preserve"> is now a man who can sing praise (cf. Tg</w:t>
      </w:r>
      <w:r w:rsidR="00D127A8">
        <w:rPr>
          <w:rFonts w:cstheme="minorHAnsi"/>
        </w:rPr>
        <w:t>)</w:t>
      </w:r>
      <w:r w:rsidR="00D127A8" w:rsidRPr="00723F60">
        <w:rPr>
          <w:rFonts w:cstheme="minorHAnsi"/>
        </w:rPr>
        <w:t>.</w:t>
      </w:r>
      <w:r w:rsidR="00ED4F7B">
        <w:rPr>
          <w:rFonts w:cstheme="minorHAnsi"/>
        </w:rPr>
        <w:t xml:space="preserve"> </w:t>
      </w:r>
    </w:p>
    <w:p w14:paraId="2479D325" w14:textId="3AB733CC" w:rsidR="005D700A" w:rsidRPr="001F52A8" w:rsidRDefault="00EC7DC0" w:rsidP="003F18F9">
      <w:pPr>
        <w:pStyle w:val="ListParagraph"/>
        <w:numPr>
          <w:ilvl w:val="0"/>
          <w:numId w:val="8"/>
        </w:numPr>
        <w:ind w:left="720"/>
        <w:rPr>
          <w:rFonts w:cs="Calibri"/>
          <w:lang w:val="en-US"/>
        </w:rPr>
      </w:pPr>
      <w:r w:rsidRPr="001F52A8">
        <w:rPr>
          <w:rFonts w:cstheme="minorHAnsi"/>
          <w:lang w:val="en-US"/>
        </w:rPr>
        <w:t>He is then to d</w:t>
      </w:r>
      <w:r w:rsidR="00520DB8" w:rsidRPr="001F52A8">
        <w:rPr>
          <w:rFonts w:cstheme="minorHAnsi"/>
          <w:lang w:val="en-US"/>
        </w:rPr>
        <w:t xml:space="preserve">o what </w:t>
      </w:r>
      <w:r w:rsidR="008E6773" w:rsidRPr="001F52A8">
        <w:rPr>
          <w:rFonts w:cstheme="minorHAnsi"/>
          <w:lang w:val="en-US"/>
        </w:rPr>
        <w:t>his hand finds to do</w:t>
      </w:r>
      <w:r w:rsidR="00785A4C" w:rsidRPr="001F52A8">
        <w:rPr>
          <w:rFonts w:cstheme="minorHAnsi"/>
          <w:lang w:val="en-US"/>
        </w:rPr>
        <w:t>, given that God is with him</w:t>
      </w:r>
      <w:r w:rsidR="00E6422F" w:rsidRPr="001F52A8">
        <w:rPr>
          <w:rFonts w:cstheme="minorHAnsi"/>
          <w:lang w:val="en-US"/>
        </w:rPr>
        <w:t xml:space="preserve"> (10:7). Again puzzlingly, </w:t>
      </w:r>
      <w:r w:rsidR="00B20B16" w:rsidRPr="001F52A8">
        <w:rPr>
          <w:rFonts w:cstheme="minorHAnsi"/>
          <w:lang w:val="en-US"/>
        </w:rPr>
        <w:t xml:space="preserve">however, </w:t>
      </w:r>
      <w:r w:rsidR="00E6422F" w:rsidRPr="001F52A8">
        <w:rPr>
          <w:rFonts w:cstheme="minorHAnsi"/>
          <w:lang w:val="en-US"/>
        </w:rPr>
        <w:t xml:space="preserve">Samuel adds that he is to </w:t>
      </w:r>
      <w:r w:rsidR="00F10F0A" w:rsidRPr="001F52A8">
        <w:rPr>
          <w:rFonts w:cstheme="minorHAnsi"/>
          <w:lang w:val="en-US"/>
        </w:rPr>
        <w:t xml:space="preserve">go down to Gilgal by the Jordan </w:t>
      </w:r>
      <w:r w:rsidR="00287CDD" w:rsidRPr="001F52A8">
        <w:rPr>
          <w:rFonts w:cstheme="minorHAnsi"/>
          <w:lang w:val="en-US"/>
        </w:rPr>
        <w:t>and</w:t>
      </w:r>
      <w:r w:rsidR="00520DB8" w:rsidRPr="001F52A8">
        <w:rPr>
          <w:rFonts w:cstheme="minorHAnsi"/>
          <w:lang w:val="en-US"/>
        </w:rPr>
        <w:t xml:space="preserve"> wait </w:t>
      </w:r>
      <w:r w:rsidR="00917753" w:rsidRPr="001F52A8">
        <w:rPr>
          <w:rFonts w:cstheme="minorHAnsi"/>
          <w:lang w:val="en-US"/>
        </w:rPr>
        <w:t>for a week for</w:t>
      </w:r>
      <w:r w:rsidR="00520DB8" w:rsidRPr="001F52A8">
        <w:rPr>
          <w:rFonts w:cstheme="minorHAnsi"/>
          <w:lang w:val="en-US"/>
        </w:rPr>
        <w:t xml:space="preserve"> </w:t>
      </w:r>
      <w:r w:rsidR="00E01AF1" w:rsidRPr="001F52A8">
        <w:rPr>
          <w:rFonts w:cstheme="minorHAnsi"/>
          <w:lang w:val="en-US"/>
        </w:rPr>
        <w:t>Samuel</w:t>
      </w:r>
      <w:r w:rsidR="00287CDD" w:rsidRPr="001F52A8">
        <w:rPr>
          <w:rFonts w:cstheme="minorHAnsi"/>
          <w:lang w:val="en-US"/>
        </w:rPr>
        <w:t xml:space="preserve"> to come to </w:t>
      </w:r>
      <w:r w:rsidR="00B16257" w:rsidRPr="001F52A8">
        <w:rPr>
          <w:rFonts w:cstheme="minorHAnsi"/>
          <w:lang w:val="en-US"/>
        </w:rPr>
        <w:t>offer sacrifices</w:t>
      </w:r>
      <w:r w:rsidR="00E01AF1" w:rsidRPr="001F52A8">
        <w:rPr>
          <w:rFonts w:cstheme="minorHAnsi"/>
          <w:lang w:val="en-US"/>
        </w:rPr>
        <w:t xml:space="preserve"> and make known to him what he is to do (10:8</w:t>
      </w:r>
      <w:r w:rsidR="00917753" w:rsidRPr="001F52A8">
        <w:rPr>
          <w:rFonts w:cstheme="minorHAnsi"/>
          <w:lang w:val="en-US"/>
        </w:rPr>
        <w:t xml:space="preserve">). </w:t>
      </w:r>
      <w:r w:rsidR="009B7A45">
        <w:rPr>
          <w:rFonts w:cstheme="minorHAnsi"/>
          <w:lang w:val="en-US"/>
        </w:rPr>
        <w:t>T</w:t>
      </w:r>
      <w:r w:rsidR="002D4D02" w:rsidRPr="001F52A8">
        <w:rPr>
          <w:rFonts w:cstheme="minorHAnsi"/>
          <w:lang w:val="en-US"/>
        </w:rPr>
        <w:t>he sequence of events in 1 Sam</w:t>
      </w:r>
      <w:r w:rsidR="00E84059">
        <w:rPr>
          <w:rFonts w:cstheme="minorHAnsi"/>
          <w:lang w:val="en-US"/>
        </w:rPr>
        <w:t>uel</w:t>
      </w:r>
      <w:r w:rsidR="002D4D02" w:rsidRPr="001F52A8">
        <w:rPr>
          <w:rFonts w:cstheme="minorHAnsi"/>
          <w:lang w:val="en-US"/>
        </w:rPr>
        <w:t xml:space="preserve"> </w:t>
      </w:r>
      <w:r w:rsidR="00EF10AD" w:rsidRPr="001F52A8">
        <w:rPr>
          <w:rFonts w:cstheme="minorHAnsi"/>
          <w:lang w:val="en-US"/>
        </w:rPr>
        <w:t xml:space="preserve">11 – 13 </w:t>
      </w:r>
      <w:r w:rsidR="00BB4136">
        <w:rPr>
          <w:rFonts w:cstheme="minorHAnsi"/>
          <w:lang w:val="en-US"/>
        </w:rPr>
        <w:t xml:space="preserve">will </w:t>
      </w:r>
      <w:r w:rsidR="00D27722" w:rsidRPr="001F52A8">
        <w:rPr>
          <w:rFonts w:cstheme="minorHAnsi"/>
          <w:lang w:val="en-US"/>
        </w:rPr>
        <w:t>partly clarify things.</w:t>
      </w:r>
    </w:p>
    <w:p w14:paraId="3A71ECBB" w14:textId="3244598C" w:rsidR="0038157D" w:rsidRPr="001F52A8" w:rsidRDefault="00D27722" w:rsidP="003F18F9">
      <w:pPr>
        <w:pStyle w:val="ListParagraph"/>
        <w:numPr>
          <w:ilvl w:val="0"/>
          <w:numId w:val="8"/>
        </w:numPr>
        <w:ind w:left="720"/>
        <w:rPr>
          <w:rFonts w:cs="Calibri"/>
          <w:lang w:val="en-US"/>
        </w:rPr>
      </w:pPr>
      <w:r w:rsidRPr="001F52A8">
        <w:rPr>
          <w:rFonts w:cstheme="minorHAnsi"/>
          <w:lang w:val="en-US"/>
        </w:rPr>
        <w:t>Meanwhile, o</w:t>
      </w:r>
      <w:r w:rsidR="006E3114" w:rsidRPr="001F52A8">
        <w:rPr>
          <w:rFonts w:cstheme="minorHAnsi"/>
          <w:lang w:val="en-US"/>
        </w:rPr>
        <w:t>nce again the narrative jumps (10:</w:t>
      </w:r>
      <w:r w:rsidR="00DA207D" w:rsidRPr="001F52A8">
        <w:rPr>
          <w:rFonts w:cstheme="minorHAnsi"/>
          <w:lang w:val="en-US"/>
        </w:rPr>
        <w:t xml:space="preserve">17-27). </w:t>
      </w:r>
      <w:r w:rsidR="0080027E" w:rsidRPr="001F52A8">
        <w:rPr>
          <w:rFonts w:cstheme="minorHAnsi"/>
          <w:lang w:val="en-US"/>
        </w:rPr>
        <w:t xml:space="preserve">Samuel summons the people </w:t>
      </w:r>
      <w:r w:rsidR="00E84059">
        <w:rPr>
          <w:rFonts w:cstheme="minorHAnsi"/>
          <w:lang w:val="en-US"/>
        </w:rPr>
        <w:t>to</w:t>
      </w:r>
      <w:r w:rsidR="0080027E" w:rsidRPr="001F52A8">
        <w:rPr>
          <w:rFonts w:cstheme="minorHAnsi"/>
          <w:lang w:val="en-US"/>
        </w:rPr>
        <w:t xml:space="preserve"> Mizpah again</w:t>
      </w:r>
      <w:r w:rsidR="00680E5E" w:rsidRPr="001F52A8">
        <w:rPr>
          <w:rFonts w:cstheme="minorHAnsi"/>
          <w:lang w:val="en-US"/>
        </w:rPr>
        <w:t>, reass</w:t>
      </w:r>
      <w:r w:rsidR="00370D50" w:rsidRPr="001F52A8">
        <w:rPr>
          <w:rFonts w:cstheme="minorHAnsi"/>
          <w:lang w:val="en-US"/>
        </w:rPr>
        <w:t xml:space="preserve">erts </w:t>
      </w:r>
      <w:r w:rsidR="008029B2">
        <w:rPr>
          <w:rFonts w:cstheme="minorHAnsi"/>
          <w:lang w:val="en-US"/>
        </w:rPr>
        <w:t>a rebuke for</w:t>
      </w:r>
      <w:r w:rsidR="00370D50" w:rsidRPr="001F52A8">
        <w:rPr>
          <w:rFonts w:cstheme="minorHAnsi"/>
          <w:lang w:val="en-US"/>
        </w:rPr>
        <w:t xml:space="preserve"> the</w:t>
      </w:r>
      <w:r w:rsidR="008029B2">
        <w:rPr>
          <w:rFonts w:cstheme="minorHAnsi"/>
          <w:lang w:val="en-US"/>
        </w:rPr>
        <w:t>ir</w:t>
      </w:r>
      <w:r w:rsidR="00370D50" w:rsidRPr="001F52A8">
        <w:rPr>
          <w:rFonts w:cstheme="minorHAnsi"/>
          <w:lang w:val="en-US"/>
        </w:rPr>
        <w:t xml:space="preserve"> rebuff</w:t>
      </w:r>
      <w:r w:rsidR="008029B2">
        <w:rPr>
          <w:rFonts w:cstheme="minorHAnsi"/>
          <w:lang w:val="en-US"/>
        </w:rPr>
        <w:t>ing</w:t>
      </w:r>
      <w:r w:rsidR="00370D50" w:rsidRPr="001F52A8">
        <w:rPr>
          <w:rFonts w:cstheme="minorHAnsi"/>
          <w:lang w:val="en-US"/>
        </w:rPr>
        <w:t xml:space="preserve"> Yahweh </w:t>
      </w:r>
      <w:r w:rsidR="00BB4136">
        <w:rPr>
          <w:rFonts w:cstheme="minorHAnsi"/>
          <w:lang w:val="en-US"/>
        </w:rPr>
        <w:t>in</w:t>
      </w:r>
      <w:r w:rsidR="00370D50" w:rsidRPr="001F52A8">
        <w:rPr>
          <w:rFonts w:cstheme="minorHAnsi"/>
          <w:lang w:val="en-US"/>
        </w:rPr>
        <w:t xml:space="preserve"> sa</w:t>
      </w:r>
      <w:r w:rsidR="00BB4136">
        <w:rPr>
          <w:rFonts w:cstheme="minorHAnsi"/>
          <w:lang w:val="en-US"/>
        </w:rPr>
        <w:t>ying</w:t>
      </w:r>
      <w:r w:rsidR="00370D50" w:rsidRPr="001F52A8">
        <w:rPr>
          <w:rFonts w:cstheme="minorHAnsi"/>
          <w:lang w:val="en-US"/>
        </w:rPr>
        <w:t xml:space="preserve"> they </w:t>
      </w:r>
      <w:r w:rsidR="00D27B2E" w:rsidRPr="001F52A8">
        <w:rPr>
          <w:rFonts w:cstheme="minorHAnsi"/>
          <w:lang w:val="en-US"/>
        </w:rPr>
        <w:t xml:space="preserve">want a king, </w:t>
      </w:r>
      <w:r w:rsidR="008029B2">
        <w:rPr>
          <w:rFonts w:cstheme="minorHAnsi"/>
          <w:lang w:val="en-US"/>
        </w:rPr>
        <w:t>but</w:t>
      </w:r>
      <w:r w:rsidR="00D27B2E" w:rsidRPr="001F52A8">
        <w:rPr>
          <w:rFonts w:cstheme="minorHAnsi"/>
          <w:lang w:val="en-US"/>
        </w:rPr>
        <w:t xml:space="preserve"> gets the</w:t>
      </w:r>
      <w:r w:rsidR="008029B2">
        <w:rPr>
          <w:rFonts w:cstheme="minorHAnsi"/>
          <w:lang w:val="en-US"/>
        </w:rPr>
        <w:t>m</w:t>
      </w:r>
      <w:r w:rsidR="00D27B2E" w:rsidRPr="001F52A8">
        <w:rPr>
          <w:rFonts w:cstheme="minorHAnsi"/>
          <w:lang w:val="en-US"/>
        </w:rPr>
        <w:t xml:space="preserve"> to assemble by families so </w:t>
      </w:r>
      <w:r w:rsidR="00E467DE" w:rsidRPr="001F52A8">
        <w:rPr>
          <w:rFonts w:cstheme="minorHAnsi"/>
          <w:lang w:val="en-US"/>
        </w:rPr>
        <w:t>they can identify by lot the person</w:t>
      </w:r>
      <w:r w:rsidR="00C9682F">
        <w:rPr>
          <w:rFonts w:cstheme="minorHAnsi"/>
          <w:lang w:val="en-US"/>
        </w:rPr>
        <w:t xml:space="preserve"> of Yahweh’s choice</w:t>
      </w:r>
      <w:r w:rsidR="00E467DE" w:rsidRPr="001F52A8">
        <w:rPr>
          <w:rFonts w:cstheme="minorHAnsi"/>
          <w:lang w:val="en-US"/>
        </w:rPr>
        <w:t xml:space="preserve">. </w:t>
      </w:r>
      <w:r w:rsidR="004F7B36" w:rsidRPr="001F52A8">
        <w:rPr>
          <w:rFonts w:cstheme="minorHAnsi"/>
          <w:lang w:val="en-US"/>
        </w:rPr>
        <w:t xml:space="preserve">The process </w:t>
      </w:r>
      <w:r w:rsidR="00332141" w:rsidRPr="001F52A8">
        <w:rPr>
          <w:rFonts w:cstheme="minorHAnsi"/>
          <w:lang w:val="en-US"/>
        </w:rPr>
        <w:t>might seem</w:t>
      </w:r>
      <w:r w:rsidR="004F7B36" w:rsidRPr="001F52A8">
        <w:rPr>
          <w:rFonts w:cstheme="minorHAnsi"/>
          <w:lang w:val="en-US"/>
        </w:rPr>
        <w:t xml:space="preserve"> worrying</w:t>
      </w:r>
      <w:r w:rsidR="00332141" w:rsidRPr="001F52A8">
        <w:rPr>
          <w:rFonts w:cstheme="minorHAnsi"/>
          <w:lang w:val="en-US"/>
        </w:rPr>
        <w:t>, as</w:t>
      </w:r>
      <w:r w:rsidR="004F7B36" w:rsidRPr="001F52A8">
        <w:rPr>
          <w:rFonts w:cstheme="minorHAnsi"/>
          <w:lang w:val="en-US"/>
        </w:rPr>
        <w:t xml:space="preserve"> the last person iden</w:t>
      </w:r>
      <w:r w:rsidR="00EB0A58" w:rsidRPr="001F52A8">
        <w:rPr>
          <w:rFonts w:cstheme="minorHAnsi"/>
          <w:lang w:val="en-US"/>
        </w:rPr>
        <w:t>tified this way was Achan (Josh 7)</w:t>
      </w:r>
      <w:r w:rsidR="00332141" w:rsidRPr="001F52A8">
        <w:rPr>
          <w:rFonts w:cstheme="minorHAnsi"/>
          <w:lang w:val="en-US"/>
        </w:rPr>
        <w:t>, but it w</w:t>
      </w:r>
      <w:r w:rsidR="004C33D3">
        <w:rPr>
          <w:rFonts w:cstheme="minorHAnsi"/>
          <w:lang w:val="en-US"/>
        </w:rPr>
        <w:t>ill</w:t>
      </w:r>
      <w:r w:rsidR="00332141" w:rsidRPr="001F52A8">
        <w:rPr>
          <w:rFonts w:cstheme="minorHAnsi"/>
          <w:lang w:val="en-US"/>
        </w:rPr>
        <w:t xml:space="preserve"> apparently </w:t>
      </w:r>
      <w:r w:rsidR="004C33D3">
        <w:rPr>
          <w:rFonts w:cstheme="minorHAnsi"/>
          <w:lang w:val="en-US"/>
        </w:rPr>
        <w:t xml:space="preserve">be </w:t>
      </w:r>
      <w:r w:rsidR="00332141" w:rsidRPr="001F52A8">
        <w:rPr>
          <w:rFonts w:cstheme="minorHAnsi"/>
          <w:lang w:val="en-US"/>
        </w:rPr>
        <w:t xml:space="preserve">okay for the appointment of Matthias (Acts 1:26). </w:t>
      </w:r>
      <w:r w:rsidR="0038313C" w:rsidRPr="001F52A8">
        <w:rPr>
          <w:rFonts w:cstheme="minorHAnsi"/>
          <w:lang w:val="en-US"/>
        </w:rPr>
        <w:t>T</w:t>
      </w:r>
      <w:r w:rsidR="00B3032A" w:rsidRPr="001F52A8">
        <w:rPr>
          <w:rFonts w:cstheme="minorHAnsi"/>
          <w:lang w:val="en-US"/>
        </w:rPr>
        <w:t xml:space="preserve">he method underscores the </w:t>
      </w:r>
      <w:r w:rsidR="00EE750B" w:rsidRPr="001F52A8">
        <w:rPr>
          <w:rFonts w:cstheme="minorHAnsi"/>
          <w:lang w:val="en-US"/>
        </w:rPr>
        <w:t xml:space="preserve">assumption that </w:t>
      </w:r>
      <w:r w:rsidR="0049200B" w:rsidRPr="001F52A8">
        <w:rPr>
          <w:rFonts w:cstheme="minorHAnsi"/>
          <w:lang w:val="en-US"/>
        </w:rPr>
        <w:t>determining who should be king isn’t a matter of discerning who has the leadership qualities, or even the personal qualities</w:t>
      </w:r>
      <w:r w:rsidR="005517AC">
        <w:rPr>
          <w:rFonts w:cstheme="minorHAnsi"/>
          <w:lang w:val="en-US"/>
        </w:rPr>
        <w:t>, but</w:t>
      </w:r>
      <w:r w:rsidR="002F4056" w:rsidRPr="001F52A8">
        <w:rPr>
          <w:rFonts w:cstheme="minorHAnsi"/>
          <w:lang w:val="en-US"/>
        </w:rPr>
        <w:t xml:space="preserve"> of discerning who is Yahweh’s choice.</w:t>
      </w:r>
      <w:r w:rsidR="00A2760C" w:rsidRPr="001F52A8">
        <w:rPr>
          <w:rFonts w:cstheme="minorHAnsi"/>
          <w:lang w:val="en-US"/>
        </w:rPr>
        <w:t xml:space="preserve"> The </w:t>
      </w:r>
      <w:r w:rsidR="00CA1209" w:rsidRPr="001F52A8">
        <w:rPr>
          <w:rFonts w:cstheme="minorHAnsi"/>
          <w:lang w:val="en-US"/>
        </w:rPr>
        <w:t xml:space="preserve">private and secret anointing </w:t>
      </w:r>
      <w:r w:rsidR="0059667A">
        <w:rPr>
          <w:rFonts w:cstheme="minorHAnsi"/>
          <w:lang w:val="en-US"/>
        </w:rPr>
        <w:t>(</w:t>
      </w:r>
      <w:r w:rsidR="00745545">
        <w:rPr>
          <w:rFonts w:cstheme="minorHAnsi"/>
          <w:lang w:val="en-US"/>
        </w:rPr>
        <w:t xml:space="preserve">10:1) </w:t>
      </w:r>
      <w:r w:rsidR="00CA1209" w:rsidRPr="001F52A8">
        <w:rPr>
          <w:rFonts w:cstheme="minorHAnsi"/>
          <w:lang w:val="en-US"/>
        </w:rPr>
        <w:t>and the public identification confirm each other.</w:t>
      </w:r>
      <w:r w:rsidR="00CA1209" w:rsidRPr="001F52A8">
        <w:rPr>
          <w:rStyle w:val="FootnoteReference"/>
          <w:rFonts w:cstheme="minorHAnsi"/>
          <w:lang w:val="en-US"/>
        </w:rPr>
        <w:footnoteReference w:id="135"/>
      </w:r>
      <w:r w:rsidR="00EB0A58" w:rsidRPr="001F52A8">
        <w:rPr>
          <w:rFonts w:cstheme="minorHAnsi"/>
          <w:lang w:val="en-US"/>
        </w:rPr>
        <w:t xml:space="preserve"> </w:t>
      </w:r>
    </w:p>
    <w:p w14:paraId="7500E863" w14:textId="47F6FA33" w:rsidR="00463D45" w:rsidRPr="001F52A8" w:rsidRDefault="00E467DE" w:rsidP="003F18F9">
      <w:pPr>
        <w:pStyle w:val="ListParagraph"/>
        <w:numPr>
          <w:ilvl w:val="0"/>
          <w:numId w:val="8"/>
        </w:numPr>
        <w:ind w:left="720"/>
        <w:rPr>
          <w:rFonts w:cs="Calibri"/>
          <w:lang w:val="en-US"/>
        </w:rPr>
      </w:pPr>
      <w:r w:rsidRPr="001F52A8">
        <w:rPr>
          <w:rFonts w:cstheme="minorHAnsi"/>
          <w:lang w:val="en-US"/>
        </w:rPr>
        <w:t xml:space="preserve">Saul </w:t>
      </w:r>
      <w:r w:rsidR="00EE3441" w:rsidRPr="001F52A8">
        <w:rPr>
          <w:rFonts w:cstheme="minorHAnsi"/>
          <w:lang w:val="en-US"/>
        </w:rPr>
        <w:t>is hiding with the</w:t>
      </w:r>
      <w:r w:rsidR="00F5720C" w:rsidRPr="001F52A8">
        <w:rPr>
          <w:rFonts w:cstheme="minorHAnsi"/>
          <w:lang w:val="en-US"/>
        </w:rPr>
        <w:t xml:space="preserve"> stuff belonging to the gathering</w:t>
      </w:r>
      <w:r w:rsidR="00EE3441" w:rsidRPr="001F52A8">
        <w:rPr>
          <w:rFonts w:cstheme="minorHAnsi"/>
          <w:lang w:val="en-US"/>
        </w:rPr>
        <w:t xml:space="preserve">, </w:t>
      </w:r>
      <w:r w:rsidR="00F64093" w:rsidRPr="001F52A8">
        <w:rPr>
          <w:rFonts w:cstheme="minorHAnsi"/>
          <w:lang w:val="en-US"/>
        </w:rPr>
        <w:t>but it doesn’t stop Samuel designating him</w:t>
      </w:r>
      <w:r w:rsidR="0072531C" w:rsidRPr="001F52A8">
        <w:rPr>
          <w:rFonts w:cstheme="minorHAnsi"/>
          <w:lang w:val="en-US"/>
        </w:rPr>
        <w:t>.</w:t>
      </w:r>
      <w:r w:rsidR="005D700A" w:rsidRPr="001F52A8">
        <w:rPr>
          <w:rFonts w:cstheme="minorHAnsi"/>
          <w:lang w:val="en-US"/>
        </w:rPr>
        <w:t xml:space="preserve"> </w:t>
      </w:r>
      <w:r w:rsidR="0007364E" w:rsidRPr="001F52A8">
        <w:rPr>
          <w:rFonts w:cstheme="minorHAnsi"/>
          <w:lang w:val="en-US"/>
        </w:rPr>
        <w:t xml:space="preserve">Like declining </w:t>
      </w:r>
      <w:r w:rsidR="006D0CAD" w:rsidRPr="001F52A8">
        <w:rPr>
          <w:rFonts w:cstheme="minorHAnsi"/>
          <w:lang w:val="en-US"/>
        </w:rPr>
        <w:t>to tell his uncle about his anointing (10:</w:t>
      </w:r>
      <w:r w:rsidR="00F274A7" w:rsidRPr="001F52A8">
        <w:rPr>
          <w:rFonts w:cstheme="minorHAnsi"/>
          <w:lang w:val="en-US"/>
        </w:rPr>
        <w:t xml:space="preserve">15 – 17), </w:t>
      </w:r>
      <w:r w:rsidR="00F5720C" w:rsidRPr="001F52A8">
        <w:rPr>
          <w:rFonts w:cstheme="minorHAnsi"/>
          <w:lang w:val="en-US"/>
        </w:rPr>
        <w:t>hiding</w:t>
      </w:r>
      <w:r w:rsidR="0038157D" w:rsidRPr="001F52A8">
        <w:rPr>
          <w:rFonts w:cstheme="minorHAnsi"/>
          <w:lang w:val="en-US"/>
        </w:rPr>
        <w:t xml:space="preserve"> is </w:t>
      </w:r>
      <w:r w:rsidR="00032F0E" w:rsidRPr="001F52A8">
        <w:rPr>
          <w:rFonts w:cstheme="minorHAnsi"/>
          <w:lang w:val="en-US"/>
        </w:rPr>
        <w:t xml:space="preserve">a sign of being </w:t>
      </w:r>
      <w:r w:rsidR="006C26B1" w:rsidRPr="001F52A8">
        <w:rPr>
          <w:rFonts w:cstheme="minorHAnsi"/>
          <w:lang w:val="en-US"/>
        </w:rPr>
        <w:t>someone who doesn’t push himself forward</w:t>
      </w:r>
      <w:r w:rsidR="00D036F3" w:rsidRPr="001F52A8">
        <w:rPr>
          <w:rFonts w:cstheme="minorHAnsi"/>
          <w:lang w:val="en-US"/>
        </w:rPr>
        <w:t>, and/or a sign of “</w:t>
      </w:r>
      <w:r w:rsidR="00074C8C" w:rsidRPr="001F52A8">
        <w:rPr>
          <w:rFonts w:cstheme="minorHAnsi"/>
          <w:lang w:val="en-US"/>
        </w:rPr>
        <w:t>Saul’s</w:t>
      </w:r>
      <w:r w:rsidR="00D036F3" w:rsidRPr="001F52A8">
        <w:rPr>
          <w:rFonts w:cstheme="minorHAnsi"/>
          <w:lang w:val="en-US"/>
        </w:rPr>
        <w:t xml:space="preserve"> premonition </w:t>
      </w:r>
      <w:r w:rsidR="00074C8C" w:rsidRPr="001F52A8">
        <w:rPr>
          <w:rFonts w:cstheme="minorHAnsi"/>
          <w:lang w:val="en-US"/>
        </w:rPr>
        <w:t>that ruling is a burden from which he must hide.”</w:t>
      </w:r>
      <w:r w:rsidR="00045355" w:rsidRPr="001F52A8">
        <w:rPr>
          <w:rStyle w:val="FootnoteReference"/>
          <w:rFonts w:cstheme="minorHAnsi"/>
          <w:lang w:val="en-US"/>
        </w:rPr>
        <w:footnoteReference w:id="136"/>
      </w:r>
    </w:p>
    <w:p w14:paraId="203F795B" w14:textId="5E54C007" w:rsidR="006E3114" w:rsidRPr="001F52A8" w:rsidRDefault="00B33DE9" w:rsidP="004E5571">
      <w:pPr>
        <w:pStyle w:val="ListParagraph"/>
        <w:numPr>
          <w:ilvl w:val="0"/>
          <w:numId w:val="8"/>
        </w:numPr>
        <w:ind w:left="720"/>
        <w:rPr>
          <w:rFonts w:cs="Calibri"/>
          <w:lang w:val="en-US"/>
        </w:rPr>
      </w:pPr>
      <w:r w:rsidRPr="001F52A8">
        <w:rPr>
          <w:rFonts w:cstheme="minorHAnsi"/>
          <w:lang w:val="en-US"/>
        </w:rPr>
        <w:lastRenderedPageBreak/>
        <w:t xml:space="preserve">The people acclaim him. </w:t>
      </w:r>
      <w:r w:rsidR="00B31998" w:rsidRPr="001F52A8">
        <w:rPr>
          <w:rFonts w:cstheme="minorHAnsi"/>
          <w:lang w:val="en-US"/>
        </w:rPr>
        <w:t xml:space="preserve">Samuel </w:t>
      </w:r>
      <w:r w:rsidR="00E669E1" w:rsidRPr="001F52A8">
        <w:rPr>
          <w:rFonts w:cstheme="minorHAnsi"/>
          <w:lang w:val="en-US"/>
        </w:rPr>
        <w:t>gives the people another</w:t>
      </w:r>
      <w:r w:rsidR="00E669E1" w:rsidRPr="001F52A8">
        <w:rPr>
          <w:lang w:val="en-US"/>
        </w:rPr>
        <w:t xml:space="preserve"> description of </w:t>
      </w:r>
      <w:r w:rsidR="002A332D">
        <w:rPr>
          <w:lang w:val="en-US"/>
        </w:rPr>
        <w:t>how</w:t>
      </w:r>
      <w:r w:rsidR="00E669E1" w:rsidRPr="001F52A8">
        <w:rPr>
          <w:lang w:val="en-US"/>
        </w:rPr>
        <w:t xml:space="preserve"> the king will exercise authority, his </w:t>
      </w:r>
      <w:r w:rsidR="00E669E1" w:rsidRPr="001F52A8">
        <w:rPr>
          <w:i/>
          <w:iCs/>
          <w:lang w:val="en-US"/>
        </w:rPr>
        <w:t>mi</w:t>
      </w:r>
      <w:r w:rsidR="00E669E1" w:rsidRPr="001F52A8">
        <w:rPr>
          <w:rFonts w:cs="Calibri"/>
          <w:i/>
          <w:iCs/>
          <w:lang w:val="en-US"/>
        </w:rPr>
        <w:t>špāṭ</w:t>
      </w:r>
      <w:r w:rsidR="00DF4C02" w:rsidRPr="001F52A8">
        <w:rPr>
          <w:rFonts w:cs="Calibri"/>
          <w:lang w:val="en-US"/>
        </w:rPr>
        <w:t xml:space="preserve"> (10:25),</w:t>
      </w:r>
      <w:r w:rsidR="004B5E91" w:rsidRPr="001F52A8">
        <w:rPr>
          <w:rFonts w:cs="Calibri"/>
          <w:lang w:val="en-US"/>
        </w:rPr>
        <w:t xml:space="preserve"> </w:t>
      </w:r>
      <w:r w:rsidR="0065171D" w:rsidRPr="001F52A8">
        <w:rPr>
          <w:rFonts w:cs="Calibri"/>
          <w:lang w:val="en-US"/>
        </w:rPr>
        <w:t xml:space="preserve">different from the </w:t>
      </w:r>
      <w:r w:rsidR="006C3910">
        <w:rPr>
          <w:rFonts w:cs="Calibri"/>
          <w:lang w:val="en-US"/>
        </w:rPr>
        <w:t xml:space="preserve">earlier </w:t>
      </w:r>
      <w:r w:rsidR="0065171D" w:rsidRPr="001F52A8">
        <w:rPr>
          <w:rFonts w:cs="Calibri"/>
          <w:lang w:val="en-US"/>
        </w:rPr>
        <w:t xml:space="preserve">one </w:t>
      </w:r>
      <w:r w:rsidR="006C3910">
        <w:rPr>
          <w:rFonts w:cs="Calibri"/>
          <w:lang w:val="en-US"/>
        </w:rPr>
        <w:t>(</w:t>
      </w:r>
      <w:r w:rsidR="0065171D" w:rsidRPr="001F52A8">
        <w:rPr>
          <w:rFonts w:cs="Calibri"/>
          <w:lang w:val="en-US"/>
        </w:rPr>
        <w:t>8:11-18</w:t>
      </w:r>
      <w:r w:rsidR="006C3910">
        <w:rPr>
          <w:rFonts w:cs="Calibri"/>
          <w:lang w:val="en-US"/>
        </w:rPr>
        <w:t>)</w:t>
      </w:r>
      <w:r w:rsidR="004B5E91" w:rsidRPr="001F52A8">
        <w:rPr>
          <w:rFonts w:cs="Calibri"/>
          <w:lang w:val="en-US"/>
        </w:rPr>
        <w:t xml:space="preserve">: NRSV here </w:t>
      </w:r>
      <w:r w:rsidR="00A96C14">
        <w:rPr>
          <w:rFonts w:cs="Calibri"/>
          <w:lang w:val="en-US"/>
        </w:rPr>
        <w:t>renders</w:t>
      </w:r>
      <w:r w:rsidR="00B467A5" w:rsidRPr="001F52A8">
        <w:rPr>
          <w:rFonts w:cs="Calibri"/>
          <w:lang w:val="en-US"/>
        </w:rPr>
        <w:t xml:space="preserve"> the phrase “the rights and duties of the kingship</w:t>
      </w:r>
      <w:r w:rsidR="00CA33EA" w:rsidRPr="001F52A8">
        <w:rPr>
          <w:rFonts w:cs="Calibri"/>
          <w:lang w:val="en-US"/>
        </w:rPr>
        <w:t xml:space="preserve">.” Perhaps it is the kind of thing that appears in </w:t>
      </w:r>
      <w:r w:rsidR="00CA33EA" w:rsidRPr="001F52A8">
        <w:rPr>
          <w:rFonts w:cstheme="minorHAnsi"/>
          <w:lang w:val="en-US"/>
        </w:rPr>
        <w:t>Deut 17:14-20</w:t>
      </w:r>
      <w:r w:rsidR="00CA33EA" w:rsidRPr="001F52A8">
        <w:rPr>
          <w:rFonts w:cs="Calibri"/>
          <w:lang w:val="en-US"/>
        </w:rPr>
        <w:t xml:space="preserve">. </w:t>
      </w:r>
      <w:r w:rsidR="00E85108">
        <w:rPr>
          <w:rFonts w:cs="Calibri"/>
          <w:lang w:val="en-US"/>
        </w:rPr>
        <w:t>Samuel</w:t>
      </w:r>
      <w:r w:rsidR="00B42CE4" w:rsidRPr="001F52A8">
        <w:rPr>
          <w:rFonts w:cstheme="minorHAnsi"/>
          <w:lang w:val="en-US"/>
        </w:rPr>
        <w:t xml:space="preserve"> writes it down and sets it before Yahweh</w:t>
      </w:r>
      <w:r w:rsidR="00E85108">
        <w:rPr>
          <w:rFonts w:cstheme="minorHAnsi"/>
          <w:lang w:val="en-US"/>
        </w:rPr>
        <w:t>, a</w:t>
      </w:r>
      <w:r w:rsidRPr="001F52A8">
        <w:rPr>
          <w:rFonts w:cstheme="minorHAnsi"/>
          <w:lang w:val="en-US"/>
        </w:rPr>
        <w:t xml:space="preserve">nd everyone </w:t>
      </w:r>
      <w:r w:rsidR="0059491F" w:rsidRPr="001F52A8">
        <w:rPr>
          <w:rFonts w:cstheme="minorHAnsi"/>
          <w:lang w:val="en-US"/>
        </w:rPr>
        <w:t>g</w:t>
      </w:r>
      <w:r w:rsidRPr="001F52A8">
        <w:rPr>
          <w:rFonts w:cstheme="minorHAnsi"/>
          <w:lang w:val="en-US"/>
        </w:rPr>
        <w:t>oes h</w:t>
      </w:r>
      <w:r w:rsidR="00182B6F" w:rsidRPr="001F52A8">
        <w:rPr>
          <w:rFonts w:cstheme="minorHAnsi"/>
          <w:lang w:val="en-US"/>
        </w:rPr>
        <w:t>ome</w:t>
      </w:r>
      <w:r w:rsidR="00B6202C" w:rsidRPr="001F52A8">
        <w:rPr>
          <w:rFonts w:cstheme="minorHAnsi"/>
          <w:lang w:val="en-US"/>
        </w:rPr>
        <w:t>. T</w:t>
      </w:r>
      <w:r w:rsidR="00182B6F" w:rsidRPr="001F52A8">
        <w:rPr>
          <w:rFonts w:cstheme="minorHAnsi"/>
          <w:lang w:val="en-US"/>
        </w:rPr>
        <w:t>here are some people who are not impressed by Saul</w:t>
      </w:r>
      <w:r w:rsidR="00B6202C" w:rsidRPr="001F52A8">
        <w:rPr>
          <w:rFonts w:cstheme="minorHAnsi"/>
          <w:lang w:val="en-US"/>
        </w:rPr>
        <w:t xml:space="preserve">, but he </w:t>
      </w:r>
      <w:r w:rsidR="00B82A31" w:rsidRPr="001F52A8">
        <w:rPr>
          <w:rFonts w:cstheme="minorHAnsi"/>
          <w:lang w:val="en-US"/>
        </w:rPr>
        <w:t>keeps quiet</w:t>
      </w:r>
      <w:r w:rsidR="000A0FE7" w:rsidRPr="001F52A8">
        <w:rPr>
          <w:rFonts w:cstheme="minorHAnsi"/>
          <w:lang w:val="en-US"/>
        </w:rPr>
        <w:t xml:space="preserve"> (10:25-27</w:t>
      </w:r>
      <w:r w:rsidR="00EF75CF" w:rsidRPr="001F52A8">
        <w:rPr>
          <w:rFonts w:cstheme="minorHAnsi"/>
          <w:lang w:val="en-US"/>
        </w:rPr>
        <w:t>)</w:t>
      </w:r>
      <w:r w:rsidR="00F86300" w:rsidRPr="001F52A8">
        <w:rPr>
          <w:rFonts w:cstheme="minorHAnsi"/>
          <w:lang w:val="en-US"/>
        </w:rPr>
        <w:t>, which might be a sign of wisdom (Prov</w:t>
      </w:r>
      <w:r w:rsidR="00ED4F7B">
        <w:rPr>
          <w:rFonts w:cstheme="minorHAnsi"/>
          <w:lang w:val="en-US"/>
        </w:rPr>
        <w:t xml:space="preserve"> </w:t>
      </w:r>
      <w:r w:rsidR="00320260" w:rsidRPr="001F52A8">
        <w:rPr>
          <w:rFonts w:cstheme="minorHAnsi"/>
          <w:lang w:val="en-US"/>
        </w:rPr>
        <w:t>11:12).</w:t>
      </w:r>
    </w:p>
    <w:p w14:paraId="69B3E0BF" w14:textId="56B973FD" w:rsidR="00C51A42" w:rsidRPr="001F52A8" w:rsidRDefault="00C51A42" w:rsidP="000B0A0F">
      <w:pPr>
        <w:pStyle w:val="Heading2"/>
      </w:pPr>
      <w:r w:rsidRPr="001F52A8">
        <w:t>How To Be a King</w:t>
      </w:r>
    </w:p>
    <w:p w14:paraId="5F2B013C" w14:textId="28A96ACD" w:rsidR="00B714D0" w:rsidRPr="005C6CAF" w:rsidRDefault="003E2DB4" w:rsidP="005C6CAF">
      <w:r w:rsidRPr="001F52A8">
        <w:t>The Philistines were not Israel</w:t>
      </w:r>
      <w:r w:rsidR="001B4EF7">
        <w:t>’s</w:t>
      </w:r>
      <w:r w:rsidRPr="001F52A8">
        <w:t xml:space="preserve"> only problem</w:t>
      </w:r>
      <w:r w:rsidR="00915D25" w:rsidRPr="001F52A8">
        <w:t xml:space="preserve"> (11:1</w:t>
      </w:r>
      <w:r w:rsidR="0036053C" w:rsidRPr="001F52A8">
        <w:t>-5</w:t>
      </w:r>
      <w:r w:rsidR="00915D25" w:rsidRPr="001F52A8">
        <w:t xml:space="preserve">). </w:t>
      </w:r>
      <w:r w:rsidR="00EA3AFD" w:rsidRPr="001F52A8">
        <w:t>According to Judges 11, t</w:t>
      </w:r>
      <w:r w:rsidR="00915D25" w:rsidRPr="001F52A8">
        <w:t xml:space="preserve">he Ammonites </w:t>
      </w:r>
      <w:r w:rsidR="005F3D51" w:rsidRPr="001F52A8">
        <w:t xml:space="preserve">claimed </w:t>
      </w:r>
      <w:r w:rsidR="00EA3AFD" w:rsidRPr="001F52A8">
        <w:t>the Israelite territory east of the Jordan</w:t>
      </w:r>
      <w:r w:rsidR="00E77C37" w:rsidRPr="001F52A8">
        <w:t xml:space="preserve">, are now trying to drive the Israelites out of </w:t>
      </w:r>
      <w:r w:rsidR="00290FCC" w:rsidRPr="001F52A8">
        <w:t>Jabesh-gilead</w:t>
      </w:r>
      <w:r w:rsidR="00DB1E65">
        <w:t>,</w:t>
      </w:r>
      <w:r w:rsidR="00290FCC" w:rsidRPr="001F52A8">
        <w:t xml:space="preserve"> and </w:t>
      </w:r>
      <w:r w:rsidR="00B411DE" w:rsidRPr="001F52A8">
        <w:t>are intent on</w:t>
      </w:r>
      <w:r w:rsidR="00290FCC" w:rsidRPr="001F52A8">
        <w:t xml:space="preserve"> </w:t>
      </w:r>
      <w:r w:rsidR="00E462BE" w:rsidRPr="001F52A8">
        <w:t>disabl</w:t>
      </w:r>
      <w:r w:rsidR="00B411DE" w:rsidRPr="001F52A8">
        <w:t>ing</w:t>
      </w:r>
      <w:r w:rsidR="00E462BE" w:rsidRPr="001F52A8">
        <w:t xml:space="preserve"> people who remain</w:t>
      </w:r>
      <w:r w:rsidR="00544534" w:rsidRPr="001F52A8">
        <w:t>.</w:t>
      </w:r>
      <w:r w:rsidR="00916CCE">
        <w:rPr>
          <w:rStyle w:val="FootnoteReference"/>
        </w:rPr>
        <w:footnoteReference w:id="137"/>
      </w:r>
      <w:r w:rsidR="00544534" w:rsidRPr="001F52A8">
        <w:t xml:space="preserve"> </w:t>
      </w:r>
      <w:r w:rsidR="003E58D9" w:rsidRPr="001F52A8">
        <w:t xml:space="preserve">News reaches Saul, who is </w:t>
      </w:r>
      <w:r w:rsidR="008C0865" w:rsidRPr="001F52A8">
        <w:t>out plowing</w:t>
      </w:r>
      <w:r w:rsidR="00AC1B10">
        <w:t>. It</w:t>
      </w:r>
      <w:r w:rsidR="007B2CD4" w:rsidRPr="001F52A8">
        <w:t xml:space="preserve"> will seem surprising if</w:t>
      </w:r>
      <w:r w:rsidR="00C24BD7" w:rsidRPr="001F52A8">
        <w:t xml:space="preserve"> he has </w:t>
      </w:r>
      <w:r w:rsidR="00471C9F">
        <w:t xml:space="preserve">already </w:t>
      </w:r>
      <w:r w:rsidR="008C0865" w:rsidRPr="001F52A8">
        <w:t xml:space="preserve">been </w:t>
      </w:r>
      <w:r w:rsidR="00682AD6" w:rsidRPr="001F52A8">
        <w:t>acclaimed as king</w:t>
      </w:r>
      <w:r w:rsidR="00717B1E">
        <w:t>, but</w:t>
      </w:r>
      <w:r w:rsidR="004D1EEC" w:rsidRPr="001F52A8">
        <w:t xml:space="preserve"> </w:t>
      </w:r>
      <w:r w:rsidR="002B15F8" w:rsidRPr="001F52A8">
        <w:t xml:space="preserve">if a main point about a king is to lead the people in battle, the need for him to function as king arises only now. </w:t>
      </w:r>
      <w:r w:rsidR="002B15F8">
        <w:t>O</w:t>
      </w:r>
      <w:r w:rsidR="006A0176">
        <w:t>r</w:t>
      </w:r>
      <w:r w:rsidR="002B15F8">
        <w:t xml:space="preserve"> </w:t>
      </w:r>
      <w:r w:rsidR="00717B1E">
        <w:t xml:space="preserve">maybe </w:t>
      </w:r>
      <w:r w:rsidR="004D1EEC" w:rsidRPr="001F52A8">
        <w:t xml:space="preserve">1 Samuel 11 provides a third account of </w:t>
      </w:r>
      <w:r w:rsidR="003E7A0C" w:rsidRPr="001F52A8">
        <w:t>a</w:t>
      </w:r>
      <w:r w:rsidR="007132E5" w:rsidRPr="001F52A8">
        <w:t xml:space="preserve"> proper process whereby </w:t>
      </w:r>
      <w:r w:rsidR="005C36FB" w:rsidRPr="001F52A8">
        <w:t>Yahweh might indicate that a person should</w:t>
      </w:r>
      <w:r w:rsidR="003E7A0C" w:rsidRPr="001F52A8">
        <w:t xml:space="preserve"> </w:t>
      </w:r>
      <w:r w:rsidR="007132E5" w:rsidRPr="001F52A8">
        <w:t>become king</w:t>
      </w:r>
      <w:r w:rsidR="00011BBA" w:rsidRPr="001F52A8">
        <w:t xml:space="preserve"> </w:t>
      </w:r>
      <w:r w:rsidR="00286A36">
        <w:t>rather than</w:t>
      </w:r>
      <w:r w:rsidR="00011BBA" w:rsidRPr="001F52A8">
        <w:t xml:space="preserve"> merely </w:t>
      </w:r>
      <w:r w:rsidR="00717B1E">
        <w:t>someone</w:t>
      </w:r>
      <w:r w:rsidR="00011BBA" w:rsidRPr="001F52A8">
        <w:t xml:space="preserve"> with authority like </w:t>
      </w:r>
      <w:r w:rsidR="00C002D6" w:rsidRPr="001F52A8">
        <w:t xml:space="preserve">Gideon, </w:t>
      </w:r>
      <w:r w:rsidR="00011BBA" w:rsidRPr="001F52A8">
        <w:t>Eli</w:t>
      </w:r>
      <w:r w:rsidR="00C002D6" w:rsidRPr="001F52A8">
        <w:t>,</w:t>
      </w:r>
      <w:r w:rsidR="00011BBA" w:rsidRPr="001F52A8">
        <w:t xml:space="preserve"> or Samuel</w:t>
      </w:r>
      <w:r w:rsidR="00A50F24" w:rsidRPr="001F52A8">
        <w:t>. It is then</w:t>
      </w:r>
      <w:r w:rsidR="002317BB" w:rsidRPr="001F52A8">
        <w:t xml:space="preserve"> parallel to </w:t>
      </w:r>
      <w:r w:rsidR="00B71E72" w:rsidRPr="001F52A8">
        <w:t>the accounts in 1 Samuel 10</w:t>
      </w:r>
      <w:r w:rsidR="00A50F24" w:rsidRPr="001F52A8">
        <w:t xml:space="preserve"> rather than chronologically </w:t>
      </w:r>
      <w:r w:rsidR="003C5A73" w:rsidRPr="001F52A8">
        <w:t>sequential</w:t>
      </w:r>
      <w:r w:rsidR="007132E5" w:rsidRPr="001F52A8">
        <w:t xml:space="preserve">: there is </w:t>
      </w:r>
      <w:r w:rsidR="000F77AD" w:rsidRPr="001F52A8">
        <w:t xml:space="preserve">private </w:t>
      </w:r>
      <w:r w:rsidR="002317BB" w:rsidRPr="001F52A8">
        <w:t>anointing</w:t>
      </w:r>
      <w:r w:rsidR="002C5324" w:rsidRPr="001F52A8">
        <w:t>,</w:t>
      </w:r>
      <w:r w:rsidR="00B71E72" w:rsidRPr="001F52A8">
        <w:t xml:space="preserve"> </w:t>
      </w:r>
      <w:r w:rsidR="000F77AD" w:rsidRPr="001F52A8">
        <w:t>p</w:t>
      </w:r>
      <w:r w:rsidR="00A64DEF" w:rsidRPr="001F52A8">
        <w:t>ublic</w:t>
      </w:r>
      <w:r w:rsidR="000F77AD" w:rsidRPr="001F52A8">
        <w:t xml:space="preserve"> identification</w:t>
      </w:r>
      <w:r w:rsidR="00E72B4B" w:rsidRPr="001F52A8">
        <w:t>,</w:t>
      </w:r>
      <w:r w:rsidR="000F77AD" w:rsidRPr="001F52A8">
        <w:t xml:space="preserve"> </w:t>
      </w:r>
      <w:r w:rsidR="002221AA" w:rsidRPr="001F52A8">
        <w:t xml:space="preserve">and </w:t>
      </w:r>
      <w:r w:rsidR="003C5A73" w:rsidRPr="001F52A8">
        <w:t>also active</w:t>
      </w:r>
      <w:r w:rsidR="001059A2" w:rsidRPr="001F52A8">
        <w:t xml:space="preserve"> </w:t>
      </w:r>
      <w:r w:rsidR="00713785" w:rsidRPr="001F52A8">
        <w:t>demonstrati</w:t>
      </w:r>
      <w:r w:rsidR="0018759E" w:rsidRPr="001F52A8">
        <w:t>on that Yahweh is a</w:t>
      </w:r>
      <w:r w:rsidR="00C40B05" w:rsidRPr="001F52A8">
        <w:t>t work</w:t>
      </w:r>
      <w:r w:rsidR="0018759E" w:rsidRPr="001F52A8">
        <w:t xml:space="preserve"> through him.</w:t>
      </w:r>
      <w:r w:rsidR="0075667B">
        <w:t xml:space="preserve"> </w:t>
      </w:r>
      <w:r w:rsidR="002C5324" w:rsidRPr="001F52A8">
        <w:t>All three are important</w:t>
      </w:r>
      <w:r w:rsidR="00E0370D" w:rsidRPr="001F52A8">
        <w:t xml:space="preserve"> indicators of Yahweh choosing </w:t>
      </w:r>
      <w:r w:rsidR="00593628">
        <w:t>Saul</w:t>
      </w:r>
      <w:r w:rsidR="003452B0" w:rsidRPr="001F52A8">
        <w:t xml:space="preserve"> and thus of the argument for</w:t>
      </w:r>
      <w:r w:rsidR="002C5324" w:rsidRPr="001F52A8">
        <w:t xml:space="preserve"> recogniz</w:t>
      </w:r>
      <w:r w:rsidR="003452B0" w:rsidRPr="001F52A8">
        <w:t>ing him</w:t>
      </w:r>
      <w:r w:rsidR="002C5324" w:rsidRPr="001F52A8">
        <w:t xml:space="preserve"> </w:t>
      </w:r>
      <w:r w:rsidR="00E0370D" w:rsidRPr="001F52A8">
        <w:t xml:space="preserve">as </w:t>
      </w:r>
      <w:r w:rsidR="00C002D6" w:rsidRPr="001F52A8">
        <w:t>king.</w:t>
      </w:r>
      <w:r w:rsidR="005C6CAF">
        <w:t xml:space="preserve"> An</w:t>
      </w:r>
      <w:r w:rsidR="00593628">
        <w:t>yway,</w:t>
      </w:r>
      <w:r w:rsidR="005C6CAF">
        <w:t xml:space="preserve"> t</w:t>
      </w:r>
      <w:r w:rsidR="006F68A9" w:rsidRPr="001F52A8">
        <w:t xml:space="preserve">he </w:t>
      </w:r>
      <w:r w:rsidR="00DF4A3A" w:rsidRPr="001F52A8">
        <w:t>Ammonite action test</w:t>
      </w:r>
      <w:r w:rsidR="00E5373E">
        <w:t>s</w:t>
      </w:r>
      <w:r w:rsidR="00DF4A3A" w:rsidRPr="001F52A8">
        <w:t xml:space="preserve"> whether Saul can</w:t>
      </w:r>
      <w:r w:rsidR="00D0067B" w:rsidRPr="001F52A8">
        <w:t xml:space="preserve"> fulfill the role of king</w:t>
      </w:r>
      <w:r w:rsidR="00E5373E">
        <w:t>.</w:t>
      </w:r>
      <w:r w:rsidR="00D0067B" w:rsidRPr="001F52A8">
        <w:rPr>
          <w:rStyle w:val="FootnoteReference"/>
        </w:rPr>
        <w:footnoteReference w:id="138"/>
      </w:r>
      <w:r w:rsidR="005C6CAF">
        <w:t xml:space="preserve"> </w:t>
      </w:r>
      <w:r w:rsidR="00BC4E95" w:rsidRPr="001F52A8">
        <w:rPr>
          <w:rFonts w:cs="Calibri"/>
        </w:rPr>
        <w:t>Once again Yahweh’s breath or wind or spirit overwhelm</w:t>
      </w:r>
      <w:r w:rsidR="00C327B5" w:rsidRPr="001F52A8">
        <w:rPr>
          <w:rFonts w:cs="Calibri"/>
        </w:rPr>
        <w:t>s</w:t>
      </w:r>
      <w:r w:rsidR="00BC4E95" w:rsidRPr="001F52A8">
        <w:rPr>
          <w:rFonts w:cs="Calibri"/>
        </w:rPr>
        <w:t xml:space="preserve"> Saul, and his anger blaze</w:t>
      </w:r>
      <w:r w:rsidR="00C327B5" w:rsidRPr="001F52A8">
        <w:rPr>
          <w:rFonts w:cs="Calibri"/>
        </w:rPr>
        <w:t>s (11:6)</w:t>
      </w:r>
      <w:r w:rsidR="00BC4E95" w:rsidRPr="001F52A8">
        <w:rPr>
          <w:rFonts w:cs="Calibri"/>
        </w:rPr>
        <w:t xml:space="preserve">. </w:t>
      </w:r>
      <w:r w:rsidR="00E46C30">
        <w:rPr>
          <w:rFonts w:cs="Calibri"/>
        </w:rPr>
        <w:t>Yes, he is a different person</w:t>
      </w:r>
      <w:r w:rsidR="00880094">
        <w:rPr>
          <w:rFonts w:cs="Calibri"/>
        </w:rPr>
        <w:t>,</w:t>
      </w:r>
      <w:r w:rsidR="007C39E1" w:rsidRPr="001F52A8">
        <w:rPr>
          <w:rFonts w:ascii="Calibri" w:hAnsi="Calibri" w:cs="Calibri"/>
        </w:rPr>
        <w:t xml:space="preserve"> </w:t>
      </w:r>
      <w:r w:rsidR="00880094">
        <w:rPr>
          <w:rFonts w:ascii="Calibri" w:hAnsi="Calibri" w:cs="Calibri"/>
        </w:rPr>
        <w:t>an</w:t>
      </w:r>
      <w:r w:rsidR="005B520C">
        <w:rPr>
          <w:rFonts w:ascii="Calibri" w:hAnsi="Calibri" w:cs="Calibri"/>
        </w:rPr>
        <w:t>d</w:t>
      </w:r>
      <w:r w:rsidR="007C39E1" w:rsidRPr="001F52A8">
        <w:rPr>
          <w:rFonts w:ascii="Calibri" w:hAnsi="Calibri" w:cs="Calibri"/>
        </w:rPr>
        <w:t xml:space="preserve"> “Saul’s finest hour”</w:t>
      </w:r>
      <w:r w:rsidR="007C39E1" w:rsidRPr="001F52A8">
        <w:rPr>
          <w:rStyle w:val="FootnoteReference"/>
          <w:rFonts w:ascii="Calibri" w:hAnsi="Calibri" w:cs="Calibri"/>
        </w:rPr>
        <w:footnoteReference w:id="139"/>
      </w:r>
      <w:r w:rsidR="005B520C">
        <w:rPr>
          <w:rFonts w:ascii="Calibri" w:hAnsi="Calibri" w:cs="Calibri"/>
        </w:rPr>
        <w:t xml:space="preserve"> follows.</w:t>
      </w:r>
      <w:r w:rsidR="007C39E1">
        <w:rPr>
          <w:rFonts w:ascii="Calibri" w:hAnsi="Calibri" w:cs="Calibri"/>
        </w:rPr>
        <w:t xml:space="preserve"> </w:t>
      </w:r>
    </w:p>
    <w:p w14:paraId="7A0418CE" w14:textId="5ABF2C30" w:rsidR="00CC0560" w:rsidRPr="001F52A8" w:rsidRDefault="00BC4E95" w:rsidP="00BC4E95">
      <w:pPr>
        <w:rPr>
          <w:rFonts w:cs="Calibri"/>
        </w:rPr>
      </w:pPr>
      <w:r w:rsidRPr="001F52A8">
        <w:rPr>
          <w:rFonts w:cs="Calibri"/>
        </w:rPr>
        <w:t xml:space="preserve">Some events in the United States and in Britain in the year in which I write may help </w:t>
      </w:r>
      <w:r w:rsidR="005B520C">
        <w:rPr>
          <w:rFonts w:cs="Calibri"/>
        </w:rPr>
        <w:t>us</w:t>
      </w:r>
      <w:r w:rsidRPr="001F52A8">
        <w:rPr>
          <w:rFonts w:cs="Calibri"/>
        </w:rPr>
        <w:t xml:space="preserve"> understand the </w:t>
      </w:r>
      <w:r w:rsidR="0041740F">
        <w:rPr>
          <w:rFonts w:cs="Calibri"/>
        </w:rPr>
        <w:t>way</w:t>
      </w:r>
      <w:r w:rsidRPr="001F52A8">
        <w:rPr>
          <w:rFonts w:cs="Calibri"/>
        </w:rPr>
        <w:t xml:space="preserve"> Samuel</w:t>
      </w:r>
      <w:r w:rsidR="0041740F">
        <w:rPr>
          <w:rFonts w:cs="Calibri"/>
        </w:rPr>
        <w:t xml:space="preserve"> speaks about a spirit of anger</w:t>
      </w:r>
      <w:r w:rsidRPr="001F52A8">
        <w:rPr>
          <w:rFonts w:cs="Calibri"/>
        </w:rPr>
        <w:t xml:space="preserve">, and the latter may help </w:t>
      </w:r>
      <w:r w:rsidR="005D0DF6">
        <w:rPr>
          <w:rFonts w:cs="Calibri"/>
        </w:rPr>
        <w:t>us</w:t>
      </w:r>
      <w:r w:rsidRPr="001F52A8">
        <w:rPr>
          <w:rFonts w:cs="Calibri"/>
        </w:rPr>
        <w:t xml:space="preserve"> understand these events. A spirit of anger and/or affront and/or fear and/or compassion and/or worry has overwhelmed many people in connection with racism, imperialism, and global warming, and led to public demonstration</w:t>
      </w:r>
      <w:r w:rsidR="00DD2664">
        <w:rPr>
          <w:rFonts w:cs="Calibri"/>
        </w:rPr>
        <w:t>s</w:t>
      </w:r>
      <w:r w:rsidRPr="001F52A8">
        <w:rPr>
          <w:rFonts w:cs="Calibri"/>
        </w:rPr>
        <w:t xml:space="preserve"> over these matters and</w:t>
      </w:r>
      <w:r w:rsidR="00245FD7">
        <w:rPr>
          <w:rFonts w:cs="Calibri"/>
        </w:rPr>
        <w:t xml:space="preserve"> people</w:t>
      </w:r>
      <w:r w:rsidRPr="001F52A8">
        <w:rPr>
          <w:rFonts w:cs="Calibri"/>
        </w:rPr>
        <w:t xml:space="preserve"> taking violent action against property and/or people. This spirit was no</w:t>
      </w:r>
      <w:r w:rsidR="00245FD7">
        <w:rPr>
          <w:rFonts w:cs="Calibri"/>
        </w:rPr>
        <w:t>t</w:t>
      </w:r>
      <w:r w:rsidRPr="001F52A8">
        <w:rPr>
          <w:rFonts w:cs="Calibri"/>
        </w:rPr>
        <w:t xml:space="preserve"> something that was previously active in them, though it may have been there latent. It aroused them from outside</w:t>
      </w:r>
      <w:r w:rsidR="00C612A9">
        <w:rPr>
          <w:rFonts w:cs="Calibri"/>
        </w:rPr>
        <w:t xml:space="preserve"> a</w:t>
      </w:r>
      <w:r w:rsidRPr="001F52A8">
        <w:rPr>
          <w:rFonts w:cs="Calibri"/>
        </w:rPr>
        <w:t xml:space="preserve">nd turned them into different people (demonstrators often comment “I am not the kind of person who usually does this sort of thing, but…”). To speak of this spirit overwhelming them is not to indicate approval of it; Samuel will later speak of a bad spirit </w:t>
      </w:r>
      <w:r w:rsidR="00CB4F83" w:rsidRPr="001F52A8">
        <w:rPr>
          <w:rFonts w:cs="Calibri"/>
        </w:rPr>
        <w:t>overwhelming</w:t>
      </w:r>
      <w:r w:rsidRPr="001F52A8">
        <w:rPr>
          <w:rFonts w:cs="Calibri"/>
        </w:rPr>
        <w:t xml:space="preserve"> Saul, and some of the ways in which a spirit has overwhelmed people in Britain and in the United States has been bad. </w:t>
      </w:r>
      <w:r w:rsidR="007C0DE1" w:rsidRPr="001F52A8">
        <w:rPr>
          <w:rFonts w:cs="Calibri"/>
        </w:rPr>
        <w:t>But in this case, the anger is God’s</w:t>
      </w:r>
      <w:r w:rsidR="00843B47" w:rsidRPr="001F52A8">
        <w:rPr>
          <w:rFonts w:cs="Calibri"/>
        </w:rPr>
        <w:t xml:space="preserve">, as is the case </w:t>
      </w:r>
      <w:r w:rsidR="002A7888" w:rsidRPr="001F52A8">
        <w:rPr>
          <w:rFonts w:cs="Calibri"/>
        </w:rPr>
        <w:t xml:space="preserve">(for instance) </w:t>
      </w:r>
      <w:r w:rsidR="00843B47" w:rsidRPr="001F52A8">
        <w:rPr>
          <w:rFonts w:cs="Calibri"/>
        </w:rPr>
        <w:t>with Go</w:t>
      </w:r>
      <w:r w:rsidR="002A7888" w:rsidRPr="001F52A8">
        <w:rPr>
          <w:rFonts w:cs="Calibri"/>
        </w:rPr>
        <w:t>d</w:t>
      </w:r>
      <w:r w:rsidR="00843B47" w:rsidRPr="001F52A8">
        <w:rPr>
          <w:rFonts w:cs="Calibri"/>
        </w:rPr>
        <w:t xml:space="preserve">’s spirit of wisdom (Exod </w:t>
      </w:r>
      <w:r w:rsidR="00D33B5C" w:rsidRPr="001F52A8">
        <w:rPr>
          <w:rFonts w:cs="Calibri"/>
        </w:rPr>
        <w:t>28:3)</w:t>
      </w:r>
      <w:r w:rsidR="002A7888" w:rsidRPr="001F52A8">
        <w:rPr>
          <w:rFonts w:cs="Calibri"/>
        </w:rPr>
        <w:t>.</w:t>
      </w:r>
    </w:p>
    <w:p w14:paraId="5071910B" w14:textId="58C11946" w:rsidR="00BC4E95" w:rsidRPr="001F52A8" w:rsidRDefault="00813206" w:rsidP="00BC4E95">
      <w:pPr>
        <w:rPr>
          <w:rFonts w:cs="Calibri"/>
        </w:rPr>
      </w:pPr>
      <w:r>
        <w:rPr>
          <w:rFonts w:cs="Calibri"/>
        </w:rPr>
        <w:t>If</w:t>
      </w:r>
      <w:r w:rsidR="00BC4E95" w:rsidRPr="001F52A8">
        <w:rPr>
          <w:rFonts w:cs="Calibri"/>
        </w:rPr>
        <w:t xml:space="preserve"> this spirit overwhelm</w:t>
      </w:r>
      <w:r>
        <w:rPr>
          <w:rFonts w:cs="Calibri"/>
        </w:rPr>
        <w:t>ed</w:t>
      </w:r>
      <w:r w:rsidR="00BC4E95" w:rsidRPr="001F52A8">
        <w:rPr>
          <w:rFonts w:cs="Calibri"/>
        </w:rPr>
        <w:t xml:space="preserve"> </w:t>
      </w:r>
      <w:r w:rsidR="001952A8">
        <w:rPr>
          <w:rFonts w:cs="Calibri"/>
        </w:rPr>
        <w:t>someone</w:t>
      </w:r>
      <w:r>
        <w:rPr>
          <w:rFonts w:cs="Calibri"/>
        </w:rPr>
        <w:t>,</w:t>
      </w:r>
      <w:r w:rsidR="00BC4E95" w:rsidRPr="001F52A8">
        <w:rPr>
          <w:rFonts w:cs="Calibri"/>
        </w:rPr>
        <w:t xml:space="preserve"> it came from outside, and with force. The Hebrew expression (</w:t>
      </w:r>
      <w:r w:rsidR="00BC4E95" w:rsidRPr="001F52A8">
        <w:rPr>
          <w:rFonts w:cstheme="minorHAnsi"/>
          <w:i/>
          <w:iCs/>
        </w:rPr>
        <w:t>ṣālaḥ</w:t>
      </w:r>
      <w:r w:rsidR="00BC4E95" w:rsidRPr="001F52A8">
        <w:rPr>
          <w:rFonts w:cstheme="minorHAnsi"/>
        </w:rPr>
        <w:t xml:space="preserve"> followed by the preposition ‘</w:t>
      </w:r>
      <w:r w:rsidR="00BC4E95" w:rsidRPr="001F52A8">
        <w:rPr>
          <w:rFonts w:cstheme="minorHAnsi"/>
          <w:i/>
          <w:iCs/>
        </w:rPr>
        <w:t>al</w:t>
      </w:r>
      <w:r w:rsidR="00BC4E95" w:rsidRPr="001F52A8">
        <w:rPr>
          <w:rFonts w:cstheme="minorHAnsi"/>
        </w:rPr>
        <w:t xml:space="preserve">) is used almost exclusively in references to a spirit coming onto a person (Judg 14:6, 19; 15:14; 1 Sam 10:6, 10; 11:6; the preposition is </w:t>
      </w:r>
      <w:r w:rsidR="00BC4E95" w:rsidRPr="001F52A8">
        <w:rPr>
          <w:rFonts w:cstheme="minorHAnsi"/>
          <w:i/>
          <w:iCs/>
        </w:rPr>
        <w:t>’el</w:t>
      </w:r>
      <w:r w:rsidR="00841AB0">
        <w:rPr>
          <w:rFonts w:cstheme="minorHAnsi"/>
          <w:i/>
          <w:iCs/>
        </w:rPr>
        <w:t xml:space="preserve"> </w:t>
      </w:r>
      <w:r w:rsidR="00841AB0" w:rsidRPr="001F52A8">
        <w:rPr>
          <w:rFonts w:cstheme="minorHAnsi"/>
        </w:rPr>
        <w:t>in 16:13; 18:10</w:t>
      </w:r>
      <w:r w:rsidR="00BC4E95" w:rsidRPr="001F52A8">
        <w:rPr>
          <w:rFonts w:cstheme="minorHAnsi"/>
        </w:rPr>
        <w:t xml:space="preserve">, suggesting into rather than onto). </w:t>
      </w:r>
      <w:r w:rsidR="005E1B00" w:rsidRPr="001F52A8">
        <w:rPr>
          <w:rFonts w:cstheme="minorHAnsi"/>
        </w:rPr>
        <w:t xml:space="preserve">The spirit lays hold on them. </w:t>
      </w:r>
      <w:r w:rsidR="00BC4E95" w:rsidRPr="001F52A8">
        <w:rPr>
          <w:rFonts w:cstheme="minorHAnsi"/>
        </w:rPr>
        <w:t xml:space="preserve">Whereas </w:t>
      </w:r>
      <w:r w:rsidR="00C14AFA">
        <w:rPr>
          <w:rFonts w:cstheme="minorHAnsi"/>
        </w:rPr>
        <w:t>LXX and Vg</w:t>
      </w:r>
      <w:r w:rsidR="00BC4E95" w:rsidRPr="001F52A8">
        <w:rPr>
          <w:rFonts w:cstheme="minorHAnsi"/>
        </w:rPr>
        <w:t xml:space="preserve"> translate “jump on,” forcefulness rather than suddenness is the connotation</w:t>
      </w:r>
      <w:r w:rsidR="0008161D">
        <w:rPr>
          <w:rFonts w:cstheme="minorHAnsi"/>
        </w:rPr>
        <w:t>.</w:t>
      </w:r>
      <w:r w:rsidR="00BC4E95" w:rsidRPr="001F52A8">
        <w:rPr>
          <w:rFonts w:cstheme="minorHAnsi"/>
        </w:rPr>
        <w:t xml:space="preserve"> NRSV’s</w:t>
      </w:r>
      <w:r w:rsidR="00BC4E95" w:rsidRPr="001F52A8">
        <w:rPr>
          <w:rFonts w:cs="Calibri"/>
        </w:rPr>
        <w:t xml:space="preserve"> “possess” might be misleading</w:t>
      </w:r>
      <w:r w:rsidR="00121B9F">
        <w:rPr>
          <w:rFonts w:cs="Calibri"/>
        </w:rPr>
        <w:t>, while Tg’s “dwell” undertranslates</w:t>
      </w:r>
      <w:r w:rsidR="00BC4E95" w:rsidRPr="001F52A8">
        <w:rPr>
          <w:rFonts w:cs="Calibri"/>
        </w:rPr>
        <w:t>. The spirit</w:t>
      </w:r>
      <w:r w:rsidR="0018391F">
        <w:rPr>
          <w:rFonts w:cs="Calibri"/>
        </w:rPr>
        <w:t>’s</w:t>
      </w:r>
      <w:r w:rsidR="00BC4E95" w:rsidRPr="001F52A8">
        <w:rPr>
          <w:rFonts w:cs="Calibri"/>
        </w:rPr>
        <w:t xml:space="preserve"> overwhelming people </w:t>
      </w:r>
      <w:r w:rsidR="0018391F">
        <w:rPr>
          <w:rFonts w:cs="Calibri"/>
        </w:rPr>
        <w:t>doesn</w:t>
      </w:r>
      <w:r w:rsidR="0008161D">
        <w:rPr>
          <w:rFonts w:cs="Calibri"/>
        </w:rPr>
        <w:t>’</w:t>
      </w:r>
      <w:r w:rsidR="0018391F">
        <w:rPr>
          <w:rFonts w:cs="Calibri"/>
        </w:rPr>
        <w:t>t mean</w:t>
      </w:r>
      <w:r w:rsidR="00BC4E95" w:rsidRPr="001F52A8">
        <w:rPr>
          <w:rFonts w:cs="Calibri"/>
        </w:rPr>
        <w:t xml:space="preserve"> overr</w:t>
      </w:r>
      <w:r w:rsidR="0008161D">
        <w:rPr>
          <w:rFonts w:cs="Calibri"/>
        </w:rPr>
        <w:t>i</w:t>
      </w:r>
      <w:r w:rsidR="00BC4E95" w:rsidRPr="001F52A8">
        <w:rPr>
          <w:rFonts w:cs="Calibri"/>
        </w:rPr>
        <w:t>d</w:t>
      </w:r>
      <w:r w:rsidR="0008161D">
        <w:rPr>
          <w:rFonts w:cs="Calibri"/>
        </w:rPr>
        <w:t>ing</w:t>
      </w:r>
      <w:r w:rsidR="00BC4E95" w:rsidRPr="001F52A8">
        <w:rPr>
          <w:rFonts w:cs="Calibri"/>
        </w:rPr>
        <w:t xml:space="preserve"> their will or </w:t>
      </w:r>
      <w:r w:rsidR="00BC4E95" w:rsidRPr="001F52A8">
        <w:rPr>
          <w:rFonts w:cs="Calibri"/>
        </w:rPr>
        <w:lastRenderedPageBreak/>
        <w:t>ma</w:t>
      </w:r>
      <w:r w:rsidR="0008161D">
        <w:rPr>
          <w:rFonts w:cs="Calibri"/>
        </w:rPr>
        <w:t>king</w:t>
      </w:r>
      <w:r w:rsidR="00BC4E95" w:rsidRPr="001F52A8">
        <w:rPr>
          <w:rFonts w:cs="Calibri"/>
        </w:rPr>
        <w:t xml:space="preserve"> them act in an involuntary way</w:t>
      </w:r>
      <w:r w:rsidR="0008161D">
        <w:rPr>
          <w:rFonts w:cs="Calibri"/>
        </w:rPr>
        <w:t>,</w:t>
      </w:r>
      <w:r w:rsidR="00DB772E">
        <w:rPr>
          <w:rFonts w:cs="Calibri"/>
        </w:rPr>
        <w:t xml:space="preserve"> but</w:t>
      </w:r>
      <w:r w:rsidR="00BC4E95" w:rsidRPr="001F52A8">
        <w:rPr>
          <w:rFonts w:cs="Calibri"/>
        </w:rPr>
        <w:t xml:space="preserve"> that a force from outside pushed them into behaving in a way they otherwise wouldn</w:t>
      </w:r>
      <w:r w:rsidR="005D238B">
        <w:rPr>
          <w:rFonts w:cs="Calibri"/>
        </w:rPr>
        <w:t>’</w:t>
      </w:r>
      <w:r w:rsidR="00BC4E95" w:rsidRPr="001F52A8">
        <w:rPr>
          <w:rFonts w:cs="Calibri"/>
        </w:rPr>
        <w:t>t.</w:t>
      </w:r>
    </w:p>
    <w:p w14:paraId="7D26B16D" w14:textId="33C4DD1B" w:rsidR="00BC4E95" w:rsidRPr="001F52A8" w:rsidRDefault="00A926BB" w:rsidP="00095156">
      <w:r w:rsidRPr="001F52A8">
        <w:t xml:space="preserve">Energized by the </w:t>
      </w:r>
      <w:r w:rsidR="00686932" w:rsidRPr="001F52A8">
        <w:t xml:space="preserve">anger </w:t>
      </w:r>
      <w:r w:rsidR="0021043D" w:rsidRPr="001F52A8">
        <w:t>generat</w:t>
      </w:r>
      <w:r w:rsidR="005261DC" w:rsidRPr="001F52A8">
        <w:t xml:space="preserve">ed </w:t>
      </w:r>
      <w:r w:rsidR="00686932" w:rsidRPr="001F52A8">
        <w:t xml:space="preserve">by </w:t>
      </w:r>
      <w:r w:rsidR="00777125" w:rsidRPr="001F52A8">
        <w:t xml:space="preserve">God’s breath or wind or spirit, </w:t>
      </w:r>
      <w:r w:rsidR="00095156" w:rsidRPr="001F52A8">
        <w:t>Saul does</w:t>
      </w:r>
      <w:r w:rsidR="00095156" w:rsidRPr="001F52A8">
        <w:rPr>
          <w:rFonts w:cstheme="minorHAnsi"/>
        </w:rPr>
        <w:t xml:space="preserve"> what his hand finds to do, God being with him (10:7). </w:t>
      </w:r>
      <w:r w:rsidR="00095156" w:rsidRPr="001F52A8">
        <w:t>He</w:t>
      </w:r>
      <w:r w:rsidR="005261DC" w:rsidRPr="001F52A8">
        <w:t xml:space="preserve"> </w:t>
      </w:r>
      <w:r w:rsidR="00FC1C00" w:rsidRPr="001F52A8">
        <w:t>summons an Israelite fighting force (threatening</w:t>
      </w:r>
      <w:r w:rsidR="00BD4419" w:rsidRPr="001F52A8">
        <w:t xml:space="preserve"> the</w:t>
      </w:r>
      <w:r w:rsidR="00D156E7" w:rsidRPr="001F52A8">
        <w:t>m Mafio</w:t>
      </w:r>
      <w:r w:rsidR="006F5A55" w:rsidRPr="001F52A8">
        <w:t>so-style</w:t>
      </w:r>
      <w:r w:rsidR="00380C8D" w:rsidRPr="001F52A8">
        <w:rPr>
          <w:rStyle w:val="FootnoteReference"/>
        </w:rPr>
        <w:footnoteReference w:id="140"/>
      </w:r>
      <w:r w:rsidR="00BD4419" w:rsidRPr="001F52A8">
        <w:t xml:space="preserve"> with death if they hold back)</w:t>
      </w:r>
      <w:r w:rsidR="00627E2E" w:rsidRPr="001F52A8">
        <w:t xml:space="preserve"> and leads them in </w:t>
      </w:r>
      <w:r w:rsidR="00003251" w:rsidRPr="001F52A8">
        <w:t>striking down the Ammonites</w:t>
      </w:r>
      <w:r w:rsidR="001C53E6" w:rsidRPr="001F52A8">
        <w:t>. The story does not refer to Yahweh acting</w:t>
      </w:r>
      <w:r w:rsidR="005C13D0" w:rsidRPr="001F52A8">
        <w:t xml:space="preserve">, but Saul </w:t>
      </w:r>
      <w:r w:rsidR="005C13D0" w:rsidRPr="001F52A8">
        <w:rPr>
          <w:rFonts w:ascii="Calibri" w:hAnsi="Calibri" w:cs="Calibri"/>
        </w:rPr>
        <w:t xml:space="preserve">subsequently declares that Yahweh has </w:t>
      </w:r>
      <w:r w:rsidR="00D22A46" w:rsidRPr="001F52A8">
        <w:rPr>
          <w:rFonts w:ascii="Calibri" w:hAnsi="Calibri" w:cs="Calibri"/>
        </w:rPr>
        <w:t>effected deliverance for them</w:t>
      </w:r>
      <w:r w:rsidR="00843DB5" w:rsidRPr="001F52A8">
        <w:rPr>
          <w:rFonts w:ascii="Calibri" w:hAnsi="Calibri" w:cs="Calibri"/>
        </w:rPr>
        <w:t xml:space="preserve">. The three references to deliverance in the chapter make clear </w:t>
      </w:r>
      <w:r w:rsidR="00AC31FB" w:rsidRPr="001F52A8">
        <w:rPr>
          <w:rFonts w:ascii="Calibri" w:hAnsi="Calibri" w:cs="Calibri"/>
        </w:rPr>
        <w:t xml:space="preserve">it is not </w:t>
      </w:r>
      <w:r w:rsidR="00843DB5" w:rsidRPr="001F52A8">
        <w:rPr>
          <w:rFonts w:ascii="Calibri" w:hAnsi="Calibri" w:cs="Calibri"/>
        </w:rPr>
        <w:t>Saul</w:t>
      </w:r>
      <w:r w:rsidR="00AC31FB" w:rsidRPr="001F52A8">
        <w:rPr>
          <w:rFonts w:ascii="Calibri" w:hAnsi="Calibri" w:cs="Calibri"/>
        </w:rPr>
        <w:t xml:space="preserve"> who</w:t>
      </w:r>
      <w:r w:rsidR="00843DB5" w:rsidRPr="001F52A8">
        <w:rPr>
          <w:rFonts w:ascii="Calibri" w:hAnsi="Calibri" w:cs="Calibri"/>
        </w:rPr>
        <w:t xml:space="preserve"> is meant to be celebrated as a </w:t>
      </w:r>
      <w:r w:rsidR="007A0B4B">
        <w:rPr>
          <w:rFonts w:ascii="Calibri" w:hAnsi="Calibri" w:cs="Calibri"/>
        </w:rPr>
        <w:t>result</w:t>
      </w:r>
      <w:r w:rsidR="00583436">
        <w:rPr>
          <w:rFonts w:ascii="Calibri" w:hAnsi="Calibri" w:cs="Calibri"/>
        </w:rPr>
        <w:t xml:space="preserve"> of what happens.</w:t>
      </w:r>
      <w:r w:rsidR="00D43ECE" w:rsidRPr="001F52A8">
        <w:rPr>
          <w:rStyle w:val="FootnoteReference"/>
          <w:rFonts w:ascii="Calibri" w:hAnsi="Calibri" w:cs="Calibri"/>
        </w:rPr>
        <w:footnoteReference w:id="141"/>
      </w:r>
      <w:r w:rsidR="00D43ECE" w:rsidRPr="001F52A8">
        <w:rPr>
          <w:rFonts w:ascii="Calibri" w:hAnsi="Calibri" w:cs="Calibri"/>
        </w:rPr>
        <w:t xml:space="preserve"> But </w:t>
      </w:r>
      <w:r w:rsidR="00583436">
        <w:rPr>
          <w:rFonts w:ascii="Calibri" w:hAnsi="Calibri" w:cs="Calibri"/>
        </w:rPr>
        <w:t>what happens</w:t>
      </w:r>
      <w:r w:rsidR="00371AF7" w:rsidRPr="001F52A8">
        <w:t xml:space="preserve"> is reason for being merciful to</w:t>
      </w:r>
      <w:r w:rsidR="003943C2" w:rsidRPr="001F52A8">
        <w:t xml:space="preserve"> the people who had doubts about </w:t>
      </w:r>
      <w:r w:rsidR="00583436">
        <w:t>him</w:t>
      </w:r>
      <w:r w:rsidR="00AA2E7B" w:rsidRPr="001F52A8">
        <w:t xml:space="preserve"> (11:7-13)</w:t>
      </w:r>
      <w:r w:rsidR="002069FD">
        <w:t>, and</w:t>
      </w:r>
      <w:r w:rsidR="00D252A6" w:rsidRPr="001F52A8">
        <w:t xml:space="preserve"> reason to “renew” the kingship</w:t>
      </w:r>
      <w:r w:rsidR="00643ECC" w:rsidRPr="001F52A8">
        <w:t xml:space="preserve">; so they </w:t>
      </w:r>
      <w:r w:rsidR="00FE30A0" w:rsidRPr="001F52A8">
        <w:t>“ma</w:t>
      </w:r>
      <w:r w:rsidR="00643ECC" w:rsidRPr="001F52A8">
        <w:t>d</w:t>
      </w:r>
      <w:r w:rsidR="00FE30A0" w:rsidRPr="001F52A8">
        <w:t>e Saul</w:t>
      </w:r>
      <w:r w:rsidR="00643ECC" w:rsidRPr="001F52A8">
        <w:t xml:space="preserve"> king</w:t>
      </w:r>
      <w:r w:rsidR="00F200A1" w:rsidRPr="001F52A8">
        <w:t>” there.</w:t>
      </w:r>
    </w:p>
    <w:p w14:paraId="0F903017" w14:textId="5487CA74" w:rsidR="00B179D9" w:rsidRDefault="007535CF" w:rsidP="0053761F">
      <w:pPr>
        <w:rPr>
          <w:rFonts w:cstheme="minorHAnsi"/>
        </w:rPr>
      </w:pPr>
      <w:r w:rsidRPr="001F52A8">
        <w:rPr>
          <w:rFonts w:cstheme="minorHAnsi"/>
        </w:rPr>
        <w:t xml:space="preserve">In due course, </w:t>
      </w:r>
      <w:r w:rsidR="00663F0C" w:rsidRPr="001F52A8">
        <w:rPr>
          <w:rFonts w:cstheme="minorHAnsi"/>
        </w:rPr>
        <w:t xml:space="preserve">the people of Jabesh </w:t>
      </w:r>
      <w:r w:rsidR="002069FD">
        <w:rPr>
          <w:rFonts w:cstheme="minorHAnsi"/>
        </w:rPr>
        <w:t xml:space="preserve">will </w:t>
      </w:r>
      <w:r w:rsidR="003772BA">
        <w:rPr>
          <w:rFonts w:cstheme="minorHAnsi"/>
        </w:rPr>
        <w:t>star in</w:t>
      </w:r>
      <w:r w:rsidR="00663F0C" w:rsidRPr="001F52A8">
        <w:rPr>
          <w:rFonts w:cstheme="minorHAnsi"/>
        </w:rPr>
        <w:t xml:space="preserve"> the final act in the drama of Saul’s life (31:</w:t>
      </w:r>
      <w:r w:rsidR="008C5D3E" w:rsidRPr="001F52A8">
        <w:rPr>
          <w:rFonts w:cstheme="minorHAnsi"/>
        </w:rPr>
        <w:t>11-13)</w:t>
      </w:r>
      <w:r w:rsidR="006B38A0" w:rsidRPr="001F52A8">
        <w:rPr>
          <w:rFonts w:cstheme="minorHAnsi"/>
        </w:rPr>
        <w:t>.</w:t>
      </w:r>
      <w:r w:rsidRPr="001F52A8">
        <w:rPr>
          <w:rFonts w:cstheme="minorHAnsi"/>
        </w:rPr>
        <w:t xml:space="preserve"> </w:t>
      </w:r>
      <w:r w:rsidR="00F6704E" w:rsidRPr="001F52A8">
        <w:rPr>
          <w:rFonts w:cstheme="minorHAnsi"/>
        </w:rPr>
        <w:t xml:space="preserve">For them, </w:t>
      </w:r>
      <w:r w:rsidR="009F3501" w:rsidRPr="001F52A8">
        <w:rPr>
          <w:rFonts w:cstheme="minorHAnsi"/>
        </w:rPr>
        <w:t>“</w:t>
      </w:r>
      <w:r w:rsidRPr="001F52A8">
        <w:rPr>
          <w:rFonts w:cstheme="minorHAnsi"/>
        </w:rPr>
        <w:t>Saul would always be the</w:t>
      </w:r>
      <w:r w:rsidR="000F3467" w:rsidRPr="001F52A8">
        <w:rPr>
          <w:rFonts w:cstheme="minorHAnsi"/>
        </w:rPr>
        <w:t xml:space="preserve"> one who rescued them from extreme danger, their redeemer-king</w:t>
      </w:r>
      <w:r w:rsidR="00FD1EE3" w:rsidRPr="001F52A8">
        <w:rPr>
          <w:rFonts w:cstheme="minorHAnsi"/>
        </w:rPr>
        <w:t>.</w:t>
      </w:r>
      <w:r w:rsidR="009F3501" w:rsidRPr="001F52A8">
        <w:rPr>
          <w:rFonts w:cstheme="minorHAnsi"/>
        </w:rPr>
        <w:t xml:space="preserve">” And </w:t>
      </w:r>
      <w:r w:rsidR="00FD1EE3" w:rsidRPr="001F52A8">
        <w:rPr>
          <w:rFonts w:cstheme="minorHAnsi"/>
        </w:rPr>
        <w:t xml:space="preserve">the first great of Saul as king </w:t>
      </w:r>
      <w:r w:rsidR="00185EAF" w:rsidRPr="001F52A8">
        <w:rPr>
          <w:rFonts w:cstheme="minorHAnsi"/>
        </w:rPr>
        <w:t>will have a substantial link to the promise of a king “who would embody justice and righteousness, who would defend the cause of the poor and the needy, who would uphold the rights of the stranger, the orphan, and the widow. Great expectations were thus shaped against the concrete background of failed monarchs, or unjust and greedy ones.”</w:t>
      </w:r>
      <w:r w:rsidR="003C17C2" w:rsidRPr="001F52A8">
        <w:rPr>
          <w:rStyle w:val="FootnoteReference"/>
          <w:rFonts w:cstheme="minorHAnsi"/>
        </w:rPr>
        <w:footnoteReference w:id="142"/>
      </w:r>
    </w:p>
    <w:p w14:paraId="579531EF" w14:textId="77777777" w:rsidR="00B179D9" w:rsidRDefault="00B179D9">
      <w:pPr>
        <w:spacing w:after="160"/>
        <w:ind w:firstLine="0"/>
        <w:rPr>
          <w:rFonts w:cstheme="minorHAnsi"/>
        </w:rPr>
      </w:pPr>
      <w:r>
        <w:rPr>
          <w:rFonts w:cstheme="minorHAnsi"/>
        </w:rPr>
        <w:br w:type="page"/>
      </w:r>
    </w:p>
    <w:p w14:paraId="512C4366" w14:textId="55A347C4" w:rsidR="00086262" w:rsidRPr="001F52A8" w:rsidRDefault="00516806" w:rsidP="00574C70">
      <w:pPr>
        <w:pStyle w:val="Heading1"/>
        <w:numPr>
          <w:ilvl w:val="0"/>
          <w:numId w:val="19"/>
        </w:numPr>
      </w:pPr>
      <w:r w:rsidRPr="001F52A8">
        <w:lastRenderedPageBreak/>
        <w:t xml:space="preserve">Yahweh Who </w:t>
      </w:r>
      <w:r w:rsidR="005F6A97" w:rsidRPr="001F52A8">
        <w:t xml:space="preserve">Rebuffs </w:t>
      </w:r>
      <w:r w:rsidRPr="001F52A8">
        <w:t>a King (1 Samuel 13</w:t>
      </w:r>
      <w:r w:rsidR="00635906">
        <w:t>:1 – 20:42 [21:1</w:t>
      </w:r>
      <w:r w:rsidR="00A331B6">
        <w:t>]</w:t>
      </w:r>
      <w:r w:rsidR="00ED5702" w:rsidRPr="001F52A8">
        <w:t>)</w:t>
      </w:r>
    </w:p>
    <w:p w14:paraId="4E65A509" w14:textId="662CCABA" w:rsidR="005B4D15" w:rsidRPr="001F52A8" w:rsidRDefault="005A2965" w:rsidP="00D130D6">
      <w:pPr>
        <w:rPr>
          <w:lang w:bidi="he-IL"/>
        </w:rPr>
      </w:pPr>
      <w:r w:rsidRPr="001F52A8">
        <w:t xml:space="preserve">Samuel does not </w:t>
      </w:r>
      <w:r w:rsidR="00865FEB">
        <w:t>aim to</w:t>
      </w:r>
      <w:r w:rsidR="00DC3D3B">
        <w:t xml:space="preserve"> write a biography of Saul</w:t>
      </w:r>
      <w:r w:rsidR="00B63E41">
        <w:t xml:space="preserve"> </w:t>
      </w:r>
      <w:r w:rsidR="00852691" w:rsidRPr="001F52A8">
        <w:t xml:space="preserve">(any more than </w:t>
      </w:r>
      <w:r w:rsidR="00D008F8">
        <w:t xml:space="preserve">of </w:t>
      </w:r>
      <w:r w:rsidR="00852691" w:rsidRPr="001F52A8">
        <w:t>David)</w:t>
      </w:r>
      <w:r w:rsidR="0086767E" w:rsidRPr="001F52A8">
        <w:t>.</w:t>
      </w:r>
      <w:r w:rsidR="00030A4E" w:rsidRPr="001F52A8">
        <w:rPr>
          <w:rStyle w:val="FootnoteReference"/>
        </w:rPr>
        <w:footnoteReference w:id="143"/>
      </w:r>
      <w:r w:rsidR="009C3AA6" w:rsidRPr="001F52A8">
        <w:t xml:space="preserve"> Its focus is </w:t>
      </w:r>
      <w:r w:rsidR="00D008F8">
        <w:t xml:space="preserve">now </w:t>
      </w:r>
      <w:r w:rsidR="009C3AA6" w:rsidRPr="001F52A8">
        <w:t>his failure to live up to his vocation</w:t>
      </w:r>
      <w:r w:rsidR="00213A48" w:rsidRPr="001F52A8">
        <w:t xml:space="preserve">. </w:t>
      </w:r>
      <w:r w:rsidR="000F71D1">
        <w:rPr>
          <w:lang w:bidi="he-IL"/>
        </w:rPr>
        <w:t>Narratively, Saul features only as a “negative contrast to David.”</w:t>
      </w:r>
      <w:r w:rsidR="000F71D1">
        <w:rPr>
          <w:rStyle w:val="FootnoteReference"/>
          <w:lang w:bidi="he-IL"/>
        </w:rPr>
        <w:footnoteReference w:id="144"/>
      </w:r>
      <w:r w:rsidR="00D130D6">
        <w:rPr>
          <w:lang w:bidi="he-IL"/>
        </w:rPr>
        <w:t xml:space="preserve"> </w:t>
      </w:r>
      <w:r w:rsidR="00F34DD4" w:rsidRPr="001F52A8">
        <w:t xml:space="preserve">Nor does </w:t>
      </w:r>
      <w:r w:rsidR="00827DB4">
        <w:t>the</w:t>
      </w:r>
      <w:r w:rsidR="00F34DD4" w:rsidRPr="001F52A8">
        <w:t xml:space="preserve"> </w:t>
      </w:r>
      <w:r w:rsidR="003676A2" w:rsidRPr="001F52A8">
        <w:t xml:space="preserve">account </w:t>
      </w:r>
      <w:r w:rsidR="008F1205" w:rsidRPr="001F52A8">
        <w:t>of his fa</w:t>
      </w:r>
      <w:r w:rsidR="00EE45A2" w:rsidRPr="001F52A8">
        <w:t xml:space="preserve">ilure and </w:t>
      </w:r>
      <w:r w:rsidR="0090185D" w:rsidRPr="001F52A8">
        <w:t xml:space="preserve">downfall work </w:t>
      </w:r>
      <w:r w:rsidR="003676A2" w:rsidRPr="001F52A8">
        <w:t xml:space="preserve">in chronological sequence. </w:t>
      </w:r>
      <w:r w:rsidR="005067DC">
        <w:t>S</w:t>
      </w:r>
      <w:r w:rsidR="00F47BD4" w:rsidRPr="001F52A8">
        <w:t xml:space="preserve">everal </w:t>
      </w:r>
      <w:r w:rsidR="003F7220">
        <w:t>individual chapters</w:t>
      </w:r>
      <w:r w:rsidR="00314883" w:rsidRPr="001F52A8">
        <w:t xml:space="preserve"> co</w:t>
      </w:r>
      <w:r w:rsidR="00D570EF">
        <w:t>ver</w:t>
      </w:r>
      <w:r w:rsidR="00314883" w:rsidRPr="001F52A8">
        <w:t xml:space="preserve"> the entire </w:t>
      </w:r>
      <w:r w:rsidR="00D570EF">
        <w:t>story</w:t>
      </w:r>
      <w:r w:rsidR="009049BC" w:rsidRPr="001F52A8">
        <w:t xml:space="preserve">, </w:t>
      </w:r>
      <w:r w:rsidR="00A16954">
        <w:t xml:space="preserve">so that the </w:t>
      </w:r>
      <w:r w:rsidR="003F7220">
        <w:t>chapters</w:t>
      </w:r>
      <w:r w:rsidR="00A16954">
        <w:t xml:space="preserve"> resemble </w:t>
      </w:r>
      <w:r w:rsidR="009049BC" w:rsidRPr="001F52A8">
        <w:t>a set of paintings por</w:t>
      </w:r>
      <w:r w:rsidR="00311DF9" w:rsidRPr="001F52A8">
        <w:t>tray</w:t>
      </w:r>
      <w:r w:rsidR="0076059C">
        <w:t>ing the same scene</w:t>
      </w:r>
      <w:r w:rsidR="00311DF9" w:rsidRPr="001F52A8">
        <w:t xml:space="preserve"> from different angles</w:t>
      </w:r>
      <w:r w:rsidR="00314883" w:rsidRPr="001F52A8">
        <w:t xml:space="preserve">. </w:t>
      </w:r>
      <w:r w:rsidR="00CA5961">
        <w:t xml:space="preserve">Chronologically, </w:t>
      </w:r>
      <w:r w:rsidR="00314883" w:rsidRPr="001F52A8">
        <w:t>15:</w:t>
      </w:r>
      <w:r w:rsidR="0084751D" w:rsidRPr="001F52A8">
        <w:t>1-35 does not simply follow on 13:</w:t>
      </w:r>
      <w:r w:rsidR="00586A8B" w:rsidRPr="001F52A8">
        <w:t>2</w:t>
      </w:r>
      <w:r w:rsidR="0084751D" w:rsidRPr="001F52A8">
        <w:t xml:space="preserve"> – 14:</w:t>
      </w:r>
      <w:r w:rsidR="0049183F" w:rsidRPr="001F52A8">
        <w:t>52; nor does 16:1-23 simply follow on 15:1-35; and so on.</w:t>
      </w:r>
      <w:r w:rsidR="000E6108" w:rsidRPr="001F52A8">
        <w:t xml:space="preserve"> </w:t>
      </w:r>
    </w:p>
    <w:p w14:paraId="7B16CBF6" w14:textId="1199647B" w:rsidR="005B4D15" w:rsidRDefault="000E6E4E" w:rsidP="005B4D15">
      <w:pPr>
        <w:rPr>
          <w:rFonts w:ascii="Calibri" w:hAnsi="Calibri" w:cs="Calibri"/>
        </w:rPr>
      </w:pPr>
      <w:r>
        <w:rPr>
          <w:rFonts w:ascii="Calibri" w:hAnsi="Calibri" w:cs="Calibri"/>
        </w:rPr>
        <w:t xml:space="preserve">While </w:t>
      </w:r>
      <w:r w:rsidR="0029400A">
        <w:rPr>
          <w:rFonts w:ascii="Calibri" w:hAnsi="Calibri" w:cs="Calibri"/>
        </w:rPr>
        <w:t>leadership qualities do not determine who Yahweh designates as leader</w:t>
      </w:r>
      <w:r w:rsidR="005B5BA1">
        <w:rPr>
          <w:rFonts w:ascii="Calibri" w:hAnsi="Calibri" w:cs="Calibri"/>
        </w:rPr>
        <w:t>s,</w:t>
      </w:r>
      <w:r>
        <w:rPr>
          <w:rFonts w:cstheme="minorHAnsi"/>
        </w:rPr>
        <w:t xml:space="preserve"> </w:t>
      </w:r>
      <w:r w:rsidR="00493AB7">
        <w:rPr>
          <w:rFonts w:cstheme="minorHAnsi"/>
        </w:rPr>
        <w:t>the</w:t>
      </w:r>
      <w:r w:rsidRPr="001F52A8">
        <w:rPr>
          <w:rFonts w:cstheme="minorHAnsi"/>
        </w:rPr>
        <w:t xml:space="preserve"> leaders</w:t>
      </w:r>
      <w:r w:rsidR="00A4071D">
        <w:rPr>
          <w:rFonts w:cstheme="minorHAnsi"/>
        </w:rPr>
        <w:t>’</w:t>
      </w:r>
      <w:r w:rsidRPr="001F52A8">
        <w:rPr>
          <w:rFonts w:cstheme="minorHAnsi"/>
        </w:rPr>
        <w:t xml:space="preserve"> respo</w:t>
      </w:r>
      <w:r w:rsidR="00A4071D">
        <w:rPr>
          <w:rFonts w:cstheme="minorHAnsi"/>
        </w:rPr>
        <w:t>nse</w:t>
      </w:r>
      <w:r w:rsidRPr="001F52A8">
        <w:rPr>
          <w:rFonts w:cstheme="minorHAnsi"/>
        </w:rPr>
        <w:t xml:space="preserve"> to Yahweh’s choice</w:t>
      </w:r>
      <w:r w:rsidR="00574330">
        <w:rPr>
          <w:rFonts w:cstheme="minorHAnsi"/>
        </w:rPr>
        <w:t xml:space="preserve"> </w:t>
      </w:r>
      <w:r w:rsidRPr="001F52A8">
        <w:rPr>
          <w:rFonts w:cstheme="minorHAnsi"/>
        </w:rPr>
        <w:t>– how they respond morally and how they respond in relation to Yahweh</w:t>
      </w:r>
      <w:r w:rsidR="00A4071D">
        <w:rPr>
          <w:rFonts w:cstheme="minorHAnsi"/>
        </w:rPr>
        <w:t xml:space="preserve"> – </w:t>
      </w:r>
      <w:r w:rsidRPr="001F52A8">
        <w:rPr>
          <w:rFonts w:cstheme="minorHAnsi"/>
        </w:rPr>
        <w:t>makes a difference to them and to their people.</w:t>
      </w:r>
      <w:r>
        <w:rPr>
          <w:rFonts w:cstheme="minorHAnsi"/>
        </w:rPr>
        <w:t xml:space="preserve"> </w:t>
      </w:r>
      <w:r w:rsidR="00574330">
        <w:rPr>
          <w:rFonts w:cstheme="minorHAnsi"/>
        </w:rPr>
        <w:t>Saul</w:t>
      </w:r>
      <w:r>
        <w:rPr>
          <w:rFonts w:cstheme="minorHAnsi"/>
        </w:rPr>
        <w:t xml:space="preserve"> is </w:t>
      </w:r>
      <w:r w:rsidR="00574330">
        <w:rPr>
          <w:rFonts w:cstheme="minorHAnsi"/>
        </w:rPr>
        <w:t xml:space="preserve">now </w:t>
      </w:r>
      <w:r>
        <w:rPr>
          <w:rFonts w:cstheme="minorHAnsi"/>
        </w:rPr>
        <w:t>a king, like other kings; but he is “thrown back wholly upon the Spirit of Yahweh, and therefore he stands or falls by the fact that he does His will, that as a king and lord among men he is His servant.” Everything depends on his management of his position as both lord and servant.</w:t>
      </w:r>
      <w:r>
        <w:rPr>
          <w:rStyle w:val="FootnoteReference"/>
          <w:rFonts w:cstheme="minorHAnsi"/>
        </w:rPr>
        <w:footnoteReference w:id="145"/>
      </w:r>
      <w:r w:rsidR="00E95718">
        <w:rPr>
          <w:rFonts w:cstheme="minorHAnsi"/>
        </w:rPr>
        <w:t xml:space="preserve"> </w:t>
      </w:r>
    </w:p>
    <w:p w14:paraId="75BD8201" w14:textId="1241D249" w:rsidR="00380A44" w:rsidRPr="001F52A8" w:rsidRDefault="00203D51" w:rsidP="000B0A0F">
      <w:pPr>
        <w:pStyle w:val="Heading2"/>
      </w:pPr>
      <w:r w:rsidRPr="001F52A8">
        <w:t>The Fog of War</w:t>
      </w:r>
      <w:r w:rsidR="00227C7D" w:rsidRPr="001F52A8">
        <w:rPr>
          <w:rStyle w:val="FootnoteReference"/>
        </w:rPr>
        <w:footnoteReference w:id="146"/>
      </w:r>
    </w:p>
    <w:p w14:paraId="49F23ACF" w14:textId="0349895E" w:rsidR="00A41265" w:rsidRDefault="00CF4BBB" w:rsidP="00A41265">
      <w:r w:rsidRPr="001F52A8">
        <w:t xml:space="preserve">From the </w:t>
      </w:r>
      <w:r w:rsidR="00EB5E40" w:rsidRPr="001F52A8">
        <w:t xml:space="preserve">beginning, the </w:t>
      </w:r>
      <w:r w:rsidR="008D42AD">
        <w:t xml:space="preserve">Samuel narrative has </w:t>
      </w:r>
      <w:r w:rsidR="00EB5E40" w:rsidRPr="001F52A8">
        <w:t>fro</w:t>
      </w:r>
      <w:r w:rsidR="006E2702" w:rsidRPr="001F52A8">
        <w:t>m time to</w:t>
      </w:r>
      <w:r w:rsidR="003B5AC2" w:rsidRPr="001F52A8">
        <w:t xml:space="preserve"> time</w:t>
      </w:r>
      <w:r w:rsidR="00276401">
        <w:t xml:space="preserve"> </w:t>
      </w:r>
      <w:r w:rsidR="00276401" w:rsidRPr="001F52A8">
        <w:t>left things unclea</w:t>
      </w:r>
      <w:r w:rsidR="008B7C83">
        <w:t>r</w:t>
      </w:r>
      <w:r w:rsidR="006E2702" w:rsidRPr="001F52A8">
        <w:t xml:space="preserve">. Why did Yahweh close Hannah’s womb? </w:t>
      </w:r>
      <w:r w:rsidR="001A1311" w:rsidRPr="001F52A8">
        <w:t xml:space="preserve">Did Eli mean “the God of Israel </w:t>
      </w:r>
      <w:r w:rsidR="00E13BD7" w:rsidRPr="001F52A8">
        <w:t>will give you what you asked” or “</w:t>
      </w:r>
      <w:r w:rsidR="00E435B9" w:rsidRPr="001F52A8">
        <w:t>may the God of Israel give you what you asked”?</w:t>
      </w:r>
      <w:r w:rsidR="00793C8E" w:rsidRPr="001F52A8">
        <w:t xml:space="preserve"> When Elqanah said, “may Yahweh </w:t>
      </w:r>
      <w:r w:rsidR="00C20124" w:rsidRPr="001F52A8">
        <w:t xml:space="preserve">establish his word,” what word did he refer to? </w:t>
      </w:r>
      <w:r w:rsidR="00AB1B6E" w:rsidRPr="001F52A8">
        <w:t>Is Ramathaim the same as Ramah? Sometimes the</w:t>
      </w:r>
      <w:r w:rsidR="004A01C8" w:rsidRPr="001F52A8">
        <w:t xml:space="preserve"> answers to these questions</w:t>
      </w:r>
      <w:r w:rsidR="00AB1B6E" w:rsidRPr="001F52A8">
        <w:t xml:space="preserve"> might have been </w:t>
      </w:r>
      <w:r w:rsidR="001F3C11">
        <w:t>evident</w:t>
      </w:r>
      <w:r w:rsidR="001F3C11" w:rsidRPr="001F52A8">
        <w:t xml:space="preserve"> </w:t>
      </w:r>
      <w:r w:rsidR="00AB1B6E" w:rsidRPr="001F52A8">
        <w:t>to</w:t>
      </w:r>
      <w:r w:rsidR="005D7786" w:rsidRPr="001F52A8">
        <w:t xml:space="preserve"> </w:t>
      </w:r>
      <w:r w:rsidR="00055A8A" w:rsidRPr="001F52A8">
        <w:t xml:space="preserve">the </w:t>
      </w:r>
      <w:r w:rsidR="00071EBA">
        <w:t xml:space="preserve">narrative’s </w:t>
      </w:r>
      <w:r w:rsidR="00055A8A" w:rsidRPr="001F52A8">
        <w:t xml:space="preserve">first </w:t>
      </w:r>
      <w:r w:rsidR="00CF1E76">
        <w:t>auditor</w:t>
      </w:r>
      <w:r w:rsidR="00055A8A" w:rsidRPr="001F52A8">
        <w:t xml:space="preserve">s, </w:t>
      </w:r>
      <w:r w:rsidR="00B97C7C" w:rsidRPr="001F52A8">
        <w:t>sometimes the gaps are there by the nature of a story because it</w:t>
      </w:r>
      <w:r w:rsidR="008B7C83">
        <w:t>’</w:t>
      </w:r>
      <w:r w:rsidR="0054414A" w:rsidRPr="001F52A8">
        <w:t xml:space="preserve">s impossible to include everything, </w:t>
      </w:r>
      <w:r w:rsidR="00055A8A" w:rsidRPr="001F52A8">
        <w:t xml:space="preserve">sometimes </w:t>
      </w:r>
      <w:r w:rsidR="004A01C8" w:rsidRPr="001F52A8">
        <w:t xml:space="preserve">we can work out the answers, </w:t>
      </w:r>
      <w:r w:rsidR="00FB3E9D" w:rsidRPr="001F52A8">
        <w:t xml:space="preserve">sometimes the author may have </w:t>
      </w:r>
      <w:r w:rsidR="005A215F">
        <w:t xml:space="preserve">just </w:t>
      </w:r>
      <w:r w:rsidR="00FB3E9D" w:rsidRPr="001F52A8">
        <w:t>wanted us to think about them.</w:t>
      </w:r>
      <w:r w:rsidR="00586A8B" w:rsidRPr="001F52A8">
        <w:t xml:space="preserve"> </w:t>
      </w:r>
      <w:r w:rsidR="00D03077" w:rsidRPr="001F52A8">
        <w:t xml:space="preserve">The way </w:t>
      </w:r>
      <w:r w:rsidR="007C573A">
        <w:t xml:space="preserve">1 Samuel 13 </w:t>
      </w:r>
      <w:r w:rsidR="007C2C30">
        <w:t>–</w:t>
      </w:r>
      <w:r w:rsidR="007C573A">
        <w:t xml:space="preserve"> 20</w:t>
      </w:r>
      <w:r w:rsidR="00D03077" w:rsidRPr="001F52A8">
        <w:t xml:space="preserve"> open</w:t>
      </w:r>
      <w:r w:rsidR="007C2C30">
        <w:t>s</w:t>
      </w:r>
      <w:r w:rsidR="00D03077" w:rsidRPr="001F52A8">
        <w:t xml:space="preserve"> signals </w:t>
      </w:r>
      <w:r w:rsidR="00DE79D5">
        <w:t>something similar about how</w:t>
      </w:r>
      <w:r w:rsidR="00D03077" w:rsidRPr="001F52A8">
        <w:t xml:space="preserve"> </w:t>
      </w:r>
      <w:r w:rsidR="007C2C30">
        <w:t>it</w:t>
      </w:r>
      <w:r w:rsidR="00D03077" w:rsidRPr="001F52A8">
        <w:t xml:space="preserve"> will proceed:</w:t>
      </w:r>
      <w:r w:rsidR="005C1EB7" w:rsidRPr="001F52A8">
        <w:rPr>
          <w:rStyle w:val="FootnoteReference"/>
        </w:rPr>
        <w:footnoteReference w:id="147"/>
      </w:r>
      <w:r w:rsidR="00D03077" w:rsidRPr="001F52A8">
        <w:t xml:space="preserve"> “Saul was a man of [blank] years when he became king and he reigned [blank?] two years over Israel” (13:1). </w:t>
      </w:r>
      <w:r w:rsidR="00702E38" w:rsidRPr="001F52A8">
        <w:t xml:space="preserve">The account of </w:t>
      </w:r>
      <w:r w:rsidR="00134C30" w:rsidRPr="001F52A8">
        <w:t>the battle at Michmash</w:t>
      </w:r>
      <w:r w:rsidR="00B23CE2" w:rsidRPr="001F52A8">
        <w:t xml:space="preserve"> and </w:t>
      </w:r>
      <w:r w:rsidR="009E5555" w:rsidRPr="001F52A8">
        <w:t xml:space="preserve">of the </w:t>
      </w:r>
      <w:r w:rsidR="000B53BE">
        <w:t xml:space="preserve">first </w:t>
      </w:r>
      <w:r w:rsidR="009E5555" w:rsidRPr="001F52A8">
        <w:t>threat of Saul’s losing the throne</w:t>
      </w:r>
      <w:r w:rsidR="00451C4B" w:rsidRPr="001F52A8">
        <w:t xml:space="preserve"> </w:t>
      </w:r>
      <w:r w:rsidR="009F43F6" w:rsidRPr="001F52A8">
        <w:t xml:space="preserve">(13:2 </w:t>
      </w:r>
      <w:r w:rsidR="00586A8B" w:rsidRPr="001F52A8">
        <w:t>–</w:t>
      </w:r>
      <w:r w:rsidR="009F43F6" w:rsidRPr="001F52A8">
        <w:t xml:space="preserve"> 14</w:t>
      </w:r>
      <w:r w:rsidR="00586A8B" w:rsidRPr="001F52A8">
        <w:t xml:space="preserve">:52) </w:t>
      </w:r>
      <w:r w:rsidR="00451C4B" w:rsidRPr="001F52A8">
        <w:t>manifests the</w:t>
      </w:r>
      <w:r w:rsidR="006F6E7C" w:rsidRPr="001F52A8">
        <w:t xml:space="preserve"> densest compendium of </w:t>
      </w:r>
      <w:r w:rsidR="009B4189" w:rsidRPr="001F52A8">
        <w:t>such unclarities in Samuel.</w:t>
      </w:r>
      <w:r w:rsidR="00F73041" w:rsidRPr="001F52A8">
        <w:t xml:space="preserve"> </w:t>
      </w:r>
    </w:p>
    <w:p w14:paraId="1C6652D2" w14:textId="4AC47882" w:rsidR="00E54B3C" w:rsidRPr="00A41265" w:rsidRDefault="00AB6813" w:rsidP="00A41265">
      <w:r w:rsidRPr="001F52A8">
        <w:t>So</w:t>
      </w:r>
      <w:r w:rsidR="00A816C5" w:rsidRPr="001F52A8">
        <w:t xml:space="preserve">me </w:t>
      </w:r>
      <w:r w:rsidR="005A0B0E">
        <w:t xml:space="preserve">battle </w:t>
      </w:r>
      <w:r w:rsidR="00A816C5" w:rsidRPr="001F52A8">
        <w:t>accounts in the First Testament</w:t>
      </w:r>
      <w:r w:rsidR="002D540F" w:rsidRPr="001F52A8">
        <w:t xml:space="preserve"> tell </w:t>
      </w:r>
      <w:r w:rsidR="00FB6D1B" w:rsidRPr="001F52A8">
        <w:t>a c</w:t>
      </w:r>
      <w:r w:rsidR="0008335C" w:rsidRPr="001F52A8">
        <w:t>oherent</w:t>
      </w:r>
      <w:r w:rsidR="00FB6D1B" w:rsidRPr="001F52A8">
        <w:t xml:space="preserve"> story </w:t>
      </w:r>
      <w:r w:rsidR="002D540F" w:rsidRPr="001F52A8">
        <w:t xml:space="preserve">of </w:t>
      </w:r>
      <w:r w:rsidR="00E5434D" w:rsidRPr="001F52A8">
        <w:t xml:space="preserve">deliberate and careful inquiry of Yahweh and/or </w:t>
      </w:r>
      <w:r w:rsidR="002D540F" w:rsidRPr="001F52A8">
        <w:t xml:space="preserve">clear and </w:t>
      </w:r>
      <w:r w:rsidR="00764ED1" w:rsidRPr="001F52A8">
        <w:t>explicit</w:t>
      </w:r>
      <w:r w:rsidR="002D540F" w:rsidRPr="001F52A8">
        <w:t xml:space="preserve"> </w:t>
      </w:r>
      <w:r w:rsidR="00E5434D" w:rsidRPr="001F52A8">
        <w:t>instruction</w:t>
      </w:r>
      <w:r w:rsidR="00072484" w:rsidRPr="001F52A8">
        <w:t>s</w:t>
      </w:r>
      <w:r w:rsidR="00E5434D" w:rsidRPr="001F52A8">
        <w:t xml:space="preserve"> from Yahweh and/or </w:t>
      </w:r>
      <w:r w:rsidR="00B40C74" w:rsidRPr="001F52A8">
        <w:t xml:space="preserve">effective and </w:t>
      </w:r>
      <w:r w:rsidR="00764ED1" w:rsidRPr="001F52A8">
        <w:t>decisive</w:t>
      </w:r>
      <w:r w:rsidR="00B40C74" w:rsidRPr="001F52A8">
        <w:t xml:space="preserve"> action </w:t>
      </w:r>
      <w:r w:rsidR="00461EB9" w:rsidRPr="001F52A8">
        <w:t xml:space="preserve">with </w:t>
      </w:r>
      <w:r w:rsidR="004A2513" w:rsidRPr="001F52A8">
        <w:t xml:space="preserve">a </w:t>
      </w:r>
      <w:r w:rsidR="00E00ED3" w:rsidRPr="001F52A8">
        <w:t xml:space="preserve">positive and </w:t>
      </w:r>
      <w:r w:rsidR="0034655E" w:rsidRPr="001F52A8">
        <w:t>conclusive</w:t>
      </w:r>
      <w:r w:rsidR="004A2513" w:rsidRPr="001F52A8">
        <w:t xml:space="preserve"> outcome. </w:t>
      </w:r>
      <w:r w:rsidR="00362D8C" w:rsidRPr="001F52A8">
        <w:t>Th</w:t>
      </w:r>
      <w:r w:rsidR="00C70003" w:rsidRPr="001F52A8">
        <w:t>is battle</w:t>
      </w:r>
      <w:r w:rsidR="00362D8C" w:rsidRPr="001F52A8">
        <w:t xml:space="preserve"> </w:t>
      </w:r>
      <w:r w:rsidR="00FF7B5C" w:rsidRPr="001F52A8">
        <w:t xml:space="preserve">account is not an example. </w:t>
      </w:r>
      <w:r w:rsidR="00FD1347" w:rsidRPr="001F52A8">
        <w:t>The battle</w:t>
      </w:r>
      <w:r w:rsidR="00882126" w:rsidRPr="001F52A8">
        <w:t xml:space="preserve"> begins as a human initiative (13:</w:t>
      </w:r>
      <w:r w:rsidR="00FD1347" w:rsidRPr="001F52A8">
        <w:t>2</w:t>
      </w:r>
      <w:r w:rsidR="00D178D7" w:rsidRPr="001F52A8">
        <w:t xml:space="preserve">-7). </w:t>
      </w:r>
      <w:r w:rsidR="004D671D" w:rsidRPr="001F52A8">
        <w:t xml:space="preserve">There is no </w:t>
      </w:r>
      <w:r w:rsidR="005C298E" w:rsidRPr="001F52A8">
        <w:t xml:space="preserve">overwhelming by God’s spirit or </w:t>
      </w:r>
      <w:r w:rsidR="003103E4" w:rsidRPr="001F52A8">
        <w:t>blazing of anger</w:t>
      </w:r>
      <w:r w:rsidR="00454C6E" w:rsidRPr="001F52A8">
        <w:t>, though neither is there any critique of the initia</w:t>
      </w:r>
      <w:r w:rsidR="00AD7218" w:rsidRPr="001F52A8">
        <w:t>ti</w:t>
      </w:r>
      <w:r w:rsidR="00454C6E" w:rsidRPr="001F52A8">
        <w:t>ve</w:t>
      </w:r>
      <w:r w:rsidR="00AD7218" w:rsidRPr="001F52A8">
        <w:t xml:space="preserve">; </w:t>
      </w:r>
      <w:r w:rsidR="001F6CA3" w:rsidRPr="001F52A8">
        <w:t>perhaps</w:t>
      </w:r>
      <w:r w:rsidR="002A05FA" w:rsidRPr="001F52A8">
        <w:t xml:space="preserve"> </w:t>
      </w:r>
      <w:r w:rsidR="00A21B93" w:rsidRPr="001F52A8">
        <w:t xml:space="preserve">Saul is </w:t>
      </w:r>
      <w:r w:rsidR="002A05FA" w:rsidRPr="001F52A8">
        <w:rPr>
          <w:rFonts w:cstheme="minorHAnsi"/>
        </w:rPr>
        <w:t>do</w:t>
      </w:r>
      <w:r w:rsidR="00A21B93" w:rsidRPr="001F52A8">
        <w:rPr>
          <w:rFonts w:cstheme="minorHAnsi"/>
        </w:rPr>
        <w:t>ing</w:t>
      </w:r>
      <w:r w:rsidR="002A05FA" w:rsidRPr="001F52A8">
        <w:rPr>
          <w:rFonts w:cstheme="minorHAnsi"/>
        </w:rPr>
        <w:t xml:space="preserve"> what his hand finds to do, </w:t>
      </w:r>
      <w:r w:rsidR="00A21B93" w:rsidRPr="001F52A8">
        <w:rPr>
          <w:rFonts w:cstheme="minorHAnsi"/>
        </w:rPr>
        <w:t>in accordance with Samuel’s encoura</w:t>
      </w:r>
      <w:r w:rsidR="0028409F" w:rsidRPr="001F52A8">
        <w:rPr>
          <w:rFonts w:cstheme="minorHAnsi"/>
        </w:rPr>
        <w:t>gement</w:t>
      </w:r>
      <w:r w:rsidR="002A05FA" w:rsidRPr="001F52A8">
        <w:rPr>
          <w:rFonts w:cstheme="minorHAnsi"/>
        </w:rPr>
        <w:t xml:space="preserve"> (10:7</w:t>
      </w:r>
      <w:r w:rsidR="0028409F" w:rsidRPr="001F52A8">
        <w:rPr>
          <w:rFonts w:cstheme="minorHAnsi"/>
        </w:rPr>
        <w:t>).</w:t>
      </w:r>
      <w:r w:rsidR="000D7294" w:rsidRPr="001F52A8">
        <w:rPr>
          <w:rFonts w:cstheme="minorHAnsi"/>
        </w:rPr>
        <w:t xml:space="preserve"> </w:t>
      </w:r>
      <w:r w:rsidR="00CC1C58" w:rsidRPr="001F52A8">
        <w:rPr>
          <w:rFonts w:cstheme="minorHAnsi"/>
        </w:rPr>
        <w:t>But w</w:t>
      </w:r>
      <w:r w:rsidR="005568BF" w:rsidRPr="001F52A8">
        <w:rPr>
          <w:rFonts w:cstheme="minorHAnsi"/>
        </w:rPr>
        <w:t xml:space="preserve">ho is this </w:t>
      </w:r>
      <w:r w:rsidR="00D205F9" w:rsidRPr="001F52A8">
        <w:rPr>
          <w:rFonts w:cstheme="minorHAnsi"/>
        </w:rPr>
        <w:t xml:space="preserve">Jonathan </w:t>
      </w:r>
      <w:r w:rsidR="00297ADE" w:rsidRPr="001F52A8">
        <w:rPr>
          <w:rFonts w:cstheme="minorHAnsi"/>
        </w:rPr>
        <w:t>who</w:t>
      </w:r>
      <w:r w:rsidR="007258D4" w:rsidRPr="001F52A8">
        <w:rPr>
          <w:rFonts w:cstheme="minorHAnsi"/>
        </w:rPr>
        <w:t xml:space="preserve"> </w:t>
      </w:r>
      <w:r w:rsidR="00D205F9" w:rsidRPr="001F52A8">
        <w:rPr>
          <w:rFonts w:cstheme="minorHAnsi"/>
        </w:rPr>
        <w:t xml:space="preserve">strikes down </w:t>
      </w:r>
      <w:r w:rsidR="00211E33" w:rsidRPr="001F52A8">
        <w:rPr>
          <w:rFonts w:cstheme="minorHAnsi"/>
        </w:rPr>
        <w:t xml:space="preserve">a Philistine garrison </w:t>
      </w:r>
      <w:r w:rsidR="00833BFF">
        <w:rPr>
          <w:rFonts w:cstheme="minorHAnsi"/>
        </w:rPr>
        <w:t xml:space="preserve">– </w:t>
      </w:r>
      <w:r w:rsidR="00211E33" w:rsidRPr="001F52A8">
        <w:rPr>
          <w:rFonts w:cstheme="minorHAnsi"/>
        </w:rPr>
        <w:t>or is it a Phili</w:t>
      </w:r>
      <w:r w:rsidR="009059E5" w:rsidRPr="001F52A8">
        <w:rPr>
          <w:rFonts w:cstheme="minorHAnsi"/>
        </w:rPr>
        <w:t>stine garrison commander (</w:t>
      </w:r>
      <w:r w:rsidR="009059E5" w:rsidRPr="001F52A8">
        <w:rPr>
          <w:rFonts w:cstheme="minorHAnsi"/>
          <w:i/>
          <w:iCs/>
        </w:rPr>
        <w:t>nāṣîb</w:t>
      </w:r>
      <w:r w:rsidR="007E4440" w:rsidRPr="001F52A8">
        <w:rPr>
          <w:rFonts w:cstheme="minorHAnsi"/>
        </w:rPr>
        <w:t>, 13:3)</w:t>
      </w:r>
      <w:r w:rsidR="00EE5618" w:rsidRPr="001F52A8">
        <w:rPr>
          <w:rFonts w:cstheme="minorHAnsi"/>
        </w:rPr>
        <w:t xml:space="preserve">? </w:t>
      </w:r>
      <w:r w:rsidR="005123BB">
        <w:rPr>
          <w:rFonts w:cstheme="minorHAnsi"/>
        </w:rPr>
        <w:t>We have not heard of this Jonathan before</w:t>
      </w:r>
      <w:r w:rsidR="00AA6420">
        <w:rPr>
          <w:rFonts w:cstheme="minorHAnsi"/>
        </w:rPr>
        <w:t xml:space="preserve">. </w:t>
      </w:r>
      <w:r w:rsidR="00EE5618" w:rsidRPr="001F52A8">
        <w:rPr>
          <w:rFonts w:cstheme="minorHAnsi"/>
        </w:rPr>
        <w:t xml:space="preserve">Or </w:t>
      </w:r>
      <w:r w:rsidR="00D011D0" w:rsidRPr="001F52A8">
        <w:rPr>
          <w:rFonts w:cstheme="minorHAnsi"/>
        </w:rPr>
        <w:t>is it</w:t>
      </w:r>
      <w:r w:rsidR="00EE5618" w:rsidRPr="001F52A8">
        <w:rPr>
          <w:rFonts w:cstheme="minorHAnsi"/>
        </w:rPr>
        <w:t xml:space="preserve"> Saul </w:t>
      </w:r>
      <w:r w:rsidR="00D011D0" w:rsidRPr="001F52A8">
        <w:rPr>
          <w:rFonts w:cstheme="minorHAnsi"/>
        </w:rPr>
        <w:t xml:space="preserve">who </w:t>
      </w:r>
      <w:r w:rsidR="00EE5618" w:rsidRPr="001F52A8">
        <w:rPr>
          <w:rFonts w:cstheme="minorHAnsi"/>
        </w:rPr>
        <w:t>strike</w:t>
      </w:r>
      <w:r w:rsidR="00D011D0" w:rsidRPr="001F52A8">
        <w:rPr>
          <w:rFonts w:cstheme="minorHAnsi"/>
        </w:rPr>
        <w:t>s</w:t>
      </w:r>
      <w:r w:rsidR="00EE5618" w:rsidRPr="001F52A8">
        <w:rPr>
          <w:rFonts w:cstheme="minorHAnsi"/>
        </w:rPr>
        <w:t xml:space="preserve"> it down (13:4)?</w:t>
      </w:r>
      <w:r w:rsidR="00EB0DB9" w:rsidRPr="001F52A8">
        <w:rPr>
          <w:rFonts w:cstheme="minorHAnsi"/>
        </w:rPr>
        <w:t xml:space="preserve"> </w:t>
      </w:r>
      <w:r w:rsidR="00297ADE" w:rsidRPr="001F52A8">
        <w:rPr>
          <w:rFonts w:cstheme="minorHAnsi"/>
        </w:rPr>
        <w:t xml:space="preserve">Was the army “called out” by him or did it simply </w:t>
      </w:r>
      <w:r w:rsidR="00297ADE" w:rsidRPr="001F52A8">
        <w:rPr>
          <w:rFonts w:cstheme="minorHAnsi"/>
        </w:rPr>
        <w:lastRenderedPageBreak/>
        <w:t xml:space="preserve">muster, as LXX and Vg imply (the verb is </w:t>
      </w:r>
      <w:r w:rsidR="00297ADE" w:rsidRPr="001F52A8">
        <w:rPr>
          <w:rFonts w:cstheme="minorHAnsi"/>
          <w:i/>
          <w:iCs/>
        </w:rPr>
        <w:t xml:space="preserve">ṣā‘aq </w:t>
      </w:r>
      <w:r w:rsidR="00297ADE" w:rsidRPr="001F52A8">
        <w:rPr>
          <w:rFonts w:cstheme="minorHAnsi"/>
        </w:rPr>
        <w:t>niphal)?</w:t>
      </w:r>
      <w:r w:rsidR="00882D88" w:rsidRPr="001F52A8">
        <w:rPr>
          <w:rFonts w:cstheme="minorHAnsi"/>
        </w:rPr>
        <w:t xml:space="preserve"> </w:t>
      </w:r>
      <w:r w:rsidR="00EB0DB9" w:rsidRPr="001F52A8">
        <w:rPr>
          <w:rFonts w:cstheme="minorHAnsi"/>
        </w:rPr>
        <w:t xml:space="preserve">What is the relationship between Jonathan’s forces and Saul’s forces in the engagements that follow? </w:t>
      </w:r>
      <w:r w:rsidR="000501AA" w:rsidRPr="001F52A8">
        <w:rPr>
          <w:rFonts w:cstheme="minorHAnsi"/>
        </w:rPr>
        <w:t xml:space="preserve">Are Gibeah </w:t>
      </w:r>
      <w:r w:rsidR="00A90BDD" w:rsidRPr="001F52A8">
        <w:rPr>
          <w:rFonts w:cstheme="minorHAnsi"/>
        </w:rPr>
        <w:t>of Benjamin</w:t>
      </w:r>
      <w:r w:rsidR="00AA6420">
        <w:rPr>
          <w:rFonts w:cstheme="minorHAnsi"/>
        </w:rPr>
        <w:t>,</w:t>
      </w:r>
      <w:r w:rsidR="000501AA" w:rsidRPr="001F52A8">
        <w:rPr>
          <w:rFonts w:cstheme="minorHAnsi"/>
        </w:rPr>
        <w:t xml:space="preserve"> </w:t>
      </w:r>
      <w:r w:rsidR="00E2466B" w:rsidRPr="001F52A8">
        <w:rPr>
          <w:rFonts w:cstheme="minorHAnsi"/>
        </w:rPr>
        <w:t>Geba of Benjamin</w:t>
      </w:r>
      <w:r w:rsidR="00E2466B">
        <w:rPr>
          <w:rFonts w:cstheme="minorHAnsi"/>
        </w:rPr>
        <w:t>,</w:t>
      </w:r>
      <w:r w:rsidR="00E2466B" w:rsidRPr="001F52A8">
        <w:rPr>
          <w:rFonts w:cstheme="minorHAnsi"/>
        </w:rPr>
        <w:t xml:space="preserve"> </w:t>
      </w:r>
      <w:r w:rsidR="00E2466B">
        <w:rPr>
          <w:rFonts w:cstheme="minorHAnsi"/>
        </w:rPr>
        <w:t xml:space="preserve">and </w:t>
      </w:r>
      <w:r w:rsidR="000501AA" w:rsidRPr="001F52A8">
        <w:rPr>
          <w:rFonts w:cstheme="minorHAnsi"/>
        </w:rPr>
        <w:t>Geba</w:t>
      </w:r>
      <w:r w:rsidR="002C743A" w:rsidRPr="001F52A8">
        <w:rPr>
          <w:rFonts w:cstheme="minorHAnsi"/>
        </w:rPr>
        <w:t xml:space="preserve"> </w:t>
      </w:r>
      <w:r w:rsidR="00882D88" w:rsidRPr="001F52A8">
        <w:rPr>
          <w:rFonts w:cstheme="minorHAnsi"/>
        </w:rPr>
        <w:t>the location of</w:t>
      </w:r>
      <w:r w:rsidR="002B0536" w:rsidRPr="001F52A8">
        <w:rPr>
          <w:rFonts w:cstheme="minorHAnsi"/>
        </w:rPr>
        <w:t xml:space="preserve"> the Philistine base</w:t>
      </w:r>
      <w:r w:rsidR="003B2620" w:rsidRPr="001F52A8">
        <w:rPr>
          <w:rFonts w:cstheme="minorHAnsi"/>
        </w:rPr>
        <w:t xml:space="preserve"> </w:t>
      </w:r>
      <w:r w:rsidR="000501AA" w:rsidRPr="001F52A8">
        <w:rPr>
          <w:rFonts w:cstheme="minorHAnsi"/>
        </w:rPr>
        <w:t>(13:2-3</w:t>
      </w:r>
      <w:r w:rsidR="004A1F1E" w:rsidRPr="001F52A8">
        <w:rPr>
          <w:rFonts w:cstheme="minorHAnsi"/>
        </w:rPr>
        <w:t>, 16</w:t>
      </w:r>
      <w:r w:rsidR="000501AA" w:rsidRPr="001F52A8">
        <w:rPr>
          <w:rFonts w:cstheme="minorHAnsi"/>
        </w:rPr>
        <w:t>) different places</w:t>
      </w:r>
      <w:r w:rsidR="00EA31A8" w:rsidRPr="001F52A8">
        <w:rPr>
          <w:rFonts w:cstheme="minorHAnsi"/>
        </w:rPr>
        <w:t xml:space="preserve">, and </w:t>
      </w:r>
      <w:r w:rsidR="004A1F1E" w:rsidRPr="001F52A8">
        <w:rPr>
          <w:rFonts w:cstheme="minorHAnsi"/>
        </w:rPr>
        <w:t>are any of them</w:t>
      </w:r>
      <w:r w:rsidR="00632D0F" w:rsidRPr="001F52A8">
        <w:rPr>
          <w:rFonts w:cstheme="minorHAnsi"/>
        </w:rPr>
        <w:t xml:space="preserve"> the same place as Gibeah of God </w:t>
      </w:r>
      <w:r w:rsidR="002B0536" w:rsidRPr="001F52A8">
        <w:rPr>
          <w:rFonts w:cstheme="minorHAnsi"/>
        </w:rPr>
        <w:t>where the Philistine base</w:t>
      </w:r>
      <w:r w:rsidR="00B67124">
        <w:rPr>
          <w:rFonts w:cstheme="minorHAnsi"/>
        </w:rPr>
        <w:t>/garrison</w:t>
      </w:r>
      <w:r w:rsidR="002B0536" w:rsidRPr="001F52A8">
        <w:rPr>
          <w:rFonts w:cstheme="minorHAnsi"/>
        </w:rPr>
        <w:t xml:space="preserve"> </w:t>
      </w:r>
      <w:r w:rsidR="00B67124">
        <w:rPr>
          <w:rFonts w:cstheme="minorHAnsi"/>
        </w:rPr>
        <w:t xml:space="preserve">also </w:t>
      </w:r>
      <w:r w:rsidR="002B0536" w:rsidRPr="001F52A8">
        <w:rPr>
          <w:rFonts w:cstheme="minorHAnsi"/>
        </w:rPr>
        <w:t>i</w:t>
      </w:r>
      <w:r w:rsidR="00A90BDD" w:rsidRPr="001F52A8">
        <w:rPr>
          <w:rFonts w:cstheme="minorHAnsi"/>
        </w:rPr>
        <w:t xml:space="preserve">s </w:t>
      </w:r>
      <w:r w:rsidR="00632D0F" w:rsidRPr="001F52A8">
        <w:rPr>
          <w:rFonts w:cstheme="minorHAnsi"/>
        </w:rPr>
        <w:t>(10:</w:t>
      </w:r>
      <w:r w:rsidR="008232D9">
        <w:rPr>
          <w:rFonts w:cstheme="minorHAnsi"/>
        </w:rPr>
        <w:t>5</w:t>
      </w:r>
      <w:r w:rsidR="00632D0F" w:rsidRPr="001F52A8">
        <w:rPr>
          <w:rFonts w:cstheme="minorHAnsi"/>
        </w:rPr>
        <w:t>)</w:t>
      </w:r>
      <w:r w:rsidR="004649EE" w:rsidRPr="001F52A8">
        <w:rPr>
          <w:rFonts w:cstheme="minorHAnsi"/>
        </w:rPr>
        <w:t xml:space="preserve"> and</w:t>
      </w:r>
      <w:r w:rsidR="00E158E9">
        <w:rPr>
          <w:rFonts w:cstheme="minorHAnsi"/>
        </w:rPr>
        <w:t>/or</w:t>
      </w:r>
      <w:r w:rsidR="004649EE" w:rsidRPr="001F52A8">
        <w:rPr>
          <w:rFonts w:cstheme="minorHAnsi"/>
        </w:rPr>
        <w:t xml:space="preserve"> </w:t>
      </w:r>
      <w:r w:rsidR="006676F1">
        <w:rPr>
          <w:rFonts w:cstheme="minorHAnsi"/>
        </w:rPr>
        <w:t xml:space="preserve">as </w:t>
      </w:r>
      <w:r w:rsidR="004649EE" w:rsidRPr="001F52A8">
        <w:rPr>
          <w:rFonts w:cstheme="minorHAnsi"/>
        </w:rPr>
        <w:t>Gibeah of Sau</w:t>
      </w:r>
      <w:r w:rsidR="00C65EFD" w:rsidRPr="001F52A8">
        <w:rPr>
          <w:rFonts w:cstheme="minorHAnsi"/>
        </w:rPr>
        <w:t>l</w:t>
      </w:r>
      <w:r w:rsidR="00196886" w:rsidRPr="001F52A8">
        <w:rPr>
          <w:rFonts w:cstheme="minorHAnsi"/>
        </w:rPr>
        <w:t xml:space="preserve"> (11:4</w:t>
      </w:r>
      <w:r w:rsidR="0031225D" w:rsidRPr="001F52A8">
        <w:rPr>
          <w:rFonts w:cstheme="minorHAnsi"/>
        </w:rPr>
        <w:t>)</w:t>
      </w:r>
      <w:r w:rsidR="000501AA" w:rsidRPr="001F52A8">
        <w:rPr>
          <w:rFonts w:cstheme="minorHAnsi"/>
        </w:rPr>
        <w:t>?</w:t>
      </w:r>
    </w:p>
    <w:p w14:paraId="6CA1A86A" w14:textId="1E1B0CA8" w:rsidR="001E4E0C" w:rsidRPr="001F52A8" w:rsidRDefault="009C7640" w:rsidP="001E4E0C">
      <w:pPr>
        <w:rPr>
          <w:rFonts w:cstheme="minorHAnsi"/>
        </w:rPr>
      </w:pPr>
      <w:r w:rsidRPr="001F52A8">
        <w:rPr>
          <w:rFonts w:cstheme="minorHAnsi"/>
        </w:rPr>
        <w:t>And w</w:t>
      </w:r>
      <w:r w:rsidR="006227CA" w:rsidRPr="001F52A8">
        <w:rPr>
          <w:rFonts w:cstheme="minorHAnsi"/>
        </w:rPr>
        <w:t xml:space="preserve">here is Samuel? </w:t>
      </w:r>
      <w:r w:rsidR="00373907" w:rsidRPr="001F52A8">
        <w:rPr>
          <w:rFonts w:cstheme="minorHAnsi"/>
        </w:rPr>
        <w:t xml:space="preserve">Alongside that earlier encouragement, he had spoken of </w:t>
      </w:r>
      <w:r w:rsidR="00541E5F" w:rsidRPr="001F52A8">
        <w:rPr>
          <w:rFonts w:cstheme="minorHAnsi"/>
        </w:rPr>
        <w:t xml:space="preserve">the making of offerings, which would be the natural accompaniment of </w:t>
      </w:r>
      <w:r w:rsidR="000D7294" w:rsidRPr="001F52A8">
        <w:rPr>
          <w:rFonts w:cstheme="minorHAnsi"/>
        </w:rPr>
        <w:t xml:space="preserve">seeking </w:t>
      </w:r>
      <w:r w:rsidR="00B80C45" w:rsidRPr="001F52A8">
        <w:rPr>
          <w:rFonts w:cstheme="minorHAnsi"/>
        </w:rPr>
        <w:t>Yahweh’s blessing</w:t>
      </w:r>
      <w:r w:rsidR="00373907" w:rsidRPr="001F52A8">
        <w:rPr>
          <w:rFonts w:cstheme="minorHAnsi"/>
        </w:rPr>
        <w:t>, and had</w:t>
      </w:r>
      <w:r w:rsidR="008817AE" w:rsidRPr="001F52A8">
        <w:rPr>
          <w:rFonts w:cstheme="minorHAnsi"/>
        </w:rPr>
        <w:t xml:space="preserve"> add</w:t>
      </w:r>
      <w:r w:rsidR="00373907" w:rsidRPr="001F52A8">
        <w:rPr>
          <w:rFonts w:cstheme="minorHAnsi"/>
        </w:rPr>
        <w:t>ed</w:t>
      </w:r>
      <w:r w:rsidR="008817AE" w:rsidRPr="001F52A8">
        <w:rPr>
          <w:rFonts w:cstheme="minorHAnsi"/>
        </w:rPr>
        <w:t xml:space="preserve"> that he of course would come to make the offering</w:t>
      </w:r>
      <w:r w:rsidR="003663F8" w:rsidRPr="001F52A8">
        <w:rPr>
          <w:rFonts w:cstheme="minorHAnsi"/>
        </w:rPr>
        <w:t>.</w:t>
      </w:r>
      <w:r w:rsidR="006B0322" w:rsidRPr="001F52A8">
        <w:rPr>
          <w:rFonts w:cstheme="minorHAnsi"/>
        </w:rPr>
        <w:t xml:space="preserve"> </w:t>
      </w:r>
      <w:r w:rsidR="005E7F76">
        <w:rPr>
          <w:rFonts w:cstheme="minorHAnsi"/>
        </w:rPr>
        <w:t>W</w:t>
      </w:r>
      <w:r w:rsidR="006B0322" w:rsidRPr="001F52A8">
        <w:rPr>
          <w:rFonts w:cstheme="minorHAnsi"/>
        </w:rPr>
        <w:t>hy d</w:t>
      </w:r>
      <w:r w:rsidR="00C6176E" w:rsidRPr="001F52A8">
        <w:rPr>
          <w:rFonts w:cstheme="minorHAnsi"/>
        </w:rPr>
        <w:t>oes</w:t>
      </w:r>
      <w:r w:rsidR="006B0322" w:rsidRPr="001F52A8">
        <w:rPr>
          <w:rFonts w:cstheme="minorHAnsi"/>
        </w:rPr>
        <w:t xml:space="preserve"> he not </w:t>
      </w:r>
      <w:r w:rsidR="003663F8" w:rsidRPr="001F52A8">
        <w:rPr>
          <w:rFonts w:cstheme="minorHAnsi"/>
        </w:rPr>
        <w:t>show up within the timeframe he set</w:t>
      </w:r>
      <w:r w:rsidR="003905C3" w:rsidRPr="001F52A8">
        <w:rPr>
          <w:rFonts w:cstheme="minorHAnsi"/>
        </w:rPr>
        <w:t xml:space="preserve">, </w:t>
      </w:r>
      <w:r w:rsidR="006B0322" w:rsidRPr="001F52A8">
        <w:rPr>
          <w:rFonts w:cstheme="minorHAnsi"/>
        </w:rPr>
        <w:t>when</w:t>
      </w:r>
      <w:r w:rsidR="003905C3" w:rsidRPr="001F52A8">
        <w:rPr>
          <w:rFonts w:cstheme="minorHAnsi"/>
        </w:rPr>
        <w:t xml:space="preserve"> </w:t>
      </w:r>
      <w:r w:rsidR="00DF5C85" w:rsidRPr="001F52A8">
        <w:rPr>
          <w:rFonts w:cstheme="minorHAnsi"/>
        </w:rPr>
        <w:t xml:space="preserve">the army is beginning to </w:t>
      </w:r>
      <w:r w:rsidR="007276C1" w:rsidRPr="001F52A8">
        <w:rPr>
          <w:rFonts w:cstheme="minorHAnsi"/>
        </w:rPr>
        <w:t>run for cover</w:t>
      </w:r>
      <w:r w:rsidR="006B0322" w:rsidRPr="001F52A8">
        <w:rPr>
          <w:rFonts w:cstheme="minorHAnsi"/>
        </w:rPr>
        <w:t>?</w:t>
      </w:r>
      <w:r w:rsidR="00DF5C85" w:rsidRPr="001F52A8">
        <w:rPr>
          <w:rFonts w:cstheme="minorHAnsi"/>
        </w:rPr>
        <w:t xml:space="preserve"> </w:t>
      </w:r>
      <w:r w:rsidR="006B0322" w:rsidRPr="001F52A8">
        <w:rPr>
          <w:rFonts w:cstheme="minorHAnsi"/>
        </w:rPr>
        <w:t xml:space="preserve">When Saul </w:t>
      </w:r>
      <w:r w:rsidR="00020B87" w:rsidRPr="001F52A8">
        <w:rPr>
          <w:rFonts w:cstheme="minorHAnsi"/>
        </w:rPr>
        <w:t>“force</w:t>
      </w:r>
      <w:r w:rsidR="00FC64C9" w:rsidRPr="001F52A8">
        <w:rPr>
          <w:rFonts w:cstheme="minorHAnsi"/>
        </w:rPr>
        <w:t>s</w:t>
      </w:r>
      <w:r w:rsidR="00020B87" w:rsidRPr="001F52A8">
        <w:rPr>
          <w:rFonts w:cstheme="minorHAnsi"/>
        </w:rPr>
        <w:t xml:space="preserve"> </w:t>
      </w:r>
      <w:r w:rsidR="00FC64C9" w:rsidRPr="001F52A8">
        <w:rPr>
          <w:rFonts w:cstheme="minorHAnsi"/>
        </w:rPr>
        <w:t>him</w:t>
      </w:r>
      <w:r w:rsidR="00020B87" w:rsidRPr="001F52A8">
        <w:rPr>
          <w:rFonts w:cstheme="minorHAnsi"/>
        </w:rPr>
        <w:t>self” and ma</w:t>
      </w:r>
      <w:r w:rsidR="00FC64C9" w:rsidRPr="001F52A8">
        <w:rPr>
          <w:rFonts w:cstheme="minorHAnsi"/>
        </w:rPr>
        <w:t>kes</w:t>
      </w:r>
      <w:r w:rsidR="00020B87" w:rsidRPr="001F52A8">
        <w:rPr>
          <w:rFonts w:cstheme="minorHAnsi"/>
        </w:rPr>
        <w:t xml:space="preserve"> the offering</w:t>
      </w:r>
      <w:r w:rsidR="00FC64C9" w:rsidRPr="001F52A8">
        <w:rPr>
          <w:rFonts w:cstheme="minorHAnsi"/>
        </w:rPr>
        <w:t>, i</w:t>
      </w:r>
      <w:r w:rsidR="00EE2074" w:rsidRPr="001F52A8">
        <w:rPr>
          <w:rFonts w:cstheme="minorHAnsi"/>
        </w:rPr>
        <w:t xml:space="preserve">s </w:t>
      </w:r>
      <w:r w:rsidR="00FC64C9" w:rsidRPr="001F52A8">
        <w:rPr>
          <w:rFonts w:cstheme="minorHAnsi"/>
        </w:rPr>
        <w:t>he</w:t>
      </w:r>
      <w:r w:rsidR="00EE2074" w:rsidRPr="001F52A8">
        <w:rPr>
          <w:rFonts w:cstheme="minorHAnsi"/>
        </w:rPr>
        <w:t xml:space="preserve"> at fault? Is Samuel at fault</w:t>
      </w:r>
      <w:r w:rsidR="00420693" w:rsidRPr="001F52A8">
        <w:rPr>
          <w:rFonts w:cstheme="minorHAnsi"/>
        </w:rPr>
        <w:t xml:space="preserve"> in his absence or his judgment</w:t>
      </w:r>
      <w:r w:rsidR="00EE2074" w:rsidRPr="001F52A8">
        <w:rPr>
          <w:rFonts w:cstheme="minorHAnsi"/>
        </w:rPr>
        <w:t>?</w:t>
      </w:r>
      <w:r w:rsidR="00E571E2" w:rsidRPr="001F52A8">
        <w:rPr>
          <w:rFonts w:cstheme="minorHAnsi"/>
        </w:rPr>
        <w:t xml:space="preserve"> </w:t>
      </w:r>
      <w:r w:rsidR="00B64243" w:rsidRPr="001F52A8">
        <w:rPr>
          <w:rFonts w:cstheme="minorHAnsi"/>
        </w:rPr>
        <w:t>“Samuel may think that Saul has failed the test, but the narrator betrays no trace of any attitude of judgment or cheap superiority over the doomed king.”</w:t>
      </w:r>
      <w:r w:rsidR="00B64243" w:rsidRPr="001F52A8">
        <w:rPr>
          <w:rStyle w:val="FootnoteReference"/>
          <w:rFonts w:cstheme="minorHAnsi"/>
        </w:rPr>
        <w:footnoteReference w:id="148"/>
      </w:r>
      <w:r w:rsidR="0062599D" w:rsidRPr="001F52A8">
        <w:rPr>
          <w:rFonts w:cstheme="minorHAnsi"/>
        </w:rPr>
        <w:t xml:space="preserve"> </w:t>
      </w:r>
      <w:r w:rsidR="008B379D" w:rsidRPr="001F52A8">
        <w:rPr>
          <w:rFonts w:cstheme="minorHAnsi"/>
        </w:rPr>
        <w:t xml:space="preserve">Why does Yahweh not speak? Is </w:t>
      </w:r>
      <w:r w:rsidR="005507DA">
        <w:rPr>
          <w:rFonts w:cstheme="minorHAnsi"/>
        </w:rPr>
        <w:t>he</w:t>
      </w:r>
      <w:r w:rsidR="008B379D" w:rsidRPr="001F52A8">
        <w:rPr>
          <w:rFonts w:cstheme="minorHAnsi"/>
        </w:rPr>
        <w:t xml:space="preserve"> being tough? </w:t>
      </w:r>
      <w:r w:rsidR="00C73C1E" w:rsidRPr="001F52A8">
        <w:rPr>
          <w:rFonts w:cstheme="minorHAnsi"/>
        </w:rPr>
        <w:t>Should Saul have act</w:t>
      </w:r>
      <w:r w:rsidR="00801BE8">
        <w:rPr>
          <w:rFonts w:cstheme="minorHAnsi"/>
        </w:rPr>
        <w:t>ed</w:t>
      </w:r>
      <w:r w:rsidR="00C73C1E" w:rsidRPr="001F52A8">
        <w:rPr>
          <w:rFonts w:cstheme="minorHAnsi"/>
        </w:rPr>
        <w:t xml:space="preserve"> instead of sacrificing? </w:t>
      </w:r>
      <w:r w:rsidR="0070703B" w:rsidRPr="001F52A8">
        <w:rPr>
          <w:rFonts w:cstheme="minorHAnsi"/>
        </w:rPr>
        <w:t xml:space="preserve">When </w:t>
      </w:r>
      <w:r w:rsidR="00942AC4" w:rsidRPr="001F52A8">
        <w:rPr>
          <w:rFonts w:cstheme="minorHAnsi"/>
        </w:rPr>
        <w:t xml:space="preserve">Samuel arrives and tells Saul he has been </w:t>
      </w:r>
      <w:r w:rsidR="00B47CA5" w:rsidRPr="001F52A8">
        <w:rPr>
          <w:rFonts w:cstheme="minorHAnsi"/>
        </w:rPr>
        <w:t>a fool</w:t>
      </w:r>
      <w:r w:rsidR="00702B3F" w:rsidRPr="001F52A8">
        <w:rPr>
          <w:rFonts w:cstheme="minorHAnsi"/>
        </w:rPr>
        <w:t xml:space="preserve"> for ignoring Yahweh’s command</w:t>
      </w:r>
      <w:r w:rsidR="00EF613F" w:rsidRPr="001F52A8">
        <w:rPr>
          <w:rFonts w:cstheme="minorHAnsi"/>
        </w:rPr>
        <w:t xml:space="preserve">, </w:t>
      </w:r>
      <w:r w:rsidR="0070703B" w:rsidRPr="001F52A8">
        <w:rPr>
          <w:rFonts w:cstheme="minorHAnsi"/>
        </w:rPr>
        <w:t>what command does he refer to</w:t>
      </w:r>
      <w:r w:rsidR="000702E8" w:rsidRPr="001F52A8">
        <w:rPr>
          <w:rFonts w:cstheme="minorHAnsi"/>
        </w:rPr>
        <w:t xml:space="preserve"> </w:t>
      </w:r>
      <w:r w:rsidR="00785F2A">
        <w:rPr>
          <w:rFonts w:cstheme="minorHAnsi"/>
        </w:rPr>
        <w:t>(</w:t>
      </w:r>
      <w:r w:rsidR="00C73C1E" w:rsidRPr="001F52A8">
        <w:rPr>
          <w:rFonts w:cstheme="minorHAnsi"/>
        </w:rPr>
        <w:t>Yahweh</w:t>
      </w:r>
      <w:r w:rsidR="00785F2A">
        <w:rPr>
          <w:rFonts w:cstheme="minorHAnsi"/>
        </w:rPr>
        <w:t xml:space="preserve">, </w:t>
      </w:r>
      <w:r w:rsidR="00C73C1E" w:rsidRPr="001F52A8">
        <w:rPr>
          <w:rFonts w:cstheme="minorHAnsi"/>
        </w:rPr>
        <w:t>as oppose to Samuel</w:t>
      </w:r>
      <w:r w:rsidR="00785F2A">
        <w:rPr>
          <w:rFonts w:cstheme="minorHAnsi"/>
        </w:rPr>
        <w:t>,</w:t>
      </w:r>
      <w:r w:rsidR="00C73C1E" w:rsidRPr="001F52A8">
        <w:rPr>
          <w:rFonts w:cstheme="minorHAnsi"/>
        </w:rPr>
        <w:t xml:space="preserve"> issued no command about Gilgal</w:t>
      </w:r>
      <w:r w:rsidR="00785F2A">
        <w:rPr>
          <w:rFonts w:cstheme="minorHAnsi"/>
        </w:rPr>
        <w:t>)?</w:t>
      </w:r>
      <w:r w:rsidR="001363AE" w:rsidRPr="001F52A8">
        <w:rPr>
          <w:rFonts w:cstheme="minorHAnsi"/>
        </w:rPr>
        <w:t xml:space="preserve"> </w:t>
      </w:r>
      <w:r w:rsidR="00591410">
        <w:rPr>
          <w:rFonts w:cstheme="minorHAnsi"/>
        </w:rPr>
        <w:t>A</w:t>
      </w:r>
      <w:r w:rsidR="00E27E11" w:rsidRPr="001F52A8">
        <w:rPr>
          <w:rFonts w:cstheme="minorHAnsi"/>
        </w:rPr>
        <w:t>re the words of condemnation Samuel’s</w:t>
      </w:r>
      <w:r w:rsidR="001E4E0C" w:rsidRPr="001F52A8">
        <w:rPr>
          <w:rFonts w:cstheme="minorHAnsi"/>
        </w:rPr>
        <w:t xml:space="preserve"> or Yahweh’s?</w:t>
      </w:r>
    </w:p>
    <w:p w14:paraId="2D1C8675" w14:textId="0E517A78" w:rsidR="00723FD8" w:rsidRDefault="001823F3" w:rsidP="00723FD8">
      <w:pPr>
        <w:rPr>
          <w:rFonts w:cstheme="minorHAnsi"/>
        </w:rPr>
      </w:pPr>
      <w:r w:rsidRPr="001F52A8">
        <w:rPr>
          <w:rFonts w:cstheme="minorHAnsi"/>
        </w:rPr>
        <w:t xml:space="preserve">For </w:t>
      </w:r>
      <w:r w:rsidR="00733EBC" w:rsidRPr="001F52A8">
        <w:rPr>
          <w:rFonts w:cstheme="minorHAnsi"/>
        </w:rPr>
        <w:t>ignoring that command</w:t>
      </w:r>
      <w:r w:rsidRPr="001F52A8">
        <w:rPr>
          <w:rFonts w:cstheme="minorHAnsi"/>
        </w:rPr>
        <w:t xml:space="preserve">, </w:t>
      </w:r>
      <w:r w:rsidR="00733EBC" w:rsidRPr="001F52A8">
        <w:rPr>
          <w:rFonts w:cstheme="minorHAnsi"/>
        </w:rPr>
        <w:t>Saul’s</w:t>
      </w:r>
      <w:r w:rsidR="00BA6442" w:rsidRPr="001F52A8">
        <w:rPr>
          <w:rFonts w:cstheme="minorHAnsi"/>
        </w:rPr>
        <w:t xml:space="preserve"> reign </w:t>
      </w:r>
      <w:r w:rsidR="00AA4525" w:rsidRPr="001F52A8">
        <w:rPr>
          <w:rFonts w:cstheme="minorHAnsi"/>
        </w:rPr>
        <w:t>“</w:t>
      </w:r>
      <w:r w:rsidR="00FF4F2D" w:rsidRPr="001F52A8">
        <w:rPr>
          <w:rFonts w:cstheme="minorHAnsi"/>
        </w:rPr>
        <w:t>will not stand</w:t>
      </w:r>
      <w:r w:rsidR="00A25B50" w:rsidRPr="001F52A8">
        <w:rPr>
          <w:rFonts w:cstheme="minorHAnsi"/>
        </w:rPr>
        <w:t>” (</w:t>
      </w:r>
      <w:r w:rsidR="00A25B50" w:rsidRPr="001F52A8">
        <w:rPr>
          <w:rFonts w:cstheme="minorHAnsi"/>
          <w:i/>
          <w:iCs/>
        </w:rPr>
        <w:t>qû</w:t>
      </w:r>
      <w:r w:rsidR="008511AE" w:rsidRPr="001F52A8">
        <w:rPr>
          <w:rFonts w:cstheme="minorHAnsi"/>
          <w:i/>
          <w:iCs/>
        </w:rPr>
        <w:t>m</w:t>
      </w:r>
      <w:r w:rsidR="008511AE" w:rsidRPr="001F52A8">
        <w:rPr>
          <w:rFonts w:cstheme="minorHAnsi"/>
        </w:rPr>
        <w:t>, 13:14).</w:t>
      </w:r>
      <w:r w:rsidR="00FF4F2D" w:rsidRPr="001F52A8">
        <w:rPr>
          <w:rFonts w:cstheme="minorHAnsi"/>
        </w:rPr>
        <w:t xml:space="preserve"> Is it his own </w:t>
      </w:r>
      <w:r w:rsidR="001A48C1" w:rsidRPr="001F52A8">
        <w:rPr>
          <w:rFonts w:cstheme="minorHAnsi"/>
        </w:rPr>
        <w:t>reign</w:t>
      </w:r>
      <w:r w:rsidR="00033398" w:rsidRPr="001F52A8">
        <w:rPr>
          <w:rFonts w:cstheme="minorHAnsi"/>
        </w:rPr>
        <w:t xml:space="preserve">, which will </w:t>
      </w:r>
      <w:r w:rsidR="00313A9D" w:rsidRPr="001F52A8">
        <w:rPr>
          <w:rFonts w:cstheme="minorHAnsi"/>
        </w:rPr>
        <w:t>a</w:t>
      </w:r>
      <w:r w:rsidR="00733EBC" w:rsidRPr="001F52A8">
        <w:rPr>
          <w:rFonts w:cstheme="minorHAnsi"/>
        </w:rPr>
        <w:t xml:space="preserve">ctually </w:t>
      </w:r>
      <w:r w:rsidR="0056472E" w:rsidRPr="001F52A8">
        <w:rPr>
          <w:rFonts w:cstheme="minorHAnsi"/>
        </w:rPr>
        <w:t xml:space="preserve">last quite a while but </w:t>
      </w:r>
      <w:r w:rsidR="00033398" w:rsidRPr="001F52A8">
        <w:rPr>
          <w:rFonts w:cstheme="minorHAnsi"/>
        </w:rPr>
        <w:t xml:space="preserve">come to an end </w:t>
      </w:r>
      <w:r w:rsidR="0056472E" w:rsidRPr="001F52A8">
        <w:rPr>
          <w:rFonts w:cstheme="minorHAnsi"/>
        </w:rPr>
        <w:t>with his death</w:t>
      </w:r>
      <w:r w:rsidR="00FC4E5E" w:rsidRPr="001F52A8">
        <w:rPr>
          <w:rFonts w:cstheme="minorHAnsi"/>
        </w:rPr>
        <w:t xml:space="preserve"> by his own hand</w:t>
      </w:r>
      <w:r w:rsidR="00C36484" w:rsidRPr="001F52A8">
        <w:rPr>
          <w:rFonts w:cstheme="minorHAnsi"/>
        </w:rPr>
        <w:t>, o</w:t>
      </w:r>
      <w:r w:rsidR="00AF46B8" w:rsidRPr="001F52A8">
        <w:rPr>
          <w:rFonts w:cstheme="minorHAnsi"/>
        </w:rPr>
        <w:t>r is it</w:t>
      </w:r>
      <w:r w:rsidR="001A48C1" w:rsidRPr="001F52A8">
        <w:rPr>
          <w:rFonts w:cstheme="minorHAnsi"/>
        </w:rPr>
        <w:t xml:space="preserve"> his dynasty</w:t>
      </w:r>
      <w:r w:rsidR="00C36484" w:rsidRPr="001F52A8">
        <w:rPr>
          <w:rFonts w:cstheme="minorHAnsi"/>
        </w:rPr>
        <w:t>?</w:t>
      </w:r>
      <w:r w:rsidR="00F341EB" w:rsidRPr="001F52A8">
        <w:rPr>
          <w:rFonts w:cstheme="minorHAnsi"/>
        </w:rPr>
        <w:t xml:space="preserve"> </w:t>
      </w:r>
      <w:r w:rsidR="00A14F22" w:rsidRPr="001F52A8">
        <w:rPr>
          <w:rFonts w:cstheme="minorHAnsi"/>
        </w:rPr>
        <w:t xml:space="preserve">In the former case, this </w:t>
      </w:r>
      <w:r w:rsidR="00357BF3">
        <w:rPr>
          <w:rFonts w:cstheme="minorHAnsi"/>
        </w:rPr>
        <w:t xml:space="preserve">note is </w:t>
      </w:r>
      <w:r w:rsidR="00A14F22" w:rsidRPr="001F52A8">
        <w:rPr>
          <w:rFonts w:cstheme="minorHAnsi"/>
        </w:rPr>
        <w:t xml:space="preserve">one of the indications that the story </w:t>
      </w:r>
      <w:r w:rsidR="00541607" w:rsidRPr="001F52A8">
        <w:rPr>
          <w:rFonts w:cstheme="minorHAnsi"/>
        </w:rPr>
        <w:t>portrays the lo</w:t>
      </w:r>
      <w:r w:rsidR="00B063C7" w:rsidRPr="001F52A8">
        <w:rPr>
          <w:rFonts w:cstheme="minorHAnsi"/>
        </w:rPr>
        <w:t>n</w:t>
      </w:r>
      <w:r w:rsidR="00541607" w:rsidRPr="001F52A8">
        <w:rPr>
          <w:rFonts w:cstheme="minorHAnsi"/>
        </w:rPr>
        <w:t xml:space="preserve">g process that does end in his death. </w:t>
      </w:r>
      <w:r w:rsidR="00C36484" w:rsidRPr="001F52A8">
        <w:rPr>
          <w:rFonts w:cstheme="minorHAnsi"/>
        </w:rPr>
        <w:t>I</w:t>
      </w:r>
      <w:r w:rsidR="00AF46B8" w:rsidRPr="001F52A8">
        <w:rPr>
          <w:rFonts w:cstheme="minorHAnsi"/>
        </w:rPr>
        <w:t xml:space="preserve">n </w:t>
      </w:r>
      <w:r w:rsidR="00C36484" w:rsidRPr="001F52A8">
        <w:rPr>
          <w:rFonts w:cstheme="minorHAnsi"/>
        </w:rPr>
        <w:t>the latter</w:t>
      </w:r>
      <w:r w:rsidR="00AF46B8" w:rsidRPr="001F52A8">
        <w:rPr>
          <w:rFonts w:cstheme="minorHAnsi"/>
        </w:rPr>
        <w:t xml:space="preserve"> case</w:t>
      </w:r>
      <w:r w:rsidR="00F96826" w:rsidRPr="001F52A8">
        <w:rPr>
          <w:rFonts w:cstheme="minorHAnsi"/>
        </w:rPr>
        <w:t>,</w:t>
      </w:r>
      <w:r w:rsidR="00AF46B8" w:rsidRPr="001F52A8">
        <w:rPr>
          <w:rFonts w:cstheme="minorHAnsi"/>
        </w:rPr>
        <w:t xml:space="preserve"> </w:t>
      </w:r>
      <w:r w:rsidR="00F341EB" w:rsidRPr="001F52A8">
        <w:rPr>
          <w:rFonts w:cstheme="minorHAnsi"/>
        </w:rPr>
        <w:t xml:space="preserve">there is an irony, because </w:t>
      </w:r>
      <w:r w:rsidR="00EF4C02" w:rsidRPr="001F52A8">
        <w:rPr>
          <w:rFonts w:cstheme="minorHAnsi"/>
        </w:rPr>
        <w:t xml:space="preserve">this story </w:t>
      </w:r>
      <w:r w:rsidR="001437B2">
        <w:rPr>
          <w:rFonts w:cstheme="minorHAnsi"/>
        </w:rPr>
        <w:t xml:space="preserve">shows </w:t>
      </w:r>
      <w:r w:rsidR="00E53E61">
        <w:rPr>
          <w:rFonts w:cstheme="minorHAnsi"/>
        </w:rPr>
        <w:t>his son</w:t>
      </w:r>
      <w:r w:rsidR="001437B2">
        <w:rPr>
          <w:rFonts w:cstheme="minorHAnsi"/>
        </w:rPr>
        <w:t xml:space="preserve"> as</w:t>
      </w:r>
      <w:r w:rsidR="00EF4C02" w:rsidRPr="001F52A8">
        <w:rPr>
          <w:rFonts w:cstheme="minorHAnsi"/>
        </w:rPr>
        <w:t xml:space="preserve"> </w:t>
      </w:r>
      <w:r w:rsidR="00E53E61">
        <w:rPr>
          <w:rFonts w:cstheme="minorHAnsi"/>
        </w:rPr>
        <w:t>hav</w:t>
      </w:r>
      <w:r w:rsidR="001437B2">
        <w:rPr>
          <w:rFonts w:cstheme="minorHAnsi"/>
        </w:rPr>
        <w:t>ing</w:t>
      </w:r>
      <w:r w:rsidR="00EF4C02" w:rsidRPr="001F52A8">
        <w:rPr>
          <w:rFonts w:cstheme="minorHAnsi"/>
        </w:rPr>
        <w:t xml:space="preserve"> the character and gifts that a king </w:t>
      </w:r>
      <w:r w:rsidR="00CC5C2C" w:rsidRPr="001F52A8">
        <w:rPr>
          <w:rFonts w:cstheme="minorHAnsi"/>
        </w:rPr>
        <w:t xml:space="preserve">might </w:t>
      </w:r>
      <w:r w:rsidR="00EF4C02" w:rsidRPr="001F52A8">
        <w:rPr>
          <w:rFonts w:cstheme="minorHAnsi"/>
        </w:rPr>
        <w:t>need</w:t>
      </w:r>
      <w:r w:rsidR="008130FF" w:rsidRPr="001F52A8">
        <w:rPr>
          <w:rFonts w:cstheme="minorHAnsi"/>
        </w:rPr>
        <w:t xml:space="preserve">, even while </w:t>
      </w:r>
      <w:r w:rsidR="005A39B7" w:rsidRPr="001F52A8">
        <w:rPr>
          <w:rFonts w:cstheme="minorHAnsi"/>
        </w:rPr>
        <w:t xml:space="preserve">also </w:t>
      </w:r>
      <w:r w:rsidR="008130FF" w:rsidRPr="001F52A8">
        <w:rPr>
          <w:rFonts w:cstheme="minorHAnsi"/>
        </w:rPr>
        <w:t>suggest</w:t>
      </w:r>
      <w:r w:rsidR="00CD4BA6">
        <w:rPr>
          <w:rFonts w:cstheme="minorHAnsi"/>
        </w:rPr>
        <w:t>ing</w:t>
      </w:r>
      <w:r w:rsidR="008130FF" w:rsidRPr="001F52A8">
        <w:rPr>
          <w:rFonts w:cstheme="minorHAnsi"/>
        </w:rPr>
        <w:t xml:space="preserve"> an uneasy relationship or non-communication between father and son</w:t>
      </w:r>
      <w:r w:rsidR="007C1B99" w:rsidRPr="001F52A8">
        <w:rPr>
          <w:rFonts w:cstheme="minorHAnsi"/>
        </w:rPr>
        <w:t xml:space="preserve"> that</w:t>
      </w:r>
      <w:r w:rsidR="008130FF" w:rsidRPr="001F52A8">
        <w:rPr>
          <w:rFonts w:cstheme="minorHAnsi"/>
        </w:rPr>
        <w:t xml:space="preserve"> will worse</w:t>
      </w:r>
      <w:r w:rsidR="00CD4BA6">
        <w:rPr>
          <w:rFonts w:cstheme="minorHAnsi"/>
        </w:rPr>
        <w:t>n</w:t>
      </w:r>
      <w:r w:rsidR="008130FF" w:rsidRPr="001F52A8">
        <w:rPr>
          <w:rFonts w:cstheme="minorHAnsi"/>
        </w:rPr>
        <w:t xml:space="preserve"> as the chapters unfold</w:t>
      </w:r>
      <w:r w:rsidR="00E631CE" w:rsidRPr="001F52A8">
        <w:rPr>
          <w:rFonts w:cstheme="minorHAnsi"/>
        </w:rPr>
        <w:t>.</w:t>
      </w:r>
      <w:r w:rsidR="004B0B33" w:rsidRPr="001F52A8">
        <w:rPr>
          <w:rFonts w:cstheme="minorHAnsi"/>
        </w:rPr>
        <w:t xml:space="preserve"> </w:t>
      </w:r>
      <w:r w:rsidR="007C1B99" w:rsidRPr="001F52A8">
        <w:rPr>
          <w:rFonts w:cstheme="minorHAnsi"/>
        </w:rPr>
        <w:t>Does</w:t>
      </w:r>
      <w:r w:rsidR="004B0B33" w:rsidRPr="001F52A8">
        <w:rPr>
          <w:rFonts w:cstheme="minorHAnsi"/>
        </w:rPr>
        <w:t xml:space="preserve"> Yahweh’s declaration </w:t>
      </w:r>
      <w:r w:rsidR="000D0584" w:rsidRPr="001F52A8">
        <w:rPr>
          <w:rFonts w:cstheme="minorHAnsi"/>
        </w:rPr>
        <w:t>lie behind</w:t>
      </w:r>
      <w:r w:rsidR="004B0B33" w:rsidRPr="001F52A8">
        <w:rPr>
          <w:rFonts w:cstheme="minorHAnsi"/>
        </w:rPr>
        <w:t xml:space="preserve"> Jonatha</w:t>
      </w:r>
      <w:r w:rsidR="00CD4BA6">
        <w:rPr>
          <w:rFonts w:cstheme="minorHAnsi"/>
        </w:rPr>
        <w:t xml:space="preserve">n’s </w:t>
      </w:r>
      <w:r w:rsidR="000D0584" w:rsidRPr="001F52A8">
        <w:rPr>
          <w:rFonts w:cstheme="minorHAnsi"/>
        </w:rPr>
        <w:t>not succeed</w:t>
      </w:r>
      <w:r w:rsidR="00CD4BA6">
        <w:rPr>
          <w:rFonts w:cstheme="minorHAnsi"/>
        </w:rPr>
        <w:t>ing</w:t>
      </w:r>
      <w:r w:rsidR="000D0584" w:rsidRPr="001F52A8">
        <w:rPr>
          <w:rFonts w:cstheme="minorHAnsi"/>
        </w:rPr>
        <w:t xml:space="preserve"> his father even though he is eminently qualified</w:t>
      </w:r>
      <w:r w:rsidR="007C1B99" w:rsidRPr="001F52A8">
        <w:rPr>
          <w:rFonts w:cstheme="minorHAnsi"/>
        </w:rPr>
        <w:t>?</w:t>
      </w:r>
      <w:r w:rsidR="000D0584" w:rsidRPr="001F52A8">
        <w:rPr>
          <w:rFonts w:cstheme="minorHAnsi"/>
        </w:rPr>
        <w:t xml:space="preserve"> </w:t>
      </w:r>
      <w:r w:rsidR="00281A04">
        <w:rPr>
          <w:rFonts w:cstheme="minorHAnsi"/>
        </w:rPr>
        <w:t>I</w:t>
      </w:r>
      <w:r w:rsidR="00EE1C9F" w:rsidRPr="001F52A8">
        <w:rPr>
          <w:rFonts w:cstheme="minorHAnsi"/>
        </w:rPr>
        <w:t xml:space="preserve">s </w:t>
      </w:r>
      <w:r w:rsidR="00345421" w:rsidRPr="001F52A8">
        <w:rPr>
          <w:rFonts w:cstheme="minorHAnsi"/>
        </w:rPr>
        <w:t xml:space="preserve">the narrative </w:t>
      </w:r>
      <w:r w:rsidR="002C109B" w:rsidRPr="001F52A8">
        <w:rPr>
          <w:rFonts w:cstheme="minorHAnsi"/>
        </w:rPr>
        <w:t>simp</w:t>
      </w:r>
      <w:r w:rsidR="00276D2A" w:rsidRPr="001F52A8">
        <w:rPr>
          <w:rFonts w:cstheme="minorHAnsi"/>
        </w:rPr>
        <w:t>ly</w:t>
      </w:r>
      <w:r w:rsidR="002C109B" w:rsidRPr="001F52A8">
        <w:rPr>
          <w:rFonts w:cstheme="minorHAnsi"/>
        </w:rPr>
        <w:t xml:space="preserve"> </w:t>
      </w:r>
      <w:r w:rsidR="00345421" w:rsidRPr="001F52A8">
        <w:rPr>
          <w:rFonts w:cstheme="minorHAnsi"/>
        </w:rPr>
        <w:t xml:space="preserve">informing the </w:t>
      </w:r>
      <w:r w:rsidR="00CF1E76">
        <w:rPr>
          <w:rFonts w:cstheme="minorHAnsi"/>
        </w:rPr>
        <w:t>auditors</w:t>
      </w:r>
      <w:r w:rsidR="00345421" w:rsidRPr="001F52A8">
        <w:rPr>
          <w:rFonts w:cstheme="minorHAnsi"/>
        </w:rPr>
        <w:t xml:space="preserve"> of where the story is bound to go?</w:t>
      </w:r>
      <w:r w:rsidR="00281A04">
        <w:rPr>
          <w:rFonts w:cstheme="minorHAnsi"/>
        </w:rPr>
        <w:t xml:space="preserve"> Or</w:t>
      </w:r>
      <w:r w:rsidR="00281A04" w:rsidRPr="001F52A8">
        <w:rPr>
          <w:rFonts w:cstheme="minorHAnsi"/>
        </w:rPr>
        <w:t xml:space="preserve"> does the threat to Saul presuppose an “unless”? Does it imply “may not stand?”</w:t>
      </w:r>
      <w:r w:rsidR="00723FD8">
        <w:rPr>
          <w:rFonts w:cstheme="minorHAnsi"/>
        </w:rPr>
        <w:t xml:space="preserve"> </w:t>
      </w:r>
      <w:r w:rsidR="00B82B63">
        <w:rPr>
          <w:rFonts w:cstheme="minorHAnsi"/>
        </w:rPr>
        <w:t>T</w:t>
      </w:r>
      <w:r w:rsidR="00B82B63" w:rsidRPr="001F52A8">
        <w:rPr>
          <w:rFonts w:cstheme="minorHAnsi"/>
        </w:rPr>
        <w:t xml:space="preserve">he ambiguity of </w:t>
      </w:r>
      <w:r w:rsidR="00B82B63">
        <w:rPr>
          <w:rFonts w:cstheme="minorHAnsi"/>
        </w:rPr>
        <w:t>Samuel’s</w:t>
      </w:r>
      <w:r w:rsidR="00B82B63" w:rsidRPr="001F52A8">
        <w:rPr>
          <w:rFonts w:cstheme="minorHAnsi"/>
        </w:rPr>
        <w:t xml:space="preserve"> declaration </w:t>
      </w:r>
      <w:r w:rsidR="00B82B63">
        <w:rPr>
          <w:rFonts w:cstheme="minorHAnsi"/>
        </w:rPr>
        <w:t>parallels the</w:t>
      </w:r>
      <w:r w:rsidR="00723FD8" w:rsidRPr="001F52A8">
        <w:rPr>
          <w:rFonts w:cstheme="minorHAnsi"/>
        </w:rPr>
        <w:t xml:space="preserve"> ambiguity of </w:t>
      </w:r>
      <w:r w:rsidR="00B82B63">
        <w:rPr>
          <w:rFonts w:cstheme="minorHAnsi"/>
        </w:rPr>
        <w:t>hi</w:t>
      </w:r>
      <w:r w:rsidR="00723FD8" w:rsidRPr="001F52A8">
        <w:rPr>
          <w:rFonts w:cstheme="minorHAnsi"/>
        </w:rPr>
        <w:t>s instruction in 10:8.</w:t>
      </w:r>
      <w:r w:rsidR="00723FD8" w:rsidRPr="001F52A8">
        <w:rPr>
          <w:rStyle w:val="FootnoteReference"/>
          <w:rFonts w:cstheme="minorHAnsi"/>
        </w:rPr>
        <w:footnoteReference w:id="149"/>
      </w:r>
    </w:p>
    <w:p w14:paraId="1F3955B0" w14:textId="2F97E40E" w:rsidR="00101676" w:rsidRPr="004420CE" w:rsidRDefault="00D93B90" w:rsidP="00203D51">
      <w:pPr>
        <w:rPr>
          <w:rFonts w:ascii="Calibri" w:hAnsi="Calibri" w:cs="Calibri"/>
        </w:rPr>
      </w:pPr>
      <w:r w:rsidRPr="001F52A8">
        <w:rPr>
          <w:rFonts w:cstheme="minorHAnsi"/>
        </w:rPr>
        <w:t xml:space="preserve">“Yahweh has sought for himself an individual </w:t>
      </w:r>
      <w:r w:rsidR="00123C42" w:rsidRPr="001F52A8">
        <w:rPr>
          <w:rFonts w:cstheme="minorHAnsi"/>
        </w:rPr>
        <w:t>in accordance with his mind</w:t>
      </w:r>
      <w:r w:rsidR="002E5438" w:rsidRPr="001F52A8">
        <w:rPr>
          <w:rFonts w:cstheme="minorHAnsi"/>
        </w:rPr>
        <w:t>. Yahweh has</w:t>
      </w:r>
      <w:r w:rsidR="005319FF" w:rsidRPr="001F52A8">
        <w:rPr>
          <w:rFonts w:cstheme="minorHAnsi"/>
        </w:rPr>
        <w:t xml:space="preserve"> ordered </w:t>
      </w:r>
      <w:r w:rsidR="009A256B" w:rsidRPr="001F52A8">
        <w:rPr>
          <w:rFonts w:cstheme="minorHAnsi"/>
        </w:rPr>
        <w:t xml:space="preserve">him to be </w:t>
      </w:r>
      <w:r w:rsidR="00D3776E" w:rsidRPr="001F52A8">
        <w:rPr>
          <w:rFonts w:cstheme="minorHAnsi"/>
        </w:rPr>
        <w:t>commandant over Israel</w:t>
      </w:r>
      <w:r w:rsidR="00DF28D6" w:rsidRPr="001F52A8">
        <w:rPr>
          <w:rFonts w:cstheme="minorHAnsi"/>
        </w:rPr>
        <w:t xml:space="preserve">” </w:t>
      </w:r>
      <w:r w:rsidR="00361BBB" w:rsidRPr="001F52A8">
        <w:rPr>
          <w:rFonts w:cstheme="minorHAnsi"/>
        </w:rPr>
        <w:t xml:space="preserve">(13:14). </w:t>
      </w:r>
      <w:r w:rsidR="00DF28D6" w:rsidRPr="001F52A8">
        <w:rPr>
          <w:rFonts w:cstheme="minorHAnsi"/>
        </w:rPr>
        <w:t xml:space="preserve">Oddly, one </w:t>
      </w:r>
      <w:r w:rsidR="004C4684">
        <w:rPr>
          <w:rFonts w:cstheme="minorHAnsi"/>
        </w:rPr>
        <w:t>thing that</w:t>
      </w:r>
      <w:r w:rsidR="00DF28D6" w:rsidRPr="001F52A8">
        <w:rPr>
          <w:rFonts w:cstheme="minorHAnsi"/>
        </w:rPr>
        <w:t xml:space="preserve"> </w:t>
      </w:r>
      <w:r w:rsidR="00CA60DC">
        <w:rPr>
          <w:rFonts w:cstheme="minorHAnsi"/>
        </w:rPr>
        <w:t>seems</w:t>
      </w:r>
      <w:r w:rsidR="00DF28D6" w:rsidRPr="001F52A8">
        <w:rPr>
          <w:rFonts w:cstheme="minorHAnsi"/>
        </w:rPr>
        <w:t xml:space="preserve"> clear is that </w:t>
      </w:r>
      <w:r w:rsidR="007575F8" w:rsidRPr="001F52A8">
        <w:rPr>
          <w:rFonts w:cstheme="minorHAnsi"/>
        </w:rPr>
        <w:t xml:space="preserve">English translations mislead </w:t>
      </w:r>
      <w:r w:rsidR="003B43EE" w:rsidRPr="001F52A8">
        <w:rPr>
          <w:rFonts w:cstheme="minorHAnsi"/>
        </w:rPr>
        <w:t>when they</w:t>
      </w:r>
      <w:r w:rsidR="007575F8" w:rsidRPr="001F52A8">
        <w:rPr>
          <w:rFonts w:cstheme="minorHAnsi"/>
        </w:rPr>
        <w:t xml:space="preserve"> speak of </w:t>
      </w:r>
      <w:r w:rsidR="00CD712D" w:rsidRPr="001F52A8">
        <w:rPr>
          <w:rFonts w:cstheme="minorHAnsi"/>
        </w:rPr>
        <w:t>an individual “after his own heart</w:t>
      </w:r>
      <w:r w:rsidR="004070F9" w:rsidRPr="001F52A8">
        <w:rPr>
          <w:rFonts w:cstheme="minorHAnsi"/>
        </w:rPr>
        <w:t>,” which sounds like someone whose heart</w:t>
      </w:r>
      <w:r w:rsidR="00A300AF">
        <w:rPr>
          <w:rFonts w:cstheme="minorHAnsi"/>
        </w:rPr>
        <w:t xml:space="preserve"> or mind</w:t>
      </w:r>
      <w:r w:rsidR="004070F9" w:rsidRPr="001F52A8">
        <w:rPr>
          <w:rFonts w:cstheme="minorHAnsi"/>
        </w:rPr>
        <w:t xml:space="preserve"> matches Yahweh’s</w:t>
      </w:r>
      <w:r w:rsidR="00223BD8">
        <w:rPr>
          <w:rFonts w:cstheme="minorHAnsi"/>
        </w:rPr>
        <w:t xml:space="preserve"> </w:t>
      </w:r>
      <w:r w:rsidR="004C4684">
        <w:rPr>
          <w:rFonts w:cstheme="minorHAnsi"/>
        </w:rPr>
        <w:t>(</w:t>
      </w:r>
      <w:r w:rsidR="00223BD8">
        <w:rPr>
          <w:rFonts w:cstheme="minorHAnsi"/>
        </w:rPr>
        <w:t xml:space="preserve">though Tg comes near that understanding with </w:t>
      </w:r>
      <w:r w:rsidR="00EA11FE">
        <w:rPr>
          <w:rFonts w:cstheme="minorHAnsi"/>
        </w:rPr>
        <w:t>“an individual doing his will</w:t>
      </w:r>
      <w:r w:rsidR="00BE2DE4">
        <w:rPr>
          <w:rFonts w:cstheme="minorHAnsi"/>
        </w:rPr>
        <w:t>”</w:t>
      </w:r>
      <w:r w:rsidR="004C4684">
        <w:rPr>
          <w:rFonts w:cstheme="minorHAnsi"/>
        </w:rPr>
        <w:t>).</w:t>
      </w:r>
      <w:r w:rsidR="00BE2DE4">
        <w:rPr>
          <w:rFonts w:cstheme="minorHAnsi"/>
        </w:rPr>
        <w:t xml:space="preserve"> </w:t>
      </w:r>
      <w:r w:rsidR="004C4684">
        <w:rPr>
          <w:rFonts w:cstheme="minorHAnsi"/>
        </w:rPr>
        <w:t>O</w:t>
      </w:r>
      <w:r w:rsidR="00BE2DE4">
        <w:rPr>
          <w:rFonts w:cstheme="minorHAnsi"/>
        </w:rPr>
        <w:t xml:space="preserve">ther </w:t>
      </w:r>
      <w:r w:rsidR="00AE1FD7">
        <w:rPr>
          <w:rFonts w:cstheme="minorHAnsi"/>
        </w:rPr>
        <w:t>occurrences of</w:t>
      </w:r>
      <w:r w:rsidR="00C53D81">
        <w:rPr>
          <w:rFonts w:cstheme="minorHAnsi"/>
        </w:rPr>
        <w:t xml:space="preserve"> such phrases suggest that </w:t>
      </w:r>
      <w:r w:rsidR="00AE1FD7">
        <w:rPr>
          <w:rFonts w:cstheme="minorHAnsi"/>
        </w:rPr>
        <w:t>it</w:t>
      </w:r>
      <w:r w:rsidR="004070F9" w:rsidRPr="001F52A8">
        <w:rPr>
          <w:rFonts w:cstheme="minorHAnsi"/>
        </w:rPr>
        <w:t xml:space="preserve"> means </w:t>
      </w:r>
      <w:r w:rsidR="00D072B3">
        <w:rPr>
          <w:rFonts w:cstheme="minorHAnsi"/>
        </w:rPr>
        <w:t xml:space="preserve">someone </w:t>
      </w:r>
      <w:r w:rsidR="007648D7" w:rsidRPr="001F52A8">
        <w:rPr>
          <w:rFonts w:cstheme="minorHAnsi"/>
        </w:rPr>
        <w:t>on whom</w:t>
      </w:r>
      <w:r w:rsidR="004070F9" w:rsidRPr="001F52A8">
        <w:rPr>
          <w:rFonts w:cstheme="minorHAnsi"/>
        </w:rPr>
        <w:t xml:space="preserve"> </w:t>
      </w:r>
      <w:r w:rsidR="00D072B3">
        <w:rPr>
          <w:rFonts w:cstheme="minorHAnsi"/>
        </w:rPr>
        <w:t>Yahweh’s</w:t>
      </w:r>
      <w:r w:rsidR="00C5504C" w:rsidRPr="001F52A8">
        <w:rPr>
          <w:rFonts w:cstheme="minorHAnsi"/>
        </w:rPr>
        <w:t xml:space="preserve"> heart or mind has set itself</w:t>
      </w:r>
      <w:r w:rsidR="00D056F6" w:rsidRPr="001F52A8">
        <w:rPr>
          <w:rFonts w:cstheme="minorHAnsi"/>
        </w:rPr>
        <w:t xml:space="preserve"> </w:t>
      </w:r>
      <w:r w:rsidR="005B4B56" w:rsidRPr="001F52A8">
        <w:rPr>
          <w:rFonts w:cstheme="minorHAnsi"/>
        </w:rPr>
        <w:t>(</w:t>
      </w:r>
      <w:r w:rsidR="00622F62" w:rsidRPr="001F52A8">
        <w:rPr>
          <w:rFonts w:cstheme="minorHAnsi"/>
        </w:rPr>
        <w:t>cf.</w:t>
      </w:r>
      <w:r w:rsidR="000A1D45" w:rsidRPr="001F52A8">
        <w:rPr>
          <w:rFonts w:cstheme="minorHAnsi"/>
        </w:rPr>
        <w:t xml:space="preserve"> 14:7)</w:t>
      </w:r>
      <w:r w:rsidR="007648D7" w:rsidRPr="001F52A8">
        <w:rPr>
          <w:rFonts w:cstheme="minorHAnsi"/>
        </w:rPr>
        <w:t>,</w:t>
      </w:r>
      <w:r w:rsidR="00C5504C" w:rsidRPr="001F52A8">
        <w:rPr>
          <w:rFonts w:cstheme="minorHAnsi"/>
        </w:rPr>
        <w:t xml:space="preserve"> someone of Yahweh’s own choice. </w:t>
      </w:r>
      <w:r w:rsidR="00F87233" w:rsidRPr="001F52A8">
        <w:rPr>
          <w:rFonts w:cstheme="minorHAnsi"/>
        </w:rPr>
        <w:t>Saul had been</w:t>
      </w:r>
      <w:r w:rsidR="00BA2FAB" w:rsidRPr="001F52A8">
        <w:rPr>
          <w:rFonts w:cstheme="minorHAnsi"/>
        </w:rPr>
        <w:t xml:space="preserve"> that person.</w:t>
      </w:r>
      <w:r w:rsidR="00A82C4C" w:rsidRPr="001F52A8">
        <w:rPr>
          <w:rFonts w:cstheme="minorHAnsi"/>
        </w:rPr>
        <w:t xml:space="preserve"> Who might it </w:t>
      </w:r>
      <w:r w:rsidR="00492D35" w:rsidRPr="001F52A8">
        <w:rPr>
          <w:rFonts w:cstheme="minorHAnsi"/>
        </w:rPr>
        <w:t xml:space="preserve">now </w:t>
      </w:r>
      <w:r w:rsidR="00A82C4C" w:rsidRPr="001F52A8">
        <w:rPr>
          <w:rFonts w:cstheme="minorHAnsi"/>
        </w:rPr>
        <w:t xml:space="preserve">be? </w:t>
      </w:r>
      <w:r w:rsidR="00501AE6">
        <w:rPr>
          <w:rFonts w:cstheme="minorHAnsi"/>
        </w:rPr>
        <w:t>I</w:t>
      </w:r>
      <w:r w:rsidR="00A82C4C" w:rsidRPr="001F52A8">
        <w:rPr>
          <w:rFonts w:cstheme="minorHAnsi"/>
        </w:rPr>
        <w:t>t will be David</w:t>
      </w:r>
      <w:r w:rsidR="00894988" w:rsidRPr="001F52A8">
        <w:rPr>
          <w:rFonts w:cstheme="minorHAnsi"/>
        </w:rPr>
        <w:t xml:space="preserve">, but </w:t>
      </w:r>
      <w:r w:rsidR="00BA2FAB" w:rsidRPr="001F52A8">
        <w:rPr>
          <w:rFonts w:cstheme="minorHAnsi"/>
        </w:rPr>
        <w:t xml:space="preserve">at the moment </w:t>
      </w:r>
      <w:r w:rsidR="00894988" w:rsidRPr="001F52A8">
        <w:rPr>
          <w:rFonts w:cstheme="minorHAnsi"/>
        </w:rPr>
        <w:t>it might be Jonathan</w:t>
      </w:r>
      <w:r w:rsidR="004420CE">
        <w:rPr>
          <w:rFonts w:cstheme="minorHAnsi"/>
        </w:rPr>
        <w:t>, “</w:t>
      </w:r>
      <w:r w:rsidR="004420CE" w:rsidRPr="004420CE">
        <w:rPr>
          <w:rFonts w:ascii="Calibri" w:hAnsi="Calibri" w:cs="Calibri"/>
        </w:rPr>
        <w:t>who is everything good that Saul isn’t</w:t>
      </w:r>
      <w:r w:rsidR="004420CE">
        <w:rPr>
          <w:rFonts w:ascii="Calibri" w:hAnsi="Calibri" w:cs="Calibri"/>
        </w:rPr>
        <w:t>.”</w:t>
      </w:r>
      <w:r w:rsidR="004420CE">
        <w:rPr>
          <w:rStyle w:val="FootnoteReference"/>
          <w:rFonts w:ascii="Calibri" w:hAnsi="Calibri" w:cs="Calibri"/>
        </w:rPr>
        <w:footnoteReference w:id="150"/>
      </w:r>
      <w:r w:rsidR="00A82C4C" w:rsidRPr="004420CE">
        <w:rPr>
          <w:rFonts w:ascii="Calibri" w:hAnsi="Calibri" w:cs="Calibri"/>
        </w:rPr>
        <w:t xml:space="preserve"> </w:t>
      </w:r>
    </w:p>
    <w:p w14:paraId="3A4F3304" w14:textId="6FBD2F35" w:rsidR="00392E12" w:rsidRPr="001F52A8" w:rsidRDefault="000D54CF" w:rsidP="00203D51">
      <w:pPr>
        <w:rPr>
          <w:rFonts w:cstheme="minorHAnsi"/>
        </w:rPr>
      </w:pPr>
      <w:r w:rsidRPr="001F52A8">
        <w:rPr>
          <w:rFonts w:cstheme="minorHAnsi"/>
        </w:rPr>
        <w:t xml:space="preserve">One </w:t>
      </w:r>
      <w:r w:rsidR="00CA0BE5" w:rsidRPr="001F52A8">
        <w:rPr>
          <w:rFonts w:cstheme="minorHAnsi"/>
        </w:rPr>
        <w:t>could</w:t>
      </w:r>
      <w:r w:rsidRPr="001F52A8">
        <w:rPr>
          <w:rFonts w:cstheme="minorHAnsi"/>
        </w:rPr>
        <w:t xml:space="preserve"> have </w:t>
      </w:r>
      <w:r w:rsidR="001B57E7">
        <w:rPr>
          <w:rFonts w:cstheme="minorHAnsi"/>
        </w:rPr>
        <w:t xml:space="preserve">expected </w:t>
      </w:r>
      <w:r w:rsidRPr="001F52A8">
        <w:rPr>
          <w:rFonts w:cstheme="minorHAnsi"/>
        </w:rPr>
        <w:t>th</w:t>
      </w:r>
      <w:r w:rsidR="00884B59" w:rsidRPr="001F52A8">
        <w:rPr>
          <w:rFonts w:cstheme="minorHAnsi"/>
        </w:rPr>
        <w:t>e</w:t>
      </w:r>
      <w:r w:rsidRPr="001F52A8">
        <w:rPr>
          <w:rFonts w:cstheme="minorHAnsi"/>
        </w:rPr>
        <w:t xml:space="preserve"> exchange </w:t>
      </w:r>
      <w:r w:rsidR="00884B59" w:rsidRPr="001F52A8">
        <w:rPr>
          <w:rFonts w:cstheme="minorHAnsi"/>
        </w:rPr>
        <w:t xml:space="preserve">between Samuel and Saul </w:t>
      </w:r>
      <w:r w:rsidR="001B57E7">
        <w:rPr>
          <w:rFonts w:cstheme="minorHAnsi"/>
        </w:rPr>
        <w:t>to</w:t>
      </w:r>
      <w:r w:rsidRPr="001F52A8">
        <w:rPr>
          <w:rFonts w:cstheme="minorHAnsi"/>
        </w:rPr>
        <w:t xml:space="preserve"> lead to a defeat</w:t>
      </w:r>
      <w:r w:rsidR="00F011BA" w:rsidRPr="001F52A8">
        <w:rPr>
          <w:rFonts w:cstheme="minorHAnsi"/>
        </w:rPr>
        <w:t xml:space="preserve"> in which </w:t>
      </w:r>
      <w:r w:rsidR="009B7DC4" w:rsidRPr="001F52A8">
        <w:rPr>
          <w:rFonts w:cstheme="minorHAnsi"/>
        </w:rPr>
        <w:t>Saul perishes</w:t>
      </w:r>
      <w:r w:rsidR="001B57E7">
        <w:rPr>
          <w:rFonts w:cstheme="minorHAnsi"/>
        </w:rPr>
        <w:t>. I</w:t>
      </w:r>
      <w:r w:rsidR="009B7DC4" w:rsidRPr="001F52A8">
        <w:rPr>
          <w:rFonts w:cstheme="minorHAnsi"/>
        </w:rPr>
        <w:t>nstead it leads to a v</w:t>
      </w:r>
      <w:r w:rsidR="003C1666" w:rsidRPr="001F52A8">
        <w:rPr>
          <w:rFonts w:cstheme="minorHAnsi"/>
        </w:rPr>
        <w:t xml:space="preserve">ictory </w:t>
      </w:r>
      <w:r w:rsidR="00113170">
        <w:rPr>
          <w:rFonts w:cstheme="minorHAnsi"/>
        </w:rPr>
        <w:t>achieved</w:t>
      </w:r>
      <w:r w:rsidR="003C1666" w:rsidRPr="001F52A8">
        <w:rPr>
          <w:rFonts w:cstheme="minorHAnsi"/>
        </w:rPr>
        <w:t xml:space="preserve"> by a brave ruse </w:t>
      </w:r>
      <w:r w:rsidR="00C37F03" w:rsidRPr="001F52A8">
        <w:rPr>
          <w:rFonts w:cstheme="minorHAnsi"/>
        </w:rPr>
        <w:t xml:space="preserve">of </w:t>
      </w:r>
      <w:r w:rsidR="00113170">
        <w:rPr>
          <w:rFonts w:cstheme="minorHAnsi"/>
        </w:rPr>
        <w:t>Jonathan’s</w:t>
      </w:r>
      <w:r w:rsidR="00C37F03" w:rsidRPr="001F52A8">
        <w:rPr>
          <w:rFonts w:cstheme="minorHAnsi"/>
        </w:rPr>
        <w:t>, aided by his boy.</w:t>
      </w:r>
      <w:r w:rsidR="00691EA7" w:rsidRPr="001F52A8">
        <w:rPr>
          <w:rFonts w:cstheme="minorHAnsi"/>
        </w:rPr>
        <w:t xml:space="preserve"> </w:t>
      </w:r>
      <w:r w:rsidR="00EE14BB" w:rsidRPr="001F52A8">
        <w:rPr>
          <w:rFonts w:cstheme="minorHAnsi"/>
        </w:rPr>
        <w:t xml:space="preserve">Perhaps Yahweh will </w:t>
      </w:r>
      <w:r w:rsidR="00195E47" w:rsidRPr="001F52A8">
        <w:rPr>
          <w:rFonts w:cstheme="minorHAnsi"/>
        </w:rPr>
        <w:t>act on our behalf</w:t>
      </w:r>
      <w:r w:rsidR="000A477F" w:rsidRPr="001F52A8">
        <w:rPr>
          <w:rFonts w:cstheme="minorHAnsi"/>
        </w:rPr>
        <w:t xml:space="preserve"> (14:6)</w:t>
      </w:r>
      <w:r w:rsidR="00195E47" w:rsidRPr="001F52A8">
        <w:rPr>
          <w:rFonts w:cstheme="minorHAnsi"/>
        </w:rPr>
        <w:t>, Jonathan</w:t>
      </w:r>
      <w:r w:rsidR="00D3069F" w:rsidRPr="001F52A8">
        <w:rPr>
          <w:rFonts w:cstheme="minorHAnsi"/>
        </w:rPr>
        <w:t xml:space="preserve"> speculates, and thinks up a sign that will tell them whether Yahweh is doing so</w:t>
      </w:r>
      <w:r w:rsidR="00113170">
        <w:rPr>
          <w:rFonts w:cstheme="minorHAnsi"/>
        </w:rPr>
        <w:t>.</w:t>
      </w:r>
      <w:r w:rsidR="00D3069F" w:rsidRPr="001F52A8">
        <w:rPr>
          <w:rFonts w:cstheme="minorHAnsi"/>
        </w:rPr>
        <w:t xml:space="preserve"> </w:t>
      </w:r>
      <w:r w:rsidR="004B5C4E" w:rsidRPr="001F52A8">
        <w:rPr>
          <w:rFonts w:cstheme="minorHAnsi"/>
        </w:rPr>
        <w:t>Is Jonathan ambitious</w:t>
      </w:r>
      <w:r w:rsidR="0021035F" w:rsidRPr="001F52A8">
        <w:rPr>
          <w:rFonts w:cstheme="minorHAnsi"/>
        </w:rPr>
        <w:t xml:space="preserve"> to outdo his father</w:t>
      </w:r>
      <w:r w:rsidR="004B5C4E" w:rsidRPr="001F52A8">
        <w:rPr>
          <w:rFonts w:cstheme="minorHAnsi"/>
        </w:rPr>
        <w:t>, like Absalom?</w:t>
      </w:r>
      <w:r w:rsidR="00466EB0">
        <w:rPr>
          <w:rFonts w:cstheme="minorHAnsi"/>
        </w:rPr>
        <w:t xml:space="preserve"> </w:t>
      </w:r>
      <w:r w:rsidR="00AC324E">
        <w:rPr>
          <w:rFonts w:cstheme="minorHAnsi"/>
        </w:rPr>
        <w:t xml:space="preserve">Anyway, </w:t>
      </w:r>
      <w:r w:rsidR="00AC324E" w:rsidRPr="001F52A8">
        <w:rPr>
          <w:rFonts w:cstheme="minorHAnsi"/>
        </w:rPr>
        <w:t>Yahweh cooperate</w:t>
      </w:r>
      <w:r w:rsidR="00AC324E">
        <w:rPr>
          <w:rFonts w:cstheme="minorHAnsi"/>
        </w:rPr>
        <w:t>s,</w:t>
      </w:r>
      <w:r w:rsidR="00AC324E" w:rsidRPr="001F52A8">
        <w:rPr>
          <w:rFonts w:cstheme="minorHAnsi"/>
        </w:rPr>
        <w:t xml:space="preserve"> the earth shakes</w:t>
      </w:r>
      <w:r w:rsidR="005372AF">
        <w:rPr>
          <w:rFonts w:cstheme="minorHAnsi"/>
        </w:rPr>
        <w:t xml:space="preserve">, </w:t>
      </w:r>
      <w:r w:rsidR="00AC324E" w:rsidRPr="001F52A8">
        <w:rPr>
          <w:rFonts w:cstheme="minorHAnsi"/>
        </w:rPr>
        <w:t>there is a supernatural panic among the Philistines</w:t>
      </w:r>
      <w:r w:rsidR="00BC1F20">
        <w:rPr>
          <w:rFonts w:cstheme="minorHAnsi"/>
        </w:rPr>
        <w:t>, and a commotion</w:t>
      </w:r>
      <w:r w:rsidR="00AC324E" w:rsidRPr="001F52A8">
        <w:rPr>
          <w:rFonts w:cstheme="minorHAnsi"/>
        </w:rPr>
        <w:t xml:space="preserve"> (14:15</w:t>
      </w:r>
      <w:r w:rsidR="001B0B3C">
        <w:rPr>
          <w:rFonts w:cstheme="minorHAnsi"/>
        </w:rPr>
        <w:t>-16</w:t>
      </w:r>
      <w:r w:rsidR="00AC324E" w:rsidRPr="001F52A8">
        <w:rPr>
          <w:rFonts w:cstheme="minorHAnsi"/>
        </w:rPr>
        <w:t xml:space="preserve">). </w:t>
      </w:r>
      <w:r w:rsidR="00392E12" w:rsidRPr="001F52A8">
        <w:rPr>
          <w:rFonts w:cstheme="minorHAnsi"/>
        </w:rPr>
        <w:t>Saul</w:t>
      </w:r>
      <w:r w:rsidR="00604A06" w:rsidRPr="001F52A8">
        <w:rPr>
          <w:rFonts w:cstheme="minorHAnsi"/>
        </w:rPr>
        <w:t xml:space="preserve"> h</w:t>
      </w:r>
      <w:r w:rsidR="00F63C0C" w:rsidRPr="001F52A8">
        <w:rPr>
          <w:rFonts w:cstheme="minorHAnsi"/>
        </w:rPr>
        <w:t>as</w:t>
      </w:r>
      <w:r w:rsidR="00604A06" w:rsidRPr="001F52A8">
        <w:rPr>
          <w:rFonts w:cstheme="minorHAnsi"/>
        </w:rPr>
        <w:t xml:space="preserve"> the </w:t>
      </w:r>
      <w:r w:rsidR="00F475BE" w:rsidRPr="001F52A8">
        <w:rPr>
          <w:rFonts w:cstheme="minorHAnsi"/>
        </w:rPr>
        <w:t>Shiloh priest, Eli’s</w:t>
      </w:r>
      <w:r w:rsidR="00B104C2" w:rsidRPr="001F52A8">
        <w:rPr>
          <w:rFonts w:cstheme="minorHAnsi"/>
        </w:rPr>
        <w:t xml:space="preserve"> great</w:t>
      </w:r>
      <w:r w:rsidR="00F475BE" w:rsidRPr="001F52A8">
        <w:rPr>
          <w:rFonts w:cstheme="minorHAnsi"/>
        </w:rPr>
        <w:t xml:space="preserve"> grandson</w:t>
      </w:r>
      <w:r w:rsidR="00B104C2" w:rsidRPr="001F52A8">
        <w:rPr>
          <w:rFonts w:cstheme="minorHAnsi"/>
        </w:rPr>
        <w:t>, with him</w:t>
      </w:r>
      <w:r w:rsidR="00471546">
        <w:rPr>
          <w:rFonts w:cstheme="minorHAnsi"/>
        </w:rPr>
        <w:t>. W</w:t>
      </w:r>
      <w:r w:rsidR="00C82D30" w:rsidRPr="001F52A8">
        <w:rPr>
          <w:rFonts w:cstheme="minorHAnsi"/>
        </w:rPr>
        <w:t xml:space="preserve">hy wasn’t he at </w:t>
      </w:r>
      <w:r w:rsidR="00C82D30" w:rsidRPr="001F52A8">
        <w:rPr>
          <w:rFonts w:cstheme="minorHAnsi"/>
        </w:rPr>
        <w:lastRenderedPageBreak/>
        <w:t>Gilgal</w:t>
      </w:r>
      <w:r w:rsidR="00471546">
        <w:rPr>
          <w:rFonts w:cstheme="minorHAnsi"/>
        </w:rPr>
        <w:t>, and</w:t>
      </w:r>
      <w:r w:rsidR="00C82D30" w:rsidRPr="001F52A8">
        <w:rPr>
          <w:rFonts w:cstheme="minorHAnsi"/>
        </w:rPr>
        <w:t xml:space="preserve"> </w:t>
      </w:r>
      <w:r w:rsidR="00471546">
        <w:rPr>
          <w:rFonts w:cstheme="minorHAnsi"/>
        </w:rPr>
        <w:t>i</w:t>
      </w:r>
      <w:r w:rsidR="00F63C0C" w:rsidRPr="001F52A8">
        <w:rPr>
          <w:rFonts w:cstheme="minorHAnsi"/>
        </w:rPr>
        <w:t xml:space="preserve">s </w:t>
      </w:r>
      <w:r w:rsidR="00C82D30" w:rsidRPr="001F52A8">
        <w:rPr>
          <w:rFonts w:cstheme="minorHAnsi"/>
        </w:rPr>
        <w:t>Saul</w:t>
      </w:r>
      <w:r w:rsidR="00F63C0C" w:rsidRPr="001F52A8">
        <w:rPr>
          <w:rFonts w:cstheme="minorHAnsi"/>
        </w:rPr>
        <w:t xml:space="preserve"> to consult </w:t>
      </w:r>
      <w:r w:rsidR="00C82D30" w:rsidRPr="001F52A8">
        <w:rPr>
          <w:rFonts w:cstheme="minorHAnsi"/>
        </w:rPr>
        <w:t xml:space="preserve">the representative of </w:t>
      </w:r>
      <w:r w:rsidR="0037284C">
        <w:rPr>
          <w:rFonts w:cstheme="minorHAnsi"/>
        </w:rPr>
        <w:t>Eli’s</w:t>
      </w:r>
      <w:r w:rsidR="00BB1A84" w:rsidRPr="001F52A8">
        <w:rPr>
          <w:rFonts w:cstheme="minorHAnsi"/>
        </w:rPr>
        <w:t xml:space="preserve"> condemned and deposed line? </w:t>
      </w:r>
      <w:r w:rsidR="00D31E94" w:rsidRPr="001F52A8">
        <w:rPr>
          <w:rFonts w:cstheme="minorHAnsi"/>
        </w:rPr>
        <w:t>According to MT, he</w:t>
      </w:r>
      <w:r w:rsidR="00BB1A84" w:rsidRPr="001F52A8">
        <w:rPr>
          <w:rFonts w:cstheme="minorHAnsi"/>
        </w:rPr>
        <w:t xml:space="preserve"> has</w:t>
      </w:r>
      <w:r w:rsidR="00B104C2" w:rsidRPr="001F52A8">
        <w:rPr>
          <w:rFonts w:cstheme="minorHAnsi"/>
        </w:rPr>
        <w:t xml:space="preserve"> </w:t>
      </w:r>
      <w:r w:rsidR="00237F81" w:rsidRPr="001F52A8">
        <w:rPr>
          <w:rFonts w:cstheme="minorHAnsi"/>
        </w:rPr>
        <w:t>the covenant chest</w:t>
      </w:r>
      <w:r w:rsidR="00E73342" w:rsidRPr="001F52A8">
        <w:rPr>
          <w:rFonts w:cstheme="minorHAnsi"/>
        </w:rPr>
        <w:t xml:space="preserve"> with him</w:t>
      </w:r>
      <w:r w:rsidR="00F53DAE" w:rsidRPr="001F52A8">
        <w:rPr>
          <w:rFonts w:cstheme="minorHAnsi"/>
        </w:rPr>
        <w:t>:</w:t>
      </w:r>
      <w:r w:rsidR="002B7709" w:rsidRPr="001F52A8">
        <w:rPr>
          <w:rFonts w:cstheme="minorHAnsi"/>
        </w:rPr>
        <w:t xml:space="preserve"> </w:t>
      </w:r>
      <w:r w:rsidR="00086347" w:rsidRPr="001F52A8">
        <w:rPr>
          <w:rFonts w:cstheme="minorHAnsi"/>
        </w:rPr>
        <w:t xml:space="preserve">is it not at </w:t>
      </w:r>
      <w:r w:rsidR="00C27F5A" w:rsidRPr="001F52A8">
        <w:t>Qiryat-ye‘arim</w:t>
      </w:r>
      <w:r w:rsidR="00086347" w:rsidRPr="001F52A8">
        <w:rPr>
          <w:rFonts w:cstheme="minorHAnsi"/>
        </w:rPr>
        <w:t>?</w:t>
      </w:r>
      <w:r w:rsidR="002B7709" w:rsidRPr="001F52A8">
        <w:rPr>
          <w:rFonts w:cstheme="minorHAnsi"/>
        </w:rPr>
        <w:t xml:space="preserve"> In LXX h</w:t>
      </w:r>
      <w:r w:rsidR="00086347" w:rsidRPr="001F52A8">
        <w:rPr>
          <w:rFonts w:cstheme="minorHAnsi"/>
        </w:rPr>
        <w:t>e</w:t>
      </w:r>
      <w:r w:rsidR="003623AA" w:rsidRPr="001F52A8">
        <w:rPr>
          <w:rFonts w:cstheme="minorHAnsi"/>
        </w:rPr>
        <w:t xml:space="preserve"> </w:t>
      </w:r>
      <w:r w:rsidR="00086347" w:rsidRPr="001F52A8">
        <w:rPr>
          <w:rFonts w:cstheme="minorHAnsi"/>
        </w:rPr>
        <w:t>has</w:t>
      </w:r>
      <w:r w:rsidR="00237F81" w:rsidRPr="001F52A8">
        <w:rPr>
          <w:rFonts w:cstheme="minorHAnsi"/>
        </w:rPr>
        <w:t xml:space="preserve"> </w:t>
      </w:r>
      <w:r w:rsidR="003623AA" w:rsidRPr="001F52A8">
        <w:rPr>
          <w:rFonts w:cstheme="minorHAnsi"/>
        </w:rPr>
        <w:t xml:space="preserve">only </w:t>
      </w:r>
      <w:r w:rsidR="00B104C2" w:rsidRPr="001F52A8">
        <w:rPr>
          <w:rFonts w:cstheme="minorHAnsi"/>
        </w:rPr>
        <w:t>a chasuble</w:t>
      </w:r>
      <w:r w:rsidR="005C197C" w:rsidRPr="001F52A8">
        <w:rPr>
          <w:rFonts w:cstheme="minorHAnsi"/>
        </w:rPr>
        <w:t xml:space="preserve">, </w:t>
      </w:r>
      <w:r w:rsidR="00F562B3" w:rsidRPr="001F52A8">
        <w:rPr>
          <w:rFonts w:cstheme="minorHAnsi"/>
        </w:rPr>
        <w:t>which</w:t>
      </w:r>
      <w:r w:rsidR="00DB094F" w:rsidRPr="001F52A8">
        <w:rPr>
          <w:rFonts w:cstheme="minorHAnsi"/>
        </w:rPr>
        <w:t xml:space="preserve"> </w:t>
      </w:r>
      <w:r w:rsidR="004E110F" w:rsidRPr="001F52A8">
        <w:rPr>
          <w:rFonts w:cstheme="minorHAnsi"/>
        </w:rPr>
        <w:t xml:space="preserve">seems more plausible, but </w:t>
      </w:r>
      <w:r w:rsidR="00DB094F" w:rsidRPr="001F52A8">
        <w:rPr>
          <w:rFonts w:cstheme="minorHAnsi"/>
        </w:rPr>
        <w:t xml:space="preserve">why would MT </w:t>
      </w:r>
      <w:r w:rsidR="004E110F" w:rsidRPr="001F52A8">
        <w:rPr>
          <w:rFonts w:cstheme="minorHAnsi"/>
        </w:rPr>
        <w:t xml:space="preserve">have “chest” instead? </w:t>
      </w:r>
      <w:r w:rsidR="006B0B4A" w:rsidRPr="001F52A8">
        <w:rPr>
          <w:rFonts w:cstheme="minorHAnsi"/>
        </w:rPr>
        <w:t xml:space="preserve">The chasuble </w:t>
      </w:r>
      <w:r w:rsidR="005C197C" w:rsidRPr="001F52A8">
        <w:rPr>
          <w:rFonts w:cstheme="minorHAnsi"/>
        </w:rPr>
        <w:t>presumably</w:t>
      </w:r>
      <w:r w:rsidR="00B104C2" w:rsidRPr="001F52A8">
        <w:rPr>
          <w:rFonts w:cstheme="minorHAnsi"/>
        </w:rPr>
        <w:t xml:space="preserve"> contain</w:t>
      </w:r>
      <w:r w:rsidR="00AA03A9" w:rsidRPr="001F52A8">
        <w:rPr>
          <w:rFonts w:cstheme="minorHAnsi"/>
        </w:rPr>
        <w:t>s</w:t>
      </w:r>
      <w:r w:rsidR="00B104C2" w:rsidRPr="001F52A8">
        <w:rPr>
          <w:rFonts w:cstheme="minorHAnsi"/>
        </w:rPr>
        <w:t xml:space="preserve"> the </w:t>
      </w:r>
      <w:r w:rsidR="003804B7" w:rsidRPr="001F52A8">
        <w:rPr>
          <w:rFonts w:cstheme="minorHAnsi"/>
        </w:rPr>
        <w:t>Urim and Thummim</w:t>
      </w:r>
      <w:r w:rsidR="009B28B0" w:rsidRPr="001F52A8">
        <w:rPr>
          <w:rFonts w:cstheme="minorHAnsi"/>
        </w:rPr>
        <w:t xml:space="preserve"> th</w:t>
      </w:r>
      <w:r w:rsidR="00C41095">
        <w:rPr>
          <w:rFonts w:cstheme="minorHAnsi"/>
        </w:rPr>
        <w:t>r</w:t>
      </w:r>
      <w:r w:rsidR="009B28B0" w:rsidRPr="001F52A8">
        <w:rPr>
          <w:rFonts w:cstheme="minorHAnsi"/>
        </w:rPr>
        <w:t>ough which Saul hopes to consult Yahweh</w:t>
      </w:r>
      <w:r w:rsidR="00D522E0" w:rsidRPr="001F52A8">
        <w:rPr>
          <w:rFonts w:cstheme="minorHAnsi"/>
        </w:rPr>
        <w:t xml:space="preserve">, but </w:t>
      </w:r>
      <w:r w:rsidR="008522F7" w:rsidRPr="001F52A8">
        <w:rPr>
          <w:rFonts w:cstheme="minorHAnsi"/>
        </w:rPr>
        <w:t>what is he asking</w:t>
      </w:r>
      <w:r w:rsidR="005705D6">
        <w:rPr>
          <w:rFonts w:cstheme="minorHAnsi"/>
        </w:rPr>
        <w:t xml:space="preserve">, </w:t>
      </w:r>
      <w:r w:rsidR="00BB7A32">
        <w:rPr>
          <w:rFonts w:cstheme="minorHAnsi"/>
        </w:rPr>
        <w:t>and why does</w:t>
      </w:r>
      <w:r w:rsidR="00357E98" w:rsidRPr="001F52A8">
        <w:rPr>
          <w:rFonts w:cstheme="minorHAnsi"/>
        </w:rPr>
        <w:t xml:space="preserve"> MT </w:t>
      </w:r>
      <w:r w:rsidR="00AC2CA7" w:rsidRPr="001F52A8">
        <w:rPr>
          <w:rFonts w:cstheme="minorHAnsi"/>
        </w:rPr>
        <w:t xml:space="preserve">lack most of the </w:t>
      </w:r>
      <w:r w:rsidR="002C496F">
        <w:rPr>
          <w:rFonts w:cstheme="minorHAnsi"/>
        </w:rPr>
        <w:t xml:space="preserve">later </w:t>
      </w:r>
      <w:r w:rsidR="00AC2CA7" w:rsidRPr="001F52A8">
        <w:rPr>
          <w:rFonts w:cstheme="minorHAnsi"/>
        </w:rPr>
        <w:t xml:space="preserve">presumed reference to Urim and Thummim </w:t>
      </w:r>
      <w:r w:rsidR="0033601F">
        <w:rPr>
          <w:rFonts w:cstheme="minorHAnsi"/>
        </w:rPr>
        <w:t xml:space="preserve">in </w:t>
      </w:r>
      <w:r w:rsidR="00024DAF" w:rsidRPr="001F52A8">
        <w:rPr>
          <w:rFonts w:cstheme="minorHAnsi"/>
        </w:rPr>
        <w:t>14:41</w:t>
      </w:r>
      <w:r w:rsidR="008522F7" w:rsidRPr="001F52A8">
        <w:rPr>
          <w:rFonts w:cstheme="minorHAnsi"/>
        </w:rPr>
        <w:t xml:space="preserve">? </w:t>
      </w:r>
      <w:r w:rsidR="009855EF" w:rsidRPr="001F52A8">
        <w:rPr>
          <w:rFonts w:cstheme="minorHAnsi"/>
        </w:rPr>
        <w:t>A</w:t>
      </w:r>
      <w:r w:rsidR="00A70A89" w:rsidRPr="001F52A8">
        <w:rPr>
          <w:rFonts w:cstheme="minorHAnsi"/>
        </w:rPr>
        <w:t xml:space="preserve">nd </w:t>
      </w:r>
      <w:r w:rsidR="00D218DA" w:rsidRPr="001F52A8">
        <w:rPr>
          <w:rFonts w:cstheme="minorHAnsi"/>
        </w:rPr>
        <w:t xml:space="preserve">when he </w:t>
      </w:r>
      <w:r w:rsidR="00D522E0" w:rsidRPr="001F52A8">
        <w:rPr>
          <w:rFonts w:cstheme="minorHAnsi"/>
        </w:rPr>
        <w:t>decides</w:t>
      </w:r>
      <w:r w:rsidR="004830F3" w:rsidRPr="001F52A8">
        <w:rPr>
          <w:rFonts w:cstheme="minorHAnsi"/>
        </w:rPr>
        <w:t>,</w:t>
      </w:r>
      <w:r w:rsidR="00D522E0" w:rsidRPr="001F52A8">
        <w:rPr>
          <w:rFonts w:cstheme="minorHAnsi"/>
        </w:rPr>
        <w:t xml:space="preserve"> </w:t>
      </w:r>
      <w:r w:rsidR="004830F3" w:rsidRPr="001F52A8">
        <w:rPr>
          <w:rFonts w:cstheme="minorHAnsi"/>
        </w:rPr>
        <w:t xml:space="preserve">before the process can be completed, that </w:t>
      </w:r>
      <w:r w:rsidR="00D522E0" w:rsidRPr="001F52A8">
        <w:rPr>
          <w:rFonts w:cstheme="minorHAnsi"/>
        </w:rPr>
        <w:t xml:space="preserve">they had better </w:t>
      </w:r>
      <w:r w:rsidR="00B45012" w:rsidRPr="001F52A8">
        <w:rPr>
          <w:rFonts w:cstheme="minorHAnsi"/>
        </w:rPr>
        <w:t>go i</w:t>
      </w:r>
      <w:r w:rsidR="00D218DA" w:rsidRPr="001F52A8">
        <w:rPr>
          <w:rFonts w:cstheme="minorHAnsi"/>
        </w:rPr>
        <w:t>nt</w:t>
      </w:r>
      <w:r w:rsidR="00B45012" w:rsidRPr="001F52A8">
        <w:rPr>
          <w:rFonts w:cstheme="minorHAnsi"/>
        </w:rPr>
        <w:t>o battle anyway</w:t>
      </w:r>
      <w:r w:rsidR="002835EA" w:rsidRPr="001F52A8">
        <w:rPr>
          <w:rFonts w:cstheme="minorHAnsi"/>
        </w:rPr>
        <w:t xml:space="preserve"> and give chase</w:t>
      </w:r>
      <w:r w:rsidR="004830F3" w:rsidRPr="001F52A8">
        <w:rPr>
          <w:rFonts w:cstheme="minorHAnsi"/>
        </w:rPr>
        <w:t xml:space="preserve">, isn’t it surprising that </w:t>
      </w:r>
      <w:r w:rsidR="002D4FA3" w:rsidRPr="001F52A8">
        <w:rPr>
          <w:rFonts w:cstheme="minorHAnsi"/>
        </w:rPr>
        <w:t>“Yahweh delivered Israel” (14:</w:t>
      </w:r>
      <w:r w:rsidR="002E17C7" w:rsidRPr="001F52A8">
        <w:rPr>
          <w:rFonts w:cstheme="minorHAnsi"/>
        </w:rPr>
        <w:t>23)</w:t>
      </w:r>
      <w:r w:rsidR="00C63A04" w:rsidRPr="001F52A8">
        <w:rPr>
          <w:rFonts w:cstheme="minorHAnsi"/>
        </w:rPr>
        <w:t xml:space="preserve">, </w:t>
      </w:r>
      <w:r w:rsidR="0053043A">
        <w:rPr>
          <w:rFonts w:cstheme="minorHAnsi"/>
        </w:rPr>
        <w:t>especially</w:t>
      </w:r>
      <w:r w:rsidR="00C63A04" w:rsidRPr="001F52A8">
        <w:rPr>
          <w:rFonts w:cstheme="minorHAnsi"/>
        </w:rPr>
        <w:t xml:space="preserve"> </w:t>
      </w:r>
      <w:r w:rsidR="0055329D">
        <w:rPr>
          <w:rFonts w:cstheme="minorHAnsi"/>
        </w:rPr>
        <w:t>when</w:t>
      </w:r>
      <w:r w:rsidR="00C63A04" w:rsidRPr="001F52A8">
        <w:rPr>
          <w:rFonts w:cstheme="minorHAnsi"/>
        </w:rPr>
        <w:t xml:space="preserve"> only </w:t>
      </w:r>
      <w:r w:rsidR="00A75B11">
        <w:rPr>
          <w:rFonts w:cstheme="minorHAnsi"/>
        </w:rPr>
        <w:t xml:space="preserve">here </w:t>
      </w:r>
      <w:r w:rsidR="004D3819" w:rsidRPr="001F52A8">
        <w:rPr>
          <w:rFonts w:cstheme="minorHAnsi"/>
        </w:rPr>
        <w:t xml:space="preserve">in 1 Samuel 13 – 14 </w:t>
      </w:r>
      <w:r w:rsidR="00A75B11">
        <w:rPr>
          <w:rFonts w:cstheme="minorHAnsi"/>
        </w:rPr>
        <w:t>is</w:t>
      </w:r>
      <w:r w:rsidR="004D3819" w:rsidRPr="001F52A8">
        <w:rPr>
          <w:rFonts w:cstheme="minorHAnsi"/>
        </w:rPr>
        <w:t xml:space="preserve"> Yahweh the subject of a verb</w:t>
      </w:r>
      <w:r w:rsidR="00677DA8" w:rsidRPr="001F52A8">
        <w:rPr>
          <w:rFonts w:cstheme="minorHAnsi"/>
        </w:rPr>
        <w:t>?</w:t>
      </w:r>
    </w:p>
    <w:p w14:paraId="14A21FC2" w14:textId="3A45ED7B" w:rsidR="00123278" w:rsidRPr="001F52A8" w:rsidRDefault="00E5750F" w:rsidP="00534CC1">
      <w:pPr>
        <w:rPr>
          <w:rFonts w:cstheme="minorHAnsi"/>
        </w:rPr>
      </w:pPr>
      <w:r w:rsidRPr="001F52A8">
        <w:rPr>
          <w:rFonts w:cstheme="minorHAnsi"/>
        </w:rPr>
        <w:t xml:space="preserve">Was Jonathan then right that Saul </w:t>
      </w:r>
      <w:r w:rsidR="000905AC" w:rsidRPr="001F52A8">
        <w:rPr>
          <w:rFonts w:cstheme="minorHAnsi"/>
        </w:rPr>
        <w:t>was</w:t>
      </w:r>
      <w:r w:rsidR="008812BA" w:rsidRPr="001F52A8">
        <w:rPr>
          <w:rFonts w:cstheme="minorHAnsi"/>
        </w:rPr>
        <w:t xml:space="preserve"> unwise in requiring his army to fast </w:t>
      </w:r>
      <w:r w:rsidR="000A592E" w:rsidRPr="001F52A8">
        <w:rPr>
          <w:rFonts w:cstheme="minorHAnsi"/>
        </w:rPr>
        <w:t>unti</w:t>
      </w:r>
      <w:r w:rsidR="002E30F6" w:rsidRPr="001F52A8">
        <w:rPr>
          <w:rFonts w:cstheme="minorHAnsi"/>
        </w:rPr>
        <w:t xml:space="preserve">l </w:t>
      </w:r>
      <w:r w:rsidR="004B4E43" w:rsidRPr="001F52A8">
        <w:rPr>
          <w:rFonts w:cstheme="minorHAnsi"/>
        </w:rPr>
        <w:t xml:space="preserve">the </w:t>
      </w:r>
      <w:r w:rsidR="000923BC" w:rsidRPr="001F52A8">
        <w:rPr>
          <w:rFonts w:cstheme="minorHAnsi"/>
        </w:rPr>
        <w:t>fighting was over</w:t>
      </w:r>
      <w:r w:rsidR="00DC57BE" w:rsidRPr="001F52A8">
        <w:rPr>
          <w:rFonts w:cstheme="minorHAnsi"/>
        </w:rPr>
        <w:t xml:space="preserve"> (14:29-30)</w:t>
      </w:r>
      <w:r w:rsidR="008812BA" w:rsidRPr="001F52A8">
        <w:rPr>
          <w:rFonts w:cstheme="minorHAnsi"/>
        </w:rPr>
        <w:t xml:space="preserve">, </w:t>
      </w:r>
      <w:r w:rsidR="000677E3" w:rsidRPr="001F52A8">
        <w:rPr>
          <w:rFonts w:cstheme="minorHAnsi"/>
        </w:rPr>
        <w:t>or w</w:t>
      </w:r>
      <w:r w:rsidR="008812BA" w:rsidRPr="001F52A8">
        <w:rPr>
          <w:rFonts w:cstheme="minorHAnsi"/>
        </w:rPr>
        <w:t>as fasting a proper act of discipline (</w:t>
      </w:r>
      <w:r w:rsidR="00D17C58">
        <w:rPr>
          <w:rFonts w:cstheme="minorHAnsi"/>
        </w:rPr>
        <w:t xml:space="preserve">cf. </w:t>
      </w:r>
      <w:r w:rsidR="008812BA" w:rsidRPr="001F52A8">
        <w:rPr>
          <w:rFonts w:cstheme="minorHAnsi"/>
        </w:rPr>
        <w:t>7:6)?</w:t>
      </w:r>
      <w:r w:rsidR="008812BA" w:rsidRPr="001F52A8">
        <w:rPr>
          <w:rStyle w:val="FootnoteReference"/>
          <w:rFonts w:cstheme="minorHAnsi"/>
        </w:rPr>
        <w:footnoteReference w:id="151"/>
      </w:r>
      <w:r w:rsidR="008812BA" w:rsidRPr="001F52A8">
        <w:rPr>
          <w:rFonts w:cstheme="minorHAnsi"/>
        </w:rPr>
        <w:t xml:space="preserve"> </w:t>
      </w:r>
      <w:r w:rsidR="000677E3" w:rsidRPr="001F52A8">
        <w:rPr>
          <w:rFonts w:cstheme="minorHAnsi"/>
        </w:rPr>
        <w:t xml:space="preserve">When </w:t>
      </w:r>
      <w:r w:rsidR="00D46444" w:rsidRPr="001F52A8">
        <w:rPr>
          <w:rFonts w:cstheme="minorHAnsi"/>
        </w:rPr>
        <w:t>his troops</w:t>
      </w:r>
      <w:r w:rsidR="000677E3" w:rsidRPr="001F52A8">
        <w:rPr>
          <w:rFonts w:cstheme="minorHAnsi"/>
        </w:rPr>
        <w:t xml:space="preserve"> </w:t>
      </w:r>
      <w:r w:rsidR="000923BC" w:rsidRPr="001F52A8">
        <w:rPr>
          <w:rFonts w:cstheme="minorHAnsi"/>
        </w:rPr>
        <w:t>hungrily</w:t>
      </w:r>
      <w:r w:rsidR="002A34CD" w:rsidRPr="001F52A8">
        <w:rPr>
          <w:rFonts w:cstheme="minorHAnsi"/>
        </w:rPr>
        <w:t xml:space="preserve"> </w:t>
      </w:r>
      <w:r w:rsidR="00CB431C" w:rsidRPr="001F52A8">
        <w:rPr>
          <w:rFonts w:cstheme="minorHAnsi"/>
        </w:rPr>
        <w:t>barbecued at the end of the initial victory, were</w:t>
      </w:r>
      <w:r w:rsidR="003556F1" w:rsidRPr="001F52A8">
        <w:rPr>
          <w:rFonts w:cstheme="minorHAnsi"/>
        </w:rPr>
        <w:t xml:space="preserve"> they failing to</w:t>
      </w:r>
      <w:r w:rsidR="00AE11D3" w:rsidRPr="001F52A8">
        <w:rPr>
          <w:rFonts w:cstheme="minorHAnsi"/>
        </w:rPr>
        <w:t xml:space="preserve"> observ</w:t>
      </w:r>
      <w:r w:rsidR="003556F1" w:rsidRPr="001F52A8">
        <w:rPr>
          <w:rFonts w:cstheme="minorHAnsi"/>
        </w:rPr>
        <w:t>e</w:t>
      </w:r>
      <w:r w:rsidR="00AE11D3" w:rsidRPr="001F52A8">
        <w:rPr>
          <w:rFonts w:cstheme="minorHAnsi"/>
        </w:rPr>
        <w:t xml:space="preserve"> the proprieties about </w:t>
      </w:r>
      <w:r w:rsidR="00BA4BA0" w:rsidRPr="001F52A8">
        <w:rPr>
          <w:rFonts w:cstheme="minorHAnsi"/>
        </w:rPr>
        <w:t>draining the blood from an animal before barbecuing it</w:t>
      </w:r>
      <w:r w:rsidR="003556F1" w:rsidRPr="001F52A8">
        <w:rPr>
          <w:rFonts w:cstheme="minorHAnsi"/>
        </w:rPr>
        <w:t>, or does</w:t>
      </w:r>
      <w:r w:rsidR="008652B4" w:rsidRPr="001F52A8">
        <w:rPr>
          <w:rFonts w:cstheme="minorHAnsi"/>
        </w:rPr>
        <w:t xml:space="preserve"> eating </w:t>
      </w:r>
      <w:r w:rsidR="00CC26CE" w:rsidRPr="001F52A8">
        <w:rPr>
          <w:rFonts w:cstheme="minorHAnsi"/>
          <w:i/>
          <w:iCs/>
        </w:rPr>
        <w:t xml:space="preserve">over </w:t>
      </w:r>
      <w:r w:rsidR="00CC26CE" w:rsidRPr="001F52A8">
        <w:rPr>
          <w:rFonts w:cstheme="minorHAnsi"/>
        </w:rPr>
        <w:t>the blood imply divination</w:t>
      </w:r>
      <w:r w:rsidR="003556F1" w:rsidRPr="001F52A8">
        <w:rPr>
          <w:rFonts w:cstheme="minorHAnsi"/>
        </w:rPr>
        <w:t xml:space="preserve">? </w:t>
      </w:r>
      <w:r w:rsidR="00806561">
        <w:rPr>
          <w:rFonts w:cstheme="minorHAnsi"/>
        </w:rPr>
        <w:t>I</w:t>
      </w:r>
      <w:r w:rsidR="00B36ABD" w:rsidRPr="001F52A8">
        <w:rPr>
          <w:rFonts w:cstheme="minorHAnsi"/>
        </w:rPr>
        <w:t>s</w:t>
      </w:r>
      <w:r w:rsidR="00D908F9" w:rsidRPr="001F52A8">
        <w:rPr>
          <w:rFonts w:cstheme="minorHAnsi"/>
        </w:rPr>
        <w:t xml:space="preserve"> the altar </w:t>
      </w:r>
      <w:r w:rsidR="00C03C5C" w:rsidRPr="001F52A8">
        <w:rPr>
          <w:rFonts w:cstheme="minorHAnsi"/>
        </w:rPr>
        <w:t xml:space="preserve">that Saul </w:t>
      </w:r>
      <w:r w:rsidR="003556F1" w:rsidRPr="001F52A8">
        <w:rPr>
          <w:rFonts w:cstheme="minorHAnsi"/>
        </w:rPr>
        <w:t xml:space="preserve">then </w:t>
      </w:r>
      <w:r w:rsidR="00C03C5C" w:rsidRPr="001F52A8">
        <w:rPr>
          <w:rFonts w:cstheme="minorHAnsi"/>
        </w:rPr>
        <w:t xml:space="preserve">builds </w:t>
      </w:r>
      <w:r w:rsidR="00B36ABD" w:rsidRPr="001F52A8">
        <w:rPr>
          <w:rFonts w:cstheme="minorHAnsi"/>
        </w:rPr>
        <w:t>the same</w:t>
      </w:r>
      <w:r w:rsidR="00EB22DA">
        <w:rPr>
          <w:rFonts w:cstheme="minorHAnsi"/>
        </w:rPr>
        <w:t xml:space="preserve"> thing</w:t>
      </w:r>
      <w:r w:rsidR="00B36ABD" w:rsidRPr="001F52A8">
        <w:rPr>
          <w:rFonts w:cstheme="minorHAnsi"/>
        </w:rPr>
        <w:t xml:space="preserve"> as the rock </w:t>
      </w:r>
      <w:r w:rsidR="00D46444" w:rsidRPr="001F52A8">
        <w:rPr>
          <w:rFonts w:cstheme="minorHAnsi"/>
        </w:rPr>
        <w:t xml:space="preserve">just </w:t>
      </w:r>
      <w:r w:rsidR="00B36ABD" w:rsidRPr="001F52A8">
        <w:rPr>
          <w:rFonts w:cstheme="minorHAnsi"/>
        </w:rPr>
        <w:t xml:space="preserve">referred to, or something more </w:t>
      </w:r>
      <w:r w:rsidR="003A4B20" w:rsidRPr="001F52A8">
        <w:rPr>
          <w:rFonts w:cstheme="minorHAnsi"/>
        </w:rPr>
        <w:t>proper (14:31-35)</w:t>
      </w:r>
      <w:r w:rsidR="00D33B31" w:rsidRPr="001F52A8">
        <w:rPr>
          <w:rFonts w:cstheme="minorHAnsi"/>
        </w:rPr>
        <w:t>?</w:t>
      </w:r>
      <w:r w:rsidR="00CC26CE" w:rsidRPr="001F52A8">
        <w:rPr>
          <w:rFonts w:cstheme="minorHAnsi"/>
        </w:rPr>
        <w:t xml:space="preserve"> </w:t>
      </w:r>
      <w:r w:rsidR="006B449D" w:rsidRPr="001F52A8">
        <w:rPr>
          <w:rFonts w:cstheme="minorHAnsi"/>
        </w:rPr>
        <w:t xml:space="preserve">When it transpires that Jonathan had </w:t>
      </w:r>
      <w:r w:rsidR="00534CC1" w:rsidRPr="001F52A8">
        <w:rPr>
          <w:rFonts w:cstheme="minorHAnsi"/>
        </w:rPr>
        <w:t>unwittingly broken the fast, w</w:t>
      </w:r>
      <w:r w:rsidR="00CE6D86" w:rsidRPr="001F52A8">
        <w:rPr>
          <w:rFonts w:cstheme="minorHAnsi"/>
        </w:rPr>
        <w:t xml:space="preserve">as </w:t>
      </w:r>
      <w:r w:rsidR="0074159A" w:rsidRPr="001F52A8">
        <w:rPr>
          <w:rFonts w:cstheme="minorHAnsi"/>
        </w:rPr>
        <w:t xml:space="preserve">Saul amenable to the death of his son, who has been showing himself more a </w:t>
      </w:r>
      <w:r w:rsidR="00D26AB4" w:rsidRPr="001F52A8">
        <w:rPr>
          <w:rFonts w:cstheme="minorHAnsi"/>
        </w:rPr>
        <w:t xml:space="preserve">person of initiative and trust in Yahweh than Saul is, and who might be the </w:t>
      </w:r>
      <w:r w:rsidR="00EB0CA6" w:rsidRPr="001F52A8">
        <w:rPr>
          <w:rFonts w:cstheme="minorHAnsi"/>
        </w:rPr>
        <w:t>person Yahweh has in mind to replace him?</w:t>
      </w:r>
      <w:r w:rsidR="00534CC1" w:rsidRPr="001F52A8">
        <w:rPr>
          <w:rFonts w:cstheme="minorHAnsi"/>
        </w:rPr>
        <w:t xml:space="preserve"> W</w:t>
      </w:r>
      <w:r w:rsidR="00BB67E6" w:rsidRPr="001F52A8">
        <w:rPr>
          <w:rFonts w:cstheme="minorHAnsi"/>
        </w:rPr>
        <w:t>hen</w:t>
      </w:r>
      <w:r w:rsidR="00534CC1" w:rsidRPr="001F52A8">
        <w:rPr>
          <w:rFonts w:cstheme="minorHAnsi"/>
        </w:rPr>
        <w:t xml:space="preserve"> the troops redeem him</w:t>
      </w:r>
      <w:r w:rsidR="00BB67E6" w:rsidRPr="001F52A8">
        <w:rPr>
          <w:rFonts w:cstheme="minorHAnsi"/>
        </w:rPr>
        <w:t>,</w:t>
      </w:r>
      <w:r w:rsidR="00534CC1" w:rsidRPr="001F52A8">
        <w:rPr>
          <w:rFonts w:cstheme="minorHAnsi"/>
        </w:rPr>
        <w:t xml:space="preserve"> how did they do so?</w:t>
      </w:r>
    </w:p>
    <w:p w14:paraId="0869C396" w14:textId="6E204DCB" w:rsidR="00AE2058" w:rsidRPr="001F52A8" w:rsidRDefault="002E17C7" w:rsidP="00D33040">
      <w:pPr>
        <w:rPr>
          <w:rFonts w:cstheme="minorHAnsi"/>
        </w:rPr>
      </w:pPr>
      <w:r w:rsidRPr="001F52A8">
        <w:rPr>
          <w:rFonts w:cstheme="minorHAnsi"/>
        </w:rPr>
        <w:t xml:space="preserve">It’s impossible to </w:t>
      </w:r>
      <w:r w:rsidR="00F779A1" w:rsidRPr="001F52A8">
        <w:rPr>
          <w:rFonts w:cstheme="minorHAnsi"/>
        </w:rPr>
        <w:t xml:space="preserve">be clear on much of the story. </w:t>
      </w:r>
      <w:r w:rsidR="00933549" w:rsidRPr="001F52A8">
        <w:rPr>
          <w:rFonts w:cstheme="minorHAnsi"/>
        </w:rPr>
        <w:t>Sometimes leader</w:t>
      </w:r>
      <w:r w:rsidR="001B14E5">
        <w:rPr>
          <w:rFonts w:cstheme="minorHAnsi"/>
        </w:rPr>
        <w:t>s</w:t>
      </w:r>
      <w:r w:rsidR="00933549" w:rsidRPr="001F52A8">
        <w:rPr>
          <w:rFonts w:cstheme="minorHAnsi"/>
        </w:rPr>
        <w:t xml:space="preserve"> </w:t>
      </w:r>
      <w:r w:rsidR="00F97F18" w:rsidRPr="001F52A8">
        <w:rPr>
          <w:rFonts w:cstheme="minorHAnsi"/>
        </w:rPr>
        <w:t xml:space="preserve">may take action </w:t>
      </w:r>
      <w:r w:rsidR="007365F4" w:rsidRPr="001F52A8">
        <w:rPr>
          <w:rFonts w:cstheme="minorHAnsi"/>
        </w:rPr>
        <w:t>that the</w:t>
      </w:r>
      <w:r w:rsidR="001B14E5">
        <w:rPr>
          <w:rFonts w:cstheme="minorHAnsi"/>
        </w:rPr>
        <w:t>y</w:t>
      </w:r>
      <w:r w:rsidR="007365F4" w:rsidRPr="001F52A8">
        <w:rPr>
          <w:rFonts w:cstheme="minorHAnsi"/>
        </w:rPr>
        <w:t xml:space="preserve"> identif</w:t>
      </w:r>
      <w:r w:rsidR="001B14E5">
        <w:rPr>
          <w:rFonts w:cstheme="minorHAnsi"/>
        </w:rPr>
        <w:t>y</w:t>
      </w:r>
      <w:r w:rsidR="007365F4" w:rsidRPr="001F52A8">
        <w:rPr>
          <w:rFonts w:cstheme="minorHAnsi"/>
        </w:rPr>
        <w:t xml:space="preserve"> </w:t>
      </w:r>
      <w:r w:rsidR="00F97F18" w:rsidRPr="001F52A8">
        <w:rPr>
          <w:rFonts w:cstheme="minorHAnsi"/>
        </w:rPr>
        <w:t xml:space="preserve">within the parameters God lays down </w:t>
      </w:r>
      <w:r w:rsidR="003F0094" w:rsidRPr="001F52A8">
        <w:rPr>
          <w:rFonts w:cstheme="minorHAnsi"/>
        </w:rPr>
        <w:t>(but sometimes the plan turn</w:t>
      </w:r>
      <w:r w:rsidR="007365F4">
        <w:rPr>
          <w:rFonts w:cstheme="minorHAnsi"/>
        </w:rPr>
        <w:t>s</w:t>
      </w:r>
      <w:r w:rsidR="003F0094" w:rsidRPr="001F52A8">
        <w:rPr>
          <w:rFonts w:cstheme="minorHAnsi"/>
        </w:rPr>
        <w:t xml:space="preserve"> out to be wrong)</w:t>
      </w:r>
      <w:r w:rsidR="00F97F18" w:rsidRPr="001F52A8">
        <w:rPr>
          <w:rFonts w:cstheme="minorHAnsi"/>
        </w:rPr>
        <w:t>; sometimes leader</w:t>
      </w:r>
      <w:r w:rsidR="001B14E5">
        <w:rPr>
          <w:rFonts w:cstheme="minorHAnsi"/>
        </w:rPr>
        <w:t>s</w:t>
      </w:r>
      <w:r w:rsidR="00F97F18" w:rsidRPr="001F52A8">
        <w:rPr>
          <w:rFonts w:cstheme="minorHAnsi"/>
        </w:rPr>
        <w:t xml:space="preserve"> </w:t>
      </w:r>
      <w:r w:rsidR="005E723B" w:rsidRPr="001F52A8">
        <w:rPr>
          <w:rFonts w:cstheme="minorHAnsi"/>
        </w:rPr>
        <w:t>get concrete instructions. Sometimes leader</w:t>
      </w:r>
      <w:r w:rsidR="001B14E5">
        <w:rPr>
          <w:rFonts w:cstheme="minorHAnsi"/>
        </w:rPr>
        <w:t>s</w:t>
      </w:r>
      <w:r w:rsidR="005E723B" w:rsidRPr="001F52A8">
        <w:rPr>
          <w:rFonts w:cstheme="minorHAnsi"/>
        </w:rPr>
        <w:t xml:space="preserve"> may specify a sign </w:t>
      </w:r>
      <w:r w:rsidR="00045AEF">
        <w:rPr>
          <w:rFonts w:cstheme="minorHAnsi"/>
        </w:rPr>
        <w:t>through</w:t>
      </w:r>
      <w:r w:rsidR="00AA4BD9" w:rsidRPr="001F52A8">
        <w:rPr>
          <w:rFonts w:cstheme="minorHAnsi"/>
        </w:rPr>
        <w:t xml:space="preserve"> which God may confirm something</w:t>
      </w:r>
      <w:r w:rsidR="003F0094" w:rsidRPr="001F52A8">
        <w:rPr>
          <w:rFonts w:cstheme="minorHAnsi"/>
        </w:rPr>
        <w:t xml:space="preserve"> as</w:t>
      </w:r>
      <w:r w:rsidR="00AA4BD9" w:rsidRPr="001F52A8">
        <w:rPr>
          <w:rFonts w:cstheme="minorHAnsi"/>
        </w:rPr>
        <w:t xml:space="preserve"> a good </w:t>
      </w:r>
      <w:r w:rsidR="00045AEF">
        <w:rPr>
          <w:rFonts w:cstheme="minorHAnsi"/>
        </w:rPr>
        <w:t xml:space="preserve">idea </w:t>
      </w:r>
      <w:r w:rsidR="003F0094" w:rsidRPr="001F52A8">
        <w:rPr>
          <w:rFonts w:cstheme="minorHAnsi"/>
        </w:rPr>
        <w:t xml:space="preserve">(but sometimes God may not cooperate). </w:t>
      </w:r>
      <w:r w:rsidR="008E59AF" w:rsidRPr="001F52A8">
        <w:rPr>
          <w:rFonts w:cstheme="minorHAnsi"/>
        </w:rPr>
        <w:t>Sometimes leader</w:t>
      </w:r>
      <w:r w:rsidR="00EA4FAD">
        <w:rPr>
          <w:rFonts w:cstheme="minorHAnsi"/>
        </w:rPr>
        <w:t>s</w:t>
      </w:r>
      <w:r w:rsidR="008E59AF" w:rsidRPr="001F52A8">
        <w:rPr>
          <w:rFonts w:cstheme="minorHAnsi"/>
        </w:rPr>
        <w:t xml:space="preserve"> may take an initia</w:t>
      </w:r>
      <w:r w:rsidR="009E19C5" w:rsidRPr="001F52A8">
        <w:rPr>
          <w:rFonts w:cstheme="minorHAnsi"/>
        </w:rPr>
        <w:t>ti</w:t>
      </w:r>
      <w:r w:rsidR="008E59AF" w:rsidRPr="001F52A8">
        <w:rPr>
          <w:rFonts w:cstheme="minorHAnsi"/>
        </w:rPr>
        <w:t xml:space="preserve">ve and </w:t>
      </w:r>
      <w:r w:rsidR="009E19C5" w:rsidRPr="001F52A8">
        <w:rPr>
          <w:rFonts w:cstheme="minorHAnsi"/>
        </w:rPr>
        <w:t>God may work through it (but sometimes God may not).</w:t>
      </w:r>
      <w:r w:rsidR="00F47101" w:rsidRPr="001F52A8">
        <w:rPr>
          <w:rFonts w:cstheme="minorHAnsi"/>
        </w:rPr>
        <w:t xml:space="preserve"> </w:t>
      </w:r>
      <w:r w:rsidR="007D4D09" w:rsidRPr="001F52A8">
        <w:rPr>
          <w:rFonts w:cstheme="minorHAnsi"/>
        </w:rPr>
        <w:t>Most troublesome, sometimes leader</w:t>
      </w:r>
      <w:r w:rsidR="00EA4FAD">
        <w:rPr>
          <w:rFonts w:cstheme="minorHAnsi"/>
        </w:rPr>
        <w:t>s</w:t>
      </w:r>
      <w:r w:rsidR="007D4D09" w:rsidRPr="001F52A8">
        <w:rPr>
          <w:rFonts w:cstheme="minorHAnsi"/>
        </w:rPr>
        <w:t xml:space="preserve"> may take an action in good faith </w:t>
      </w:r>
      <w:r w:rsidR="00C1214F" w:rsidRPr="001F52A8">
        <w:rPr>
          <w:rFonts w:cstheme="minorHAnsi"/>
        </w:rPr>
        <w:t>but it turn</w:t>
      </w:r>
      <w:r w:rsidR="007B4D1C">
        <w:rPr>
          <w:rFonts w:cstheme="minorHAnsi"/>
        </w:rPr>
        <w:t>s</w:t>
      </w:r>
      <w:r w:rsidR="00C1214F" w:rsidRPr="001F52A8">
        <w:rPr>
          <w:rFonts w:cstheme="minorHAnsi"/>
        </w:rPr>
        <w:t xml:space="preserve"> out that God disapproves</w:t>
      </w:r>
      <w:r w:rsidR="004D2C35" w:rsidRPr="001F52A8">
        <w:rPr>
          <w:rFonts w:cstheme="minorHAnsi"/>
        </w:rPr>
        <w:t>,</w:t>
      </w:r>
      <w:r w:rsidR="00C1214F" w:rsidRPr="001F52A8">
        <w:rPr>
          <w:rFonts w:cstheme="minorHAnsi"/>
        </w:rPr>
        <w:t xml:space="preserve"> and disaster follows. As Qohelet </w:t>
      </w:r>
      <w:r w:rsidR="0095238C">
        <w:rPr>
          <w:rFonts w:cstheme="minorHAnsi"/>
        </w:rPr>
        <w:t xml:space="preserve">might have </w:t>
      </w:r>
      <w:r w:rsidR="00C1214F" w:rsidRPr="001F52A8">
        <w:rPr>
          <w:rFonts w:cstheme="minorHAnsi"/>
        </w:rPr>
        <w:t>put it</w:t>
      </w:r>
      <w:r w:rsidR="001D710F" w:rsidRPr="001F52A8">
        <w:rPr>
          <w:rFonts w:cstheme="minorHAnsi"/>
        </w:rPr>
        <w:t>,</w:t>
      </w:r>
      <w:r w:rsidR="009B6ADE" w:rsidRPr="001F52A8">
        <w:rPr>
          <w:rFonts w:cstheme="minorHAnsi"/>
        </w:rPr>
        <w:t xml:space="preserve"> one can never be sure of </w:t>
      </w:r>
      <w:r w:rsidR="008C3D36" w:rsidRPr="001F52A8">
        <w:rPr>
          <w:rFonts w:cstheme="minorHAnsi"/>
        </w:rPr>
        <w:t xml:space="preserve">acting in a way that seems good in </w:t>
      </w:r>
      <w:r w:rsidR="00490F7E" w:rsidRPr="001F52A8">
        <w:rPr>
          <w:rFonts w:cstheme="minorHAnsi"/>
        </w:rPr>
        <w:t>God’</w:t>
      </w:r>
      <w:r w:rsidR="008C3D36" w:rsidRPr="001F52A8">
        <w:rPr>
          <w:rFonts w:cstheme="minorHAnsi"/>
        </w:rPr>
        <w:t>s eyes and that he therefore blesses</w:t>
      </w:r>
      <w:r w:rsidR="008043C2" w:rsidRPr="001F52A8">
        <w:rPr>
          <w:rFonts w:cstheme="minorHAnsi"/>
        </w:rPr>
        <w:t>, rather than of the opposite</w:t>
      </w:r>
      <w:r w:rsidR="007C5BDE">
        <w:rPr>
          <w:rFonts w:cstheme="minorHAnsi"/>
        </w:rPr>
        <w:t>. W</w:t>
      </w:r>
      <w:r w:rsidR="000A2D73" w:rsidRPr="001F52A8">
        <w:rPr>
          <w:rFonts w:cstheme="minorHAnsi"/>
        </w:rPr>
        <w:t>ith t</w:t>
      </w:r>
      <w:r w:rsidR="00D02E5A" w:rsidRPr="001F52A8">
        <w:rPr>
          <w:rFonts w:cstheme="minorHAnsi"/>
        </w:rPr>
        <w:t>his text</w:t>
      </w:r>
      <w:r w:rsidR="000A2D73" w:rsidRPr="001F52A8">
        <w:rPr>
          <w:rFonts w:cstheme="minorHAnsi"/>
        </w:rPr>
        <w:t>,</w:t>
      </w:r>
      <w:r w:rsidR="00D02E5A" w:rsidRPr="001F52A8">
        <w:rPr>
          <w:rFonts w:cstheme="minorHAnsi"/>
        </w:rPr>
        <w:t xml:space="preserve"> </w:t>
      </w:r>
      <w:r w:rsidR="000A2D73" w:rsidRPr="001F52A8">
        <w:rPr>
          <w:rFonts w:cstheme="minorHAnsi"/>
        </w:rPr>
        <w:t>“</w:t>
      </w:r>
      <w:r w:rsidR="00D02E5A" w:rsidRPr="001F52A8">
        <w:rPr>
          <w:rFonts w:cstheme="minorHAnsi"/>
        </w:rPr>
        <w:t>it is easier to speak of impact than of meaning or intention</w:t>
      </w:r>
      <w:r w:rsidR="00A016C9">
        <w:rPr>
          <w:rFonts w:cstheme="minorHAnsi"/>
        </w:rPr>
        <w:t xml:space="preserve"> . . . .</w:t>
      </w:r>
      <w:r w:rsidR="00D02E5A" w:rsidRPr="001F52A8">
        <w:rPr>
          <w:rFonts w:cstheme="minorHAnsi"/>
        </w:rPr>
        <w:t xml:space="preserve"> The text embraces remarkable of levels of ambivalence.”</w:t>
      </w:r>
      <w:r w:rsidR="00D02E5A" w:rsidRPr="001F52A8">
        <w:rPr>
          <w:rStyle w:val="FootnoteReference"/>
          <w:rFonts w:cstheme="minorHAnsi"/>
        </w:rPr>
        <w:footnoteReference w:id="152"/>
      </w:r>
      <w:r w:rsidR="00D33040" w:rsidRPr="001F52A8">
        <w:rPr>
          <w:rFonts w:cstheme="minorHAnsi"/>
        </w:rPr>
        <w:t xml:space="preserve"> </w:t>
      </w:r>
      <w:r w:rsidR="00B10002" w:rsidRPr="001F52A8">
        <w:rPr>
          <w:rFonts w:cstheme="minorHAnsi"/>
        </w:rPr>
        <w:t xml:space="preserve">It does </w:t>
      </w:r>
      <w:r w:rsidR="00705F4D" w:rsidRPr="001F52A8">
        <w:rPr>
          <w:rFonts w:cstheme="minorHAnsi"/>
        </w:rPr>
        <w:t>reflect how d</w:t>
      </w:r>
      <w:r w:rsidR="00B10002" w:rsidRPr="001F52A8">
        <w:rPr>
          <w:rFonts w:cstheme="minorHAnsi"/>
        </w:rPr>
        <w:t>ecisions within the people of God reflect issues of power and personality.</w:t>
      </w:r>
      <w:r w:rsidR="00B10002" w:rsidRPr="001F52A8">
        <w:rPr>
          <w:rStyle w:val="FootnoteReference"/>
          <w:rFonts w:cstheme="minorHAnsi"/>
        </w:rPr>
        <w:footnoteReference w:id="153"/>
      </w:r>
      <w:r w:rsidR="00705F4D" w:rsidRPr="001F52A8">
        <w:rPr>
          <w:rFonts w:cstheme="minorHAnsi"/>
        </w:rPr>
        <w:t xml:space="preserve"> </w:t>
      </w:r>
      <w:r w:rsidR="00AE2058" w:rsidRPr="001F52A8">
        <w:rPr>
          <w:rFonts w:cstheme="minorHAnsi"/>
        </w:rPr>
        <w:t xml:space="preserve">And as Qohelet might </w:t>
      </w:r>
      <w:r w:rsidR="007C5BDE">
        <w:rPr>
          <w:rFonts w:cstheme="minorHAnsi"/>
        </w:rPr>
        <w:t xml:space="preserve">also </w:t>
      </w:r>
      <w:r w:rsidR="00AE2058" w:rsidRPr="001F52A8">
        <w:rPr>
          <w:rFonts w:cstheme="minorHAnsi"/>
        </w:rPr>
        <w:t>have put it, when things in a story are clear, we can rejoice. When things are unclear, we have to deal with it.</w:t>
      </w:r>
      <w:r w:rsidR="00F12BCF" w:rsidRPr="001F52A8">
        <w:rPr>
          <w:rFonts w:cstheme="minorHAnsi"/>
        </w:rPr>
        <w:t xml:space="preserve"> </w:t>
      </w:r>
    </w:p>
    <w:p w14:paraId="345FFC14" w14:textId="615650B9" w:rsidR="00D84C33" w:rsidRPr="001F52A8" w:rsidRDefault="00D84C33" w:rsidP="00203D51">
      <w:pPr>
        <w:rPr>
          <w:rFonts w:cstheme="minorHAnsi"/>
        </w:rPr>
      </w:pPr>
    </w:p>
    <w:p w14:paraId="7984D23D" w14:textId="175E652C" w:rsidR="00D84C33" w:rsidRPr="001F52A8" w:rsidRDefault="005405A7" w:rsidP="006D7B1F">
      <w:pPr>
        <w:pStyle w:val="Quote"/>
      </w:pPr>
      <w:r w:rsidRPr="001F52A8">
        <w:t>One ultimately wrestles with how to gain insight from a</w:t>
      </w:r>
      <w:r w:rsidR="00ED11BC" w:rsidRPr="001F52A8">
        <w:t xml:space="preserve"> </w:t>
      </w:r>
      <w:r w:rsidRPr="001F52A8">
        <w:t>narrator who seems to claim authoritatively that it is humanity's fate, even nature, to remain ignorant in the face of God's omniscience, yet ever compelled to strive for</w:t>
      </w:r>
      <w:r w:rsidR="00ED11BC" w:rsidRPr="001F52A8">
        <w:t xml:space="preserve"> </w:t>
      </w:r>
      <w:r w:rsidRPr="001F52A8">
        <w:t>knowledge and understanding</w:t>
      </w:r>
      <w:r w:rsidR="00A016C9">
        <w:t xml:space="preserve"> . . . .</w:t>
      </w:r>
      <w:r w:rsidR="006D1443" w:rsidRPr="001F52A8">
        <w:t xml:space="preserve"> </w:t>
      </w:r>
      <w:r w:rsidR="00D84C33" w:rsidRPr="001F52A8">
        <w:t>The Deuteronomic narrative style, for all its authoritative manner, still involves a profound contemporaneity and sublime relativity that revels in the mystery and</w:t>
      </w:r>
    </w:p>
    <w:p w14:paraId="77825AF4" w14:textId="3889C5D6" w:rsidR="00D84C33" w:rsidRPr="001F52A8" w:rsidRDefault="00D84C33" w:rsidP="006D7B1F">
      <w:pPr>
        <w:pStyle w:val="Quote"/>
      </w:pPr>
      <w:r w:rsidRPr="001F52A8">
        <w:t>ambiguity of life. No matter that the reader gives the narrator of chapters 13</w:t>
      </w:r>
      <w:r w:rsidR="007224D1" w:rsidRPr="001F52A8">
        <w:t xml:space="preserve"> – </w:t>
      </w:r>
      <w:r w:rsidRPr="001F52A8">
        <w:t>15</w:t>
      </w:r>
    </w:p>
    <w:p w14:paraId="5EE838F3" w14:textId="77777777" w:rsidR="00D84C33" w:rsidRPr="001F52A8" w:rsidRDefault="00D84C33" w:rsidP="006D7B1F">
      <w:pPr>
        <w:pStyle w:val="Quote"/>
      </w:pPr>
      <w:r w:rsidRPr="001F52A8">
        <w:t>and the God within them their basic due of communicative omniscience and reliability;</w:t>
      </w:r>
    </w:p>
    <w:p w14:paraId="4763B1A8" w14:textId="3615E854" w:rsidR="00D84C33" w:rsidRPr="001F52A8" w:rsidRDefault="00D84C33" w:rsidP="00AE4774">
      <w:pPr>
        <w:pStyle w:val="Quote"/>
      </w:pPr>
      <w:r w:rsidRPr="001F52A8">
        <w:t>the story that begins with Jonathan's initiative and ends with Saul's rejection never fails to highlight life's rich complexities</w:t>
      </w:r>
      <w:r w:rsidR="00A016C9">
        <w:t xml:space="preserve"> . . . .</w:t>
      </w:r>
      <w:r w:rsidR="00535CDA">
        <w:t xml:space="preserve"> </w:t>
      </w:r>
      <w:r w:rsidR="00FF5D81" w:rsidRPr="001F52A8">
        <w:t>[It aims]</w:t>
      </w:r>
      <w:r w:rsidR="00D82516" w:rsidRPr="001F52A8">
        <w:t xml:space="preserve"> </w:t>
      </w:r>
      <w:r w:rsidRPr="001F52A8">
        <w:t>to provoke humanity</w:t>
      </w:r>
      <w:r w:rsidR="00D82516" w:rsidRPr="001F52A8">
        <w:t xml:space="preserve"> </w:t>
      </w:r>
      <w:r w:rsidRPr="001F52A8">
        <w:t xml:space="preserve">toward an </w:t>
      </w:r>
      <w:r w:rsidRPr="001F52A8">
        <w:lastRenderedPageBreak/>
        <w:t>everpresent</w:t>
      </w:r>
      <w:r w:rsidR="007224D1" w:rsidRPr="001F52A8">
        <w:t xml:space="preserve"> </w:t>
      </w:r>
      <w:r w:rsidRPr="001F52A8">
        <w:t>quest for the truth, even as we are disposed to recognize our relative ignorance.</w:t>
      </w:r>
      <w:r w:rsidRPr="001F52A8">
        <w:rPr>
          <w:rStyle w:val="FootnoteReference"/>
          <w:rFonts w:cstheme="minorHAnsi"/>
        </w:rPr>
        <w:footnoteReference w:id="154"/>
      </w:r>
    </w:p>
    <w:p w14:paraId="59863358" w14:textId="625C4177" w:rsidR="0083693E" w:rsidRPr="001F52A8" w:rsidRDefault="0083693E" w:rsidP="000B0A0F">
      <w:pPr>
        <w:pStyle w:val="Heading2"/>
        <w:rPr>
          <w:lang w:bidi="he-IL"/>
        </w:rPr>
      </w:pPr>
      <w:r w:rsidRPr="001F52A8">
        <w:rPr>
          <w:lang w:bidi="he-IL"/>
        </w:rPr>
        <w:t>Devoting</w:t>
      </w:r>
    </w:p>
    <w:p w14:paraId="0D60192B" w14:textId="2460D048" w:rsidR="00EC7BB1" w:rsidRPr="001F52A8" w:rsidRDefault="001729BE" w:rsidP="001729BE">
      <w:pPr>
        <w:rPr>
          <w:rFonts w:cstheme="minorHAnsi"/>
        </w:rPr>
      </w:pPr>
      <w:r w:rsidRPr="001F52A8">
        <w:rPr>
          <w:rFonts w:cstheme="minorHAnsi"/>
        </w:rPr>
        <w:t xml:space="preserve">The possibility that </w:t>
      </w:r>
      <w:r w:rsidR="009F79DD" w:rsidRPr="001F52A8">
        <w:rPr>
          <w:rFonts w:cstheme="minorHAnsi"/>
        </w:rPr>
        <w:t>13:13-14 was</w:t>
      </w:r>
      <w:r w:rsidRPr="001F52A8">
        <w:rPr>
          <w:rFonts w:cstheme="minorHAnsi"/>
        </w:rPr>
        <w:t xml:space="preserve"> a</w:t>
      </w:r>
      <w:r w:rsidR="009A2BA5" w:rsidRPr="001F52A8">
        <w:rPr>
          <w:rFonts w:cstheme="minorHAnsi"/>
        </w:rPr>
        <w:t>n</w:t>
      </w:r>
      <w:r w:rsidRPr="001F52A8">
        <w:rPr>
          <w:rFonts w:cstheme="minorHAnsi"/>
        </w:rPr>
        <w:t xml:space="preserve"> anticipatory judgment</w:t>
      </w:r>
      <w:r w:rsidR="00983775" w:rsidRPr="001F52A8">
        <w:rPr>
          <w:rFonts w:cstheme="minorHAnsi"/>
        </w:rPr>
        <w:t xml:space="preserve"> fits the way 14:1 does not see</w:t>
      </w:r>
      <w:r w:rsidR="00EC0A6E" w:rsidRPr="001F52A8">
        <w:rPr>
          <w:rFonts w:cstheme="minorHAnsi"/>
        </w:rPr>
        <w:t>m</w:t>
      </w:r>
      <w:r w:rsidR="00983775" w:rsidRPr="001F52A8">
        <w:rPr>
          <w:rFonts w:cstheme="minorHAnsi"/>
        </w:rPr>
        <w:t xml:space="preserve"> to presuppose it.</w:t>
      </w:r>
      <w:r w:rsidRPr="001F52A8">
        <w:rPr>
          <w:rFonts w:cstheme="minorHAnsi"/>
        </w:rPr>
        <w:t xml:space="preserve"> Saul’s mistake</w:t>
      </w:r>
      <w:r w:rsidR="002546A3" w:rsidRPr="001F52A8">
        <w:rPr>
          <w:rFonts w:cstheme="minorHAnsi"/>
        </w:rPr>
        <w:t xml:space="preserve"> in 13:</w:t>
      </w:r>
      <w:r w:rsidR="00294BC3" w:rsidRPr="001F52A8">
        <w:rPr>
          <w:rFonts w:cstheme="minorHAnsi"/>
        </w:rPr>
        <w:t>2-12</w:t>
      </w:r>
      <w:r w:rsidR="00983775" w:rsidRPr="001F52A8">
        <w:rPr>
          <w:rFonts w:cstheme="minorHAnsi"/>
        </w:rPr>
        <w:t xml:space="preserve"> was</w:t>
      </w:r>
      <w:r w:rsidRPr="001F52A8">
        <w:rPr>
          <w:rFonts w:cstheme="minorHAnsi"/>
        </w:rPr>
        <w:t xml:space="preserve"> </w:t>
      </w:r>
      <w:r w:rsidR="00612785" w:rsidRPr="001F52A8">
        <w:rPr>
          <w:rFonts w:cstheme="minorHAnsi"/>
        </w:rPr>
        <w:t>a</w:t>
      </w:r>
      <w:r w:rsidRPr="001F52A8">
        <w:rPr>
          <w:rFonts w:cstheme="minorHAnsi"/>
        </w:rPr>
        <w:t xml:space="preserve"> misjudgment</w:t>
      </w:r>
      <w:r w:rsidR="00612785" w:rsidRPr="001F52A8">
        <w:rPr>
          <w:rFonts w:cstheme="minorHAnsi"/>
        </w:rPr>
        <w:t xml:space="preserve"> that typifies his rule</w:t>
      </w:r>
      <w:r w:rsidR="00F91BE5" w:rsidRPr="001F52A8">
        <w:rPr>
          <w:rFonts w:cstheme="minorHAnsi"/>
        </w:rPr>
        <w:t xml:space="preserve"> and was the kind of </w:t>
      </w:r>
      <w:r w:rsidR="003F1D37" w:rsidRPr="001F52A8">
        <w:rPr>
          <w:rFonts w:cstheme="minorHAnsi"/>
        </w:rPr>
        <w:t xml:space="preserve">act </w:t>
      </w:r>
      <w:r w:rsidR="003D3483" w:rsidRPr="001F52A8">
        <w:rPr>
          <w:rFonts w:cstheme="minorHAnsi"/>
        </w:rPr>
        <w:t>that le</w:t>
      </w:r>
      <w:r w:rsidRPr="001F52A8">
        <w:rPr>
          <w:rFonts w:cstheme="minorHAnsi"/>
        </w:rPr>
        <w:t>d to his downfall</w:t>
      </w:r>
      <w:r w:rsidR="003D3483" w:rsidRPr="001F52A8">
        <w:rPr>
          <w:rFonts w:cstheme="minorHAnsi"/>
        </w:rPr>
        <w:t>.</w:t>
      </w:r>
      <w:r w:rsidRPr="001F52A8">
        <w:rPr>
          <w:rFonts w:cstheme="minorHAnsi"/>
        </w:rPr>
        <w:t xml:space="preserve"> </w:t>
      </w:r>
      <w:r w:rsidR="007C39F4">
        <w:rPr>
          <w:rFonts w:cstheme="minorHAnsi"/>
        </w:rPr>
        <w:t>T</w:t>
      </w:r>
      <w:r w:rsidRPr="001F52A8">
        <w:rPr>
          <w:rFonts w:cstheme="minorHAnsi"/>
        </w:rPr>
        <w:t xml:space="preserve">he account of </w:t>
      </w:r>
      <w:r w:rsidR="001855A5" w:rsidRPr="001F52A8">
        <w:rPr>
          <w:rFonts w:cstheme="minorHAnsi"/>
        </w:rPr>
        <w:t>hi</w:t>
      </w:r>
      <w:r w:rsidRPr="001F52A8">
        <w:rPr>
          <w:rFonts w:cstheme="minorHAnsi"/>
        </w:rPr>
        <w:t xml:space="preserve">s downfall </w:t>
      </w:r>
      <w:r w:rsidR="007C39F4">
        <w:rPr>
          <w:rFonts w:cstheme="minorHAnsi"/>
        </w:rPr>
        <w:t xml:space="preserve">compares </w:t>
      </w:r>
      <w:r w:rsidRPr="001F52A8">
        <w:rPr>
          <w:rFonts w:cstheme="minorHAnsi"/>
        </w:rPr>
        <w:t>with the account of his rise</w:t>
      </w:r>
      <w:r w:rsidR="00476689" w:rsidRPr="001F52A8">
        <w:rPr>
          <w:rFonts w:cstheme="minorHAnsi"/>
        </w:rPr>
        <w:t xml:space="preserve">, </w:t>
      </w:r>
      <w:r w:rsidR="0025013B" w:rsidRPr="001F52A8">
        <w:rPr>
          <w:rFonts w:cstheme="minorHAnsi"/>
        </w:rPr>
        <w:t>where</w:t>
      </w:r>
      <w:r w:rsidR="00476689" w:rsidRPr="001F52A8">
        <w:rPr>
          <w:rFonts w:cstheme="minorHAnsi"/>
        </w:rPr>
        <w:t xml:space="preserve"> the</w:t>
      </w:r>
      <w:r w:rsidRPr="001F52A8">
        <w:rPr>
          <w:rFonts w:cstheme="minorHAnsi"/>
        </w:rPr>
        <w:t xml:space="preserve"> sequence of stories </w:t>
      </w:r>
      <w:r w:rsidR="00713ADF">
        <w:rPr>
          <w:rFonts w:cstheme="minorHAnsi"/>
        </w:rPr>
        <w:t>are</w:t>
      </w:r>
      <w:r w:rsidRPr="001F52A8">
        <w:rPr>
          <w:rFonts w:cstheme="minorHAnsi"/>
        </w:rPr>
        <w:t xml:space="preserve"> partly parallel. It fits that the story about Jonathan and the fast closes with a summary account of Saul’s achievements and family (14:47-52).</w:t>
      </w:r>
      <w:r w:rsidR="00D264B3" w:rsidRPr="001F52A8">
        <w:rPr>
          <w:rFonts w:cstheme="minorHAnsi"/>
        </w:rPr>
        <w:t xml:space="preserve"> </w:t>
      </w:r>
      <w:r w:rsidR="006A5028">
        <w:rPr>
          <w:rFonts w:cstheme="minorHAnsi"/>
        </w:rPr>
        <w:t>We have read the whole story of his reign. But n</w:t>
      </w:r>
      <w:r w:rsidR="00EC7BB1" w:rsidRPr="001F52A8">
        <w:rPr>
          <w:rFonts w:cstheme="minorHAnsi"/>
        </w:rPr>
        <w:t xml:space="preserve">ow (in the narrative) </w:t>
      </w:r>
      <w:r w:rsidR="0003445F" w:rsidRPr="001F52A8">
        <w:rPr>
          <w:rFonts w:cstheme="minorHAnsi"/>
        </w:rPr>
        <w:t>Samuel gives Saul a</w:t>
      </w:r>
      <w:r w:rsidR="00417C96" w:rsidRPr="001F52A8">
        <w:rPr>
          <w:rFonts w:cstheme="minorHAnsi"/>
        </w:rPr>
        <w:t>nother</w:t>
      </w:r>
      <w:r w:rsidR="0003445F" w:rsidRPr="001F52A8">
        <w:rPr>
          <w:rFonts w:cstheme="minorHAnsi"/>
        </w:rPr>
        <w:t xml:space="preserve"> </w:t>
      </w:r>
      <w:r w:rsidR="00DD2296" w:rsidRPr="001F52A8">
        <w:rPr>
          <w:rFonts w:cstheme="minorHAnsi"/>
        </w:rPr>
        <w:t>command</w:t>
      </w:r>
      <w:r w:rsidR="00417C96" w:rsidRPr="001F52A8">
        <w:rPr>
          <w:rFonts w:cstheme="minorHAnsi"/>
        </w:rPr>
        <w:t>, which</w:t>
      </w:r>
      <w:r w:rsidR="007411F6" w:rsidRPr="001F52A8">
        <w:rPr>
          <w:rFonts w:cstheme="minorHAnsi"/>
        </w:rPr>
        <w:t xml:space="preserve"> the narrator later in effect </w:t>
      </w:r>
      <w:r w:rsidR="00F7794F" w:rsidRPr="001F52A8">
        <w:rPr>
          <w:rFonts w:cstheme="minorHAnsi"/>
        </w:rPr>
        <w:t xml:space="preserve">confirms </w:t>
      </w:r>
      <w:r w:rsidR="007411F6" w:rsidRPr="001F52A8">
        <w:rPr>
          <w:rFonts w:cstheme="minorHAnsi"/>
        </w:rPr>
        <w:t>did come from Yahweh (1</w:t>
      </w:r>
      <w:r w:rsidR="0017708B" w:rsidRPr="001F52A8">
        <w:rPr>
          <w:rFonts w:cstheme="minorHAnsi"/>
        </w:rPr>
        <w:t>5</w:t>
      </w:r>
      <w:r w:rsidR="007411F6" w:rsidRPr="001F52A8">
        <w:rPr>
          <w:rFonts w:cstheme="minorHAnsi"/>
        </w:rPr>
        <w:t>:</w:t>
      </w:r>
      <w:r w:rsidR="00F7794F" w:rsidRPr="001F52A8">
        <w:rPr>
          <w:rFonts w:cstheme="minorHAnsi"/>
        </w:rPr>
        <w:t xml:space="preserve">2-3, 10-11). </w:t>
      </w:r>
      <w:r w:rsidR="001E1CD7" w:rsidRPr="001F52A8">
        <w:rPr>
          <w:rFonts w:cstheme="minorHAnsi"/>
        </w:rPr>
        <w:t>Amusingly, whereas 13:1 – 14:</w:t>
      </w:r>
      <w:r w:rsidR="00FD76EA" w:rsidRPr="001F52A8">
        <w:rPr>
          <w:rFonts w:cstheme="minorHAnsi"/>
        </w:rPr>
        <w:t>52 is full of ambiguities that give premodern, modern, and postmodern interpreters scope to read the</w:t>
      </w:r>
      <w:r w:rsidR="00324233" w:rsidRPr="001F52A8">
        <w:rPr>
          <w:rFonts w:cstheme="minorHAnsi"/>
        </w:rPr>
        <w:t xml:space="preserve">m their own way and thus to </w:t>
      </w:r>
      <w:r w:rsidR="0057174F" w:rsidRPr="001F52A8">
        <w:rPr>
          <w:rFonts w:cstheme="minorHAnsi"/>
        </w:rPr>
        <w:t>affirm the story, 15:1-35</w:t>
      </w:r>
      <w:r w:rsidR="00F81F89" w:rsidRPr="001F52A8">
        <w:rPr>
          <w:rFonts w:cstheme="minorHAnsi"/>
        </w:rPr>
        <w:t xml:space="preserve"> </w:t>
      </w:r>
      <w:r w:rsidR="007F7B29" w:rsidRPr="001F52A8">
        <w:rPr>
          <w:rFonts w:cstheme="minorHAnsi"/>
        </w:rPr>
        <w:t>manifests</w:t>
      </w:r>
      <w:r w:rsidR="00F81F89" w:rsidRPr="001F52A8">
        <w:rPr>
          <w:rFonts w:cstheme="minorHAnsi"/>
        </w:rPr>
        <w:t xml:space="preserve"> </w:t>
      </w:r>
      <w:r w:rsidR="007F7B29" w:rsidRPr="001F52A8">
        <w:rPr>
          <w:rFonts w:cstheme="minorHAnsi"/>
        </w:rPr>
        <w:t xml:space="preserve">some </w:t>
      </w:r>
      <w:r w:rsidR="00F81F89" w:rsidRPr="001F52A8">
        <w:rPr>
          <w:rFonts w:cstheme="minorHAnsi"/>
        </w:rPr>
        <w:t xml:space="preserve">clarities that </w:t>
      </w:r>
      <w:r w:rsidR="00392588" w:rsidRPr="001F52A8">
        <w:rPr>
          <w:rFonts w:cstheme="minorHAnsi"/>
        </w:rPr>
        <w:t xml:space="preserve">disturb </w:t>
      </w:r>
      <w:r w:rsidR="00F81F89" w:rsidRPr="001F52A8">
        <w:rPr>
          <w:rFonts w:cstheme="minorHAnsi"/>
        </w:rPr>
        <w:t xml:space="preserve">premodern, modern, </w:t>
      </w:r>
      <w:r w:rsidR="002A64EA">
        <w:rPr>
          <w:rFonts w:cstheme="minorHAnsi"/>
        </w:rPr>
        <w:t>and</w:t>
      </w:r>
      <w:r w:rsidR="00F81F89" w:rsidRPr="001F52A8">
        <w:rPr>
          <w:rFonts w:cstheme="minorHAnsi"/>
        </w:rPr>
        <w:t xml:space="preserve"> postmodern interpreters</w:t>
      </w:r>
      <w:r w:rsidR="00D01229" w:rsidRPr="001F52A8">
        <w:rPr>
          <w:rFonts w:cstheme="minorHAnsi"/>
        </w:rPr>
        <w:t>, though</w:t>
      </w:r>
      <w:r w:rsidR="00C42F2A" w:rsidRPr="001F52A8">
        <w:rPr>
          <w:rFonts w:cstheme="minorHAnsi"/>
        </w:rPr>
        <w:t xml:space="preserve"> it also ha</w:t>
      </w:r>
      <w:r w:rsidR="00D01229" w:rsidRPr="001F52A8">
        <w:rPr>
          <w:rFonts w:cstheme="minorHAnsi"/>
        </w:rPr>
        <w:t>s</w:t>
      </w:r>
      <w:r w:rsidR="00C42F2A" w:rsidRPr="001F52A8">
        <w:rPr>
          <w:rFonts w:cstheme="minorHAnsi"/>
        </w:rPr>
        <w:t xml:space="preserve"> its own ambiguities</w:t>
      </w:r>
      <w:r w:rsidR="00996424" w:rsidRPr="001F52A8">
        <w:rPr>
          <w:rFonts w:cstheme="minorHAnsi"/>
        </w:rPr>
        <w:t xml:space="preserve"> over the actions, words, and motives of Saul</w:t>
      </w:r>
      <w:r w:rsidR="00BD1AA6" w:rsidRPr="001F52A8">
        <w:rPr>
          <w:rFonts w:cstheme="minorHAnsi"/>
        </w:rPr>
        <w:t>,</w:t>
      </w:r>
      <w:r w:rsidR="00996424" w:rsidRPr="001F52A8">
        <w:rPr>
          <w:rFonts w:cstheme="minorHAnsi"/>
        </w:rPr>
        <w:t xml:space="preserve"> Samuel</w:t>
      </w:r>
      <w:r w:rsidR="00BD1AA6" w:rsidRPr="001F52A8">
        <w:rPr>
          <w:rFonts w:cstheme="minorHAnsi"/>
        </w:rPr>
        <w:t>, and Yahweh</w:t>
      </w:r>
      <w:r w:rsidR="00AB56F5" w:rsidRPr="001F52A8">
        <w:rPr>
          <w:rFonts w:cstheme="minorHAnsi"/>
        </w:rPr>
        <w:t>.</w:t>
      </w:r>
      <w:r w:rsidR="00667B80" w:rsidRPr="001F52A8">
        <w:rPr>
          <w:rStyle w:val="FootnoteReference"/>
          <w:rFonts w:cstheme="minorHAnsi"/>
        </w:rPr>
        <w:footnoteReference w:id="155"/>
      </w:r>
    </w:p>
    <w:p w14:paraId="6643E7BC" w14:textId="46F360E9" w:rsidR="00FD6D9F" w:rsidRPr="001F52A8" w:rsidRDefault="00BF00A8" w:rsidP="00041F58">
      <w:pPr>
        <w:rPr>
          <w:rFonts w:cstheme="minorHAnsi"/>
        </w:rPr>
      </w:pPr>
      <w:r w:rsidRPr="001F52A8">
        <w:rPr>
          <w:rFonts w:cstheme="minorHAnsi"/>
        </w:rPr>
        <w:t xml:space="preserve">Yahweh is </w:t>
      </w:r>
      <w:r w:rsidR="00977439" w:rsidRPr="001F52A8">
        <w:rPr>
          <w:rFonts w:cstheme="minorHAnsi"/>
        </w:rPr>
        <w:t>set on “attending to” Amalek</w:t>
      </w:r>
      <w:r w:rsidR="00600078" w:rsidRPr="001F52A8">
        <w:rPr>
          <w:rFonts w:cstheme="minorHAnsi"/>
        </w:rPr>
        <w:t xml:space="preserve">. </w:t>
      </w:r>
      <w:r w:rsidR="008A2148" w:rsidRPr="001F52A8">
        <w:rPr>
          <w:rFonts w:cstheme="minorHAnsi"/>
        </w:rPr>
        <w:t>T</w:t>
      </w:r>
      <w:r w:rsidR="00977439" w:rsidRPr="001F52A8">
        <w:rPr>
          <w:rFonts w:cstheme="minorHAnsi"/>
        </w:rPr>
        <w:t xml:space="preserve">he verb </w:t>
      </w:r>
      <w:r w:rsidR="00600078" w:rsidRPr="001F52A8">
        <w:rPr>
          <w:rFonts w:cstheme="minorHAnsi"/>
        </w:rPr>
        <w:t>(</w:t>
      </w:r>
      <w:r w:rsidR="007E10E8" w:rsidRPr="001F52A8">
        <w:rPr>
          <w:rFonts w:cstheme="minorHAnsi"/>
          <w:i/>
          <w:iCs/>
        </w:rPr>
        <w:t>pāqad</w:t>
      </w:r>
      <w:r w:rsidR="00600078" w:rsidRPr="001F52A8">
        <w:rPr>
          <w:rFonts w:cstheme="minorHAnsi"/>
        </w:rPr>
        <w:t>)</w:t>
      </w:r>
      <w:r w:rsidR="008A2148" w:rsidRPr="001F52A8">
        <w:rPr>
          <w:rFonts w:cstheme="minorHAnsi"/>
        </w:rPr>
        <w:t xml:space="preserve"> is</w:t>
      </w:r>
      <w:r w:rsidR="008877A2" w:rsidRPr="001F52A8">
        <w:rPr>
          <w:rFonts w:cstheme="minorHAnsi"/>
        </w:rPr>
        <w:t xml:space="preserve"> neutral </w:t>
      </w:r>
      <w:r w:rsidR="008A2148" w:rsidRPr="001F52A8">
        <w:rPr>
          <w:rFonts w:cstheme="minorHAnsi"/>
        </w:rPr>
        <w:t xml:space="preserve">in </w:t>
      </w:r>
      <w:r w:rsidR="001756E4" w:rsidRPr="001F52A8">
        <w:rPr>
          <w:rFonts w:cstheme="minorHAnsi"/>
        </w:rPr>
        <w:t>meaning</w:t>
      </w:r>
      <w:r w:rsidR="008877A2" w:rsidRPr="001F52A8">
        <w:rPr>
          <w:rFonts w:cstheme="minorHAnsi"/>
        </w:rPr>
        <w:t>; it earlier referred to Yahweh’s “attending to” Hannah</w:t>
      </w:r>
      <w:r w:rsidR="009D7F88">
        <w:rPr>
          <w:rFonts w:cstheme="minorHAnsi"/>
        </w:rPr>
        <w:t>, so that</w:t>
      </w:r>
      <w:r w:rsidR="008877A2" w:rsidRPr="001F52A8">
        <w:rPr>
          <w:rFonts w:cstheme="minorHAnsi"/>
        </w:rPr>
        <w:t xml:space="preserve"> she had multiple pregnancies (2:21). </w:t>
      </w:r>
      <w:r w:rsidR="00651878">
        <w:rPr>
          <w:rFonts w:cstheme="minorHAnsi"/>
        </w:rPr>
        <w:t>Here</w:t>
      </w:r>
      <w:r w:rsidR="00163E7C" w:rsidRPr="001F52A8">
        <w:rPr>
          <w:rFonts w:cstheme="minorHAnsi"/>
        </w:rPr>
        <w:t xml:space="preserve"> it implies</w:t>
      </w:r>
      <w:r w:rsidR="00CD51F8" w:rsidRPr="001F52A8">
        <w:rPr>
          <w:rFonts w:cstheme="minorHAnsi"/>
        </w:rPr>
        <w:t xml:space="preserve"> </w:t>
      </w:r>
      <w:r w:rsidR="00600078" w:rsidRPr="001F52A8">
        <w:rPr>
          <w:rFonts w:cstheme="minorHAnsi"/>
        </w:rPr>
        <w:t>negative attention</w:t>
      </w:r>
      <w:r w:rsidR="00882718" w:rsidRPr="001F52A8">
        <w:rPr>
          <w:rFonts w:cstheme="minorHAnsi"/>
        </w:rPr>
        <w:t>.</w:t>
      </w:r>
      <w:r w:rsidR="009970BA" w:rsidRPr="001F52A8">
        <w:rPr>
          <w:rFonts w:cstheme="minorHAnsi"/>
        </w:rPr>
        <w:t xml:space="preserve"> </w:t>
      </w:r>
      <w:r w:rsidR="00882718" w:rsidRPr="001F52A8">
        <w:rPr>
          <w:rFonts w:cstheme="minorHAnsi"/>
        </w:rPr>
        <w:t>I</w:t>
      </w:r>
      <w:r w:rsidR="009970BA" w:rsidRPr="001F52A8">
        <w:rPr>
          <w:rFonts w:cstheme="minorHAnsi"/>
        </w:rPr>
        <w:t>t relates to what Amalek did to Israel</w:t>
      </w:r>
      <w:r w:rsidR="00BE3B8C" w:rsidRPr="001F52A8">
        <w:rPr>
          <w:rFonts w:cstheme="minorHAnsi"/>
        </w:rPr>
        <w:t xml:space="preserve"> on its way out of Egypt</w:t>
      </w:r>
      <w:r w:rsidR="00F32222" w:rsidRPr="001F52A8">
        <w:rPr>
          <w:rFonts w:cstheme="minorHAnsi"/>
        </w:rPr>
        <w:t xml:space="preserve">. </w:t>
      </w:r>
      <w:r w:rsidR="00823389" w:rsidRPr="001F52A8">
        <w:rPr>
          <w:rFonts w:cstheme="minorHAnsi"/>
        </w:rPr>
        <w:t xml:space="preserve">The attack was </w:t>
      </w:r>
      <w:r w:rsidR="00C0455E" w:rsidRPr="001F52A8">
        <w:rPr>
          <w:rFonts w:cstheme="minorHAnsi"/>
        </w:rPr>
        <w:t>unprovoked</w:t>
      </w:r>
      <w:r w:rsidR="00F32222" w:rsidRPr="001F52A8">
        <w:rPr>
          <w:rFonts w:cstheme="minorHAnsi"/>
        </w:rPr>
        <w:t xml:space="preserve"> </w:t>
      </w:r>
      <w:r w:rsidR="00823389" w:rsidRPr="001F52A8">
        <w:rPr>
          <w:rFonts w:cstheme="minorHAnsi"/>
        </w:rPr>
        <w:t xml:space="preserve">but the first account of it (Exod 17:8-15) </w:t>
      </w:r>
      <w:r w:rsidR="002F7255" w:rsidRPr="001F52A8">
        <w:rPr>
          <w:rFonts w:cstheme="minorHAnsi"/>
        </w:rPr>
        <w:t xml:space="preserve">does not </w:t>
      </w:r>
      <w:r w:rsidR="00C0455E" w:rsidRPr="001F52A8">
        <w:rPr>
          <w:rFonts w:cstheme="minorHAnsi"/>
        </w:rPr>
        <w:t>portray it as v</w:t>
      </w:r>
      <w:r w:rsidR="002F7255" w:rsidRPr="001F52A8">
        <w:rPr>
          <w:rFonts w:cstheme="minorHAnsi"/>
        </w:rPr>
        <w:t>ery terrible</w:t>
      </w:r>
      <w:r w:rsidR="00D467BB" w:rsidRPr="001F52A8">
        <w:rPr>
          <w:rFonts w:cstheme="minorHAnsi"/>
        </w:rPr>
        <w:t>, though</w:t>
      </w:r>
      <w:r w:rsidR="00545539" w:rsidRPr="001F52A8">
        <w:rPr>
          <w:rFonts w:cstheme="minorHAnsi"/>
        </w:rPr>
        <w:t xml:space="preserve"> after</w:t>
      </w:r>
      <w:r w:rsidR="0028222F">
        <w:rPr>
          <w:rFonts w:cstheme="minorHAnsi"/>
        </w:rPr>
        <w:t>wards</w:t>
      </w:r>
      <w:r w:rsidR="00545539" w:rsidRPr="001F52A8">
        <w:rPr>
          <w:rFonts w:cstheme="minorHAnsi"/>
        </w:rPr>
        <w:t xml:space="preserve"> Yahweh undertook </w:t>
      </w:r>
      <w:r w:rsidR="003C0339" w:rsidRPr="001F52A8">
        <w:rPr>
          <w:rFonts w:cstheme="minorHAnsi"/>
        </w:rPr>
        <w:t>to</w:t>
      </w:r>
      <w:r w:rsidR="00823389" w:rsidRPr="001F52A8">
        <w:rPr>
          <w:rFonts w:cstheme="minorHAnsi"/>
        </w:rPr>
        <w:t xml:space="preserve"> </w:t>
      </w:r>
      <w:r w:rsidR="00531BC7" w:rsidRPr="001F52A8">
        <w:rPr>
          <w:rFonts w:cstheme="minorHAnsi"/>
        </w:rPr>
        <w:t>obliterate Ama</w:t>
      </w:r>
      <w:r w:rsidR="00433639" w:rsidRPr="001F52A8">
        <w:rPr>
          <w:rFonts w:cstheme="minorHAnsi"/>
        </w:rPr>
        <w:t>lek’s memory (</w:t>
      </w:r>
      <w:r w:rsidR="005F76BD" w:rsidRPr="001F52A8">
        <w:rPr>
          <w:rFonts w:cstheme="minorHAnsi"/>
        </w:rPr>
        <w:t xml:space="preserve">the story </w:t>
      </w:r>
      <w:r w:rsidR="00D1069D">
        <w:rPr>
          <w:rFonts w:cstheme="minorHAnsi"/>
        </w:rPr>
        <w:t xml:space="preserve">might therefore seem </w:t>
      </w:r>
      <w:r w:rsidR="005F76BD" w:rsidRPr="001F52A8">
        <w:rPr>
          <w:rFonts w:cstheme="minorHAnsi"/>
        </w:rPr>
        <w:t>self-defeating).</w:t>
      </w:r>
      <w:r w:rsidR="008A5092" w:rsidRPr="001F52A8">
        <w:rPr>
          <w:rFonts w:cstheme="minorHAnsi"/>
        </w:rPr>
        <w:t xml:space="preserve"> </w:t>
      </w:r>
      <w:r w:rsidR="00D467BB" w:rsidRPr="001F52A8">
        <w:rPr>
          <w:rFonts w:cstheme="minorHAnsi"/>
        </w:rPr>
        <w:t xml:space="preserve">But </w:t>
      </w:r>
      <w:r w:rsidR="006E088E" w:rsidRPr="001F52A8">
        <w:rPr>
          <w:rFonts w:cstheme="minorHAnsi"/>
        </w:rPr>
        <w:t>a later reference says that Amalek</w:t>
      </w:r>
      <w:r w:rsidR="00B5636F" w:rsidRPr="001F52A8">
        <w:rPr>
          <w:rFonts w:cstheme="minorHAnsi"/>
        </w:rPr>
        <w:t xml:space="preserve"> “met with you on the way</w:t>
      </w:r>
      <w:r w:rsidR="00BA39F0" w:rsidRPr="001F52A8">
        <w:rPr>
          <w:rFonts w:cstheme="minorHAnsi"/>
        </w:rPr>
        <w:t xml:space="preserve"> and </w:t>
      </w:r>
      <w:r w:rsidR="00CB4D6F" w:rsidRPr="001F52A8">
        <w:rPr>
          <w:rFonts w:cstheme="minorHAnsi"/>
        </w:rPr>
        <w:t>attacked</w:t>
      </w:r>
      <w:r w:rsidR="00BA39F0" w:rsidRPr="001F52A8">
        <w:rPr>
          <w:rFonts w:cstheme="minorHAnsi"/>
        </w:rPr>
        <w:t xml:space="preserve"> you </w:t>
      </w:r>
      <w:r w:rsidR="00CB4D6F" w:rsidRPr="001F52A8">
        <w:rPr>
          <w:rFonts w:cstheme="minorHAnsi"/>
        </w:rPr>
        <w:t>from behind,</w:t>
      </w:r>
      <w:r w:rsidR="00685011" w:rsidRPr="001F52A8">
        <w:rPr>
          <w:rFonts w:cstheme="minorHAnsi"/>
        </w:rPr>
        <w:t xml:space="preserve"> </w:t>
      </w:r>
      <w:r w:rsidR="00FC08CF" w:rsidRPr="001F52A8">
        <w:rPr>
          <w:rFonts w:cstheme="minorHAnsi"/>
        </w:rPr>
        <w:t>all</w:t>
      </w:r>
      <w:r w:rsidR="00685011" w:rsidRPr="001F52A8">
        <w:rPr>
          <w:rFonts w:cstheme="minorHAnsi"/>
        </w:rPr>
        <w:t xml:space="preserve"> </w:t>
      </w:r>
      <w:r w:rsidR="00FC08CF" w:rsidRPr="001F52A8">
        <w:rPr>
          <w:rFonts w:cstheme="minorHAnsi"/>
        </w:rPr>
        <w:t xml:space="preserve">who </w:t>
      </w:r>
      <w:r w:rsidR="00685011" w:rsidRPr="001F52A8">
        <w:rPr>
          <w:rFonts w:cstheme="minorHAnsi"/>
        </w:rPr>
        <w:t xml:space="preserve">were shattered </w:t>
      </w:r>
      <w:r w:rsidR="00413EB1" w:rsidRPr="001F52A8">
        <w:rPr>
          <w:rFonts w:cstheme="minorHAnsi"/>
        </w:rPr>
        <w:t xml:space="preserve">behind you, </w:t>
      </w:r>
      <w:r w:rsidR="00BF329E" w:rsidRPr="001F52A8">
        <w:rPr>
          <w:rFonts w:cstheme="minorHAnsi"/>
        </w:rPr>
        <w:t>and you were faint and weary</w:t>
      </w:r>
      <w:r w:rsidR="008D3F7B" w:rsidRPr="001F52A8">
        <w:rPr>
          <w:rFonts w:cstheme="minorHAnsi"/>
        </w:rPr>
        <w:t xml:space="preserve">, and </w:t>
      </w:r>
      <w:r w:rsidR="00825160" w:rsidRPr="001F52A8">
        <w:rPr>
          <w:rFonts w:cstheme="minorHAnsi"/>
        </w:rPr>
        <w:t>it was not in awe of God”</w:t>
      </w:r>
      <w:r w:rsidR="00C9251E" w:rsidRPr="001F52A8">
        <w:rPr>
          <w:rFonts w:cstheme="minorHAnsi"/>
        </w:rPr>
        <w:t xml:space="preserve"> (Deut</w:t>
      </w:r>
      <w:r w:rsidR="00F203E1" w:rsidRPr="001F52A8">
        <w:rPr>
          <w:rFonts w:cstheme="minorHAnsi"/>
        </w:rPr>
        <w:t xml:space="preserve"> 25:18).</w:t>
      </w:r>
      <w:r w:rsidR="00825160" w:rsidRPr="001F52A8">
        <w:rPr>
          <w:rFonts w:cstheme="minorHAnsi"/>
        </w:rPr>
        <w:t xml:space="preserve"> </w:t>
      </w:r>
      <w:r w:rsidR="00474814">
        <w:rPr>
          <w:rFonts w:cstheme="minorHAnsi"/>
        </w:rPr>
        <w:t>T</w:t>
      </w:r>
      <w:r w:rsidR="00F278B9" w:rsidRPr="001F52A8">
        <w:rPr>
          <w:rFonts w:cstheme="minorHAnsi"/>
        </w:rPr>
        <w:t>he Amal</w:t>
      </w:r>
      <w:r w:rsidR="00474274" w:rsidRPr="001F52A8">
        <w:rPr>
          <w:rFonts w:cstheme="minorHAnsi"/>
        </w:rPr>
        <w:t>ekites were “wrongdoers</w:t>
      </w:r>
      <w:r w:rsidR="00A2661F" w:rsidRPr="001F52A8">
        <w:rPr>
          <w:rFonts w:cstheme="minorHAnsi"/>
        </w:rPr>
        <w:t>” (</w:t>
      </w:r>
      <w:r w:rsidR="00A2661F" w:rsidRPr="001F52A8">
        <w:rPr>
          <w:rFonts w:cstheme="minorHAnsi"/>
          <w:i/>
          <w:iCs/>
        </w:rPr>
        <w:t>ḥ</w:t>
      </w:r>
      <w:r w:rsidR="00381DBE" w:rsidRPr="001F52A8">
        <w:rPr>
          <w:rFonts w:cstheme="minorHAnsi"/>
          <w:i/>
          <w:iCs/>
        </w:rPr>
        <w:t>a</w:t>
      </w:r>
      <w:r w:rsidR="00A2661F" w:rsidRPr="001F52A8">
        <w:rPr>
          <w:rFonts w:cstheme="minorHAnsi"/>
          <w:i/>
          <w:iCs/>
        </w:rPr>
        <w:t>ṭṭā</w:t>
      </w:r>
      <w:r w:rsidR="00381DBE" w:rsidRPr="001F52A8">
        <w:rPr>
          <w:rFonts w:cstheme="minorHAnsi"/>
          <w:i/>
          <w:iCs/>
        </w:rPr>
        <w:t>’</w:t>
      </w:r>
      <w:r w:rsidR="00A2661F" w:rsidRPr="001F52A8">
        <w:rPr>
          <w:rFonts w:cstheme="minorHAnsi"/>
          <w:i/>
          <w:iCs/>
        </w:rPr>
        <w:t>î</w:t>
      </w:r>
      <w:r w:rsidR="00381DBE" w:rsidRPr="001F52A8">
        <w:rPr>
          <w:rFonts w:cstheme="minorHAnsi"/>
          <w:i/>
          <w:iCs/>
        </w:rPr>
        <w:t>m</w:t>
      </w:r>
      <w:r w:rsidR="00381DBE" w:rsidRPr="001F52A8">
        <w:rPr>
          <w:rFonts w:cstheme="minorHAnsi"/>
        </w:rPr>
        <w:t>)</w:t>
      </w:r>
      <w:r w:rsidR="00A606D6" w:rsidRPr="001F52A8">
        <w:rPr>
          <w:rFonts w:cstheme="minorHAnsi"/>
        </w:rPr>
        <w:t>.</w:t>
      </w:r>
      <w:r w:rsidR="00DC017F" w:rsidRPr="001F52A8">
        <w:rPr>
          <w:rFonts w:cstheme="minorHAnsi"/>
        </w:rPr>
        <w:t xml:space="preserve"> </w:t>
      </w:r>
      <w:r w:rsidR="00045E91">
        <w:rPr>
          <w:rFonts w:cstheme="minorHAnsi"/>
        </w:rPr>
        <w:t>But l</w:t>
      </w:r>
      <w:r w:rsidR="001E0EFA" w:rsidRPr="001F52A8">
        <w:rPr>
          <w:rFonts w:cstheme="minorHAnsi"/>
        </w:rPr>
        <w:t xml:space="preserve">ike Exodus, </w:t>
      </w:r>
      <w:r w:rsidR="001E0EFA">
        <w:rPr>
          <w:rFonts w:cstheme="minorHAnsi"/>
        </w:rPr>
        <w:t>1 Sam</w:t>
      </w:r>
      <w:r w:rsidR="00045E91">
        <w:rPr>
          <w:rFonts w:cstheme="minorHAnsi"/>
        </w:rPr>
        <w:t>uel</w:t>
      </w:r>
      <w:r w:rsidR="001E0EFA">
        <w:rPr>
          <w:rFonts w:cstheme="minorHAnsi"/>
        </w:rPr>
        <w:t xml:space="preserve"> 15</w:t>
      </w:r>
      <w:r w:rsidR="001E0EFA" w:rsidRPr="001F52A8">
        <w:rPr>
          <w:rFonts w:cstheme="minorHAnsi"/>
        </w:rPr>
        <w:t xml:space="preserve"> does not refer to the ethical point that Deuteronomy makes</w:t>
      </w:r>
      <w:r w:rsidR="00045E91">
        <w:rPr>
          <w:rFonts w:cstheme="minorHAnsi"/>
        </w:rPr>
        <w:t>, though</w:t>
      </w:r>
      <w:r w:rsidR="001E0EFA" w:rsidRPr="001F52A8">
        <w:rPr>
          <w:rFonts w:cstheme="minorHAnsi"/>
        </w:rPr>
        <w:t xml:space="preserve"> </w:t>
      </w:r>
      <w:r w:rsidR="00215B63" w:rsidRPr="001F52A8">
        <w:rPr>
          <w:rFonts w:cstheme="minorHAnsi"/>
        </w:rPr>
        <w:t>Samuel later adds to the Amalekite king</w:t>
      </w:r>
      <w:r w:rsidR="008926A8" w:rsidRPr="001F52A8">
        <w:rPr>
          <w:rFonts w:cstheme="minorHAnsi"/>
        </w:rPr>
        <w:t>:</w:t>
      </w:r>
    </w:p>
    <w:p w14:paraId="2EFF032F" w14:textId="0829E224" w:rsidR="008926A8" w:rsidRPr="001F52A8" w:rsidRDefault="008926A8" w:rsidP="001729BE">
      <w:pPr>
        <w:rPr>
          <w:rFonts w:cstheme="minorHAnsi"/>
        </w:rPr>
      </w:pPr>
    </w:p>
    <w:p w14:paraId="49D53E2B" w14:textId="4874CEFF" w:rsidR="008926A8" w:rsidRPr="001F52A8" w:rsidRDefault="008926A8" w:rsidP="001729BE">
      <w:pPr>
        <w:rPr>
          <w:rFonts w:cstheme="minorHAnsi"/>
        </w:rPr>
      </w:pPr>
      <w:r w:rsidRPr="001F52A8">
        <w:rPr>
          <w:rFonts w:cstheme="minorHAnsi"/>
        </w:rPr>
        <w:t>As your sword bereaved women,</w:t>
      </w:r>
    </w:p>
    <w:p w14:paraId="4435E49A" w14:textId="35FEF7CF" w:rsidR="008926A8" w:rsidRPr="001F52A8" w:rsidRDefault="008926A8" w:rsidP="001729BE">
      <w:pPr>
        <w:rPr>
          <w:rFonts w:cstheme="minorHAnsi"/>
        </w:rPr>
      </w:pPr>
      <w:r w:rsidRPr="001F52A8">
        <w:rPr>
          <w:rFonts w:cstheme="minorHAnsi"/>
        </w:rPr>
        <w:tab/>
      </w:r>
      <w:r w:rsidR="001C6A19" w:rsidRPr="001F52A8">
        <w:rPr>
          <w:rFonts w:cstheme="minorHAnsi"/>
        </w:rPr>
        <w:t xml:space="preserve">so your mother </w:t>
      </w:r>
      <w:r w:rsidR="00CB6EDC" w:rsidRPr="001F52A8">
        <w:rPr>
          <w:rFonts w:cstheme="minorHAnsi"/>
        </w:rPr>
        <w:t>will b</w:t>
      </w:r>
      <w:r w:rsidR="00253B0E" w:rsidRPr="001F52A8">
        <w:rPr>
          <w:rFonts w:cstheme="minorHAnsi"/>
        </w:rPr>
        <w:t>e</w:t>
      </w:r>
      <w:r w:rsidR="00CB6EDC" w:rsidRPr="001F52A8">
        <w:rPr>
          <w:rFonts w:cstheme="minorHAnsi"/>
        </w:rPr>
        <w:t xml:space="preserve"> bereaved </w:t>
      </w:r>
      <w:r w:rsidR="00253B0E" w:rsidRPr="001F52A8">
        <w:rPr>
          <w:rFonts w:cstheme="minorHAnsi"/>
        </w:rPr>
        <w:t>from among women (15:33)</w:t>
      </w:r>
    </w:p>
    <w:p w14:paraId="7720316A" w14:textId="77777777" w:rsidR="008926A8" w:rsidRPr="001F52A8" w:rsidRDefault="008926A8" w:rsidP="001729BE">
      <w:pPr>
        <w:rPr>
          <w:rFonts w:cstheme="minorHAnsi"/>
        </w:rPr>
      </w:pPr>
    </w:p>
    <w:p w14:paraId="50557C55" w14:textId="195A2D9C" w:rsidR="003E4D1E" w:rsidRPr="001F52A8" w:rsidRDefault="00691D94" w:rsidP="00AE657D">
      <w:pPr>
        <w:rPr>
          <w:rFonts w:cstheme="minorHAnsi"/>
        </w:rPr>
      </w:pPr>
      <w:r w:rsidRPr="001F52A8">
        <w:rPr>
          <w:rFonts w:cstheme="minorHAnsi"/>
        </w:rPr>
        <w:t xml:space="preserve">Yahweh </w:t>
      </w:r>
      <w:r w:rsidR="00AE657D" w:rsidRPr="001F52A8">
        <w:rPr>
          <w:rFonts w:cstheme="minorHAnsi"/>
        </w:rPr>
        <w:t xml:space="preserve">therefore </w:t>
      </w:r>
      <w:r w:rsidR="00E1340E" w:rsidRPr="001F52A8">
        <w:rPr>
          <w:rFonts w:cstheme="minorHAnsi"/>
        </w:rPr>
        <w:t>now commissions Saul</w:t>
      </w:r>
      <w:r w:rsidR="00AE657D" w:rsidRPr="001F52A8">
        <w:rPr>
          <w:rFonts w:cstheme="minorHAnsi"/>
        </w:rPr>
        <w:t xml:space="preserve"> </w:t>
      </w:r>
      <w:r w:rsidR="00E1340E" w:rsidRPr="001F52A8">
        <w:rPr>
          <w:rFonts w:cstheme="minorHAnsi"/>
        </w:rPr>
        <w:t xml:space="preserve">to attack Amalek and “devote” </w:t>
      </w:r>
      <w:r w:rsidR="000A0F41" w:rsidRPr="001F52A8">
        <w:rPr>
          <w:rFonts w:cstheme="minorHAnsi"/>
        </w:rPr>
        <w:t xml:space="preserve">men, men, children, and animals. </w:t>
      </w:r>
      <w:r w:rsidR="0094305C" w:rsidRPr="001F52A8">
        <w:rPr>
          <w:rFonts w:cstheme="minorHAnsi"/>
        </w:rPr>
        <w:t>LXX</w:t>
      </w:r>
      <w:r w:rsidR="003A15C4">
        <w:rPr>
          <w:rFonts w:cstheme="minorHAnsi"/>
        </w:rPr>
        <w:t>,</w:t>
      </w:r>
      <w:r w:rsidR="0094305C" w:rsidRPr="001F52A8">
        <w:rPr>
          <w:rFonts w:cstheme="minorHAnsi"/>
        </w:rPr>
        <w:t xml:space="preserve"> Vg</w:t>
      </w:r>
      <w:r w:rsidR="003A15C4">
        <w:rPr>
          <w:rFonts w:cstheme="minorHAnsi"/>
        </w:rPr>
        <w:t>, and Tg</w:t>
      </w:r>
      <w:r w:rsidR="0094305C" w:rsidRPr="001F52A8">
        <w:rPr>
          <w:rFonts w:cstheme="minorHAnsi"/>
        </w:rPr>
        <w:t xml:space="preserve"> translate the</w:t>
      </w:r>
      <w:r w:rsidR="000A0F41" w:rsidRPr="001F52A8">
        <w:rPr>
          <w:rFonts w:cstheme="minorHAnsi"/>
        </w:rPr>
        <w:t xml:space="preserve"> verb (</w:t>
      </w:r>
      <w:r w:rsidR="00895883" w:rsidRPr="001F52A8">
        <w:rPr>
          <w:rFonts w:cstheme="minorHAnsi"/>
          <w:i/>
          <w:iCs/>
        </w:rPr>
        <w:t xml:space="preserve">ḥāram </w:t>
      </w:r>
      <w:r w:rsidR="00895883" w:rsidRPr="001F52A8">
        <w:rPr>
          <w:rFonts w:cstheme="minorHAnsi"/>
        </w:rPr>
        <w:t>hiphil)</w:t>
      </w:r>
      <w:r w:rsidR="00717169" w:rsidRPr="001F52A8">
        <w:rPr>
          <w:rFonts w:cstheme="minorHAnsi"/>
        </w:rPr>
        <w:t xml:space="preserve"> </w:t>
      </w:r>
      <w:r w:rsidR="0094305C" w:rsidRPr="001F52A8">
        <w:rPr>
          <w:rFonts w:cstheme="minorHAnsi"/>
        </w:rPr>
        <w:t>“destroy</w:t>
      </w:r>
      <w:r w:rsidR="00E26DBA">
        <w:rPr>
          <w:rFonts w:cstheme="minorHAnsi"/>
        </w:rPr>
        <w:t>,</w:t>
      </w:r>
      <w:r w:rsidR="0094305C" w:rsidRPr="001F52A8">
        <w:rPr>
          <w:rFonts w:cstheme="minorHAnsi"/>
        </w:rPr>
        <w:t xml:space="preserve">” </w:t>
      </w:r>
      <w:r w:rsidR="0060510E" w:rsidRPr="001F52A8">
        <w:rPr>
          <w:rFonts w:cstheme="minorHAnsi"/>
        </w:rPr>
        <w:t>but in its expansive rendering</w:t>
      </w:r>
      <w:r w:rsidR="00E26DBA">
        <w:rPr>
          <w:rFonts w:cstheme="minorHAnsi"/>
        </w:rPr>
        <w:t xml:space="preserve"> LXX</w:t>
      </w:r>
      <w:r w:rsidR="0060510E" w:rsidRPr="001F52A8">
        <w:rPr>
          <w:rFonts w:cstheme="minorHAnsi"/>
        </w:rPr>
        <w:t xml:space="preserve"> adds “</w:t>
      </w:r>
      <w:r w:rsidR="00053849" w:rsidRPr="001F52A8">
        <w:rPr>
          <w:rFonts w:cstheme="minorHAnsi"/>
        </w:rPr>
        <w:t xml:space="preserve">anathematize,” which </w:t>
      </w:r>
      <w:r w:rsidR="00436B17" w:rsidRPr="001F52A8">
        <w:rPr>
          <w:rFonts w:cstheme="minorHAnsi"/>
        </w:rPr>
        <w:t xml:space="preserve">gets </w:t>
      </w:r>
      <w:r w:rsidR="00053849" w:rsidRPr="001F52A8">
        <w:rPr>
          <w:rFonts w:cstheme="minorHAnsi"/>
        </w:rPr>
        <w:t>nearer the verb’s distinctive meaning.</w:t>
      </w:r>
      <w:r w:rsidR="009C2119" w:rsidRPr="001F52A8">
        <w:rPr>
          <w:rFonts w:cstheme="minorHAnsi"/>
        </w:rPr>
        <w:t xml:space="preserve"> In its first occurrences in the Torah</w:t>
      </w:r>
      <w:r w:rsidR="001E187D" w:rsidRPr="001F52A8">
        <w:rPr>
          <w:rFonts w:cstheme="minorHAnsi"/>
        </w:rPr>
        <w:t xml:space="preserve">, the </w:t>
      </w:r>
      <w:r w:rsidR="00613DAC" w:rsidRPr="001F52A8">
        <w:rPr>
          <w:rFonts w:cstheme="minorHAnsi"/>
        </w:rPr>
        <w:t xml:space="preserve">verb and the </w:t>
      </w:r>
      <w:r w:rsidR="00DC1486" w:rsidRPr="001F52A8">
        <w:rPr>
          <w:rFonts w:cstheme="minorHAnsi"/>
        </w:rPr>
        <w:t xml:space="preserve">related </w:t>
      </w:r>
      <w:r w:rsidR="001E187D" w:rsidRPr="001F52A8">
        <w:rPr>
          <w:rFonts w:cstheme="minorHAnsi"/>
        </w:rPr>
        <w:t xml:space="preserve">noun </w:t>
      </w:r>
      <w:r w:rsidR="00DC1486" w:rsidRPr="001F52A8">
        <w:rPr>
          <w:rFonts w:cstheme="minorHAnsi"/>
        </w:rPr>
        <w:t>(</w:t>
      </w:r>
      <w:r w:rsidR="00DC1486" w:rsidRPr="001F52A8">
        <w:rPr>
          <w:rFonts w:cstheme="minorHAnsi"/>
          <w:i/>
          <w:iCs/>
        </w:rPr>
        <w:t>ḥērem</w:t>
      </w:r>
      <w:r w:rsidR="00DC1486" w:rsidRPr="001F52A8">
        <w:rPr>
          <w:rFonts w:cstheme="minorHAnsi"/>
        </w:rPr>
        <w:t>,</w:t>
      </w:r>
      <w:r w:rsidR="009C2119" w:rsidRPr="001F52A8">
        <w:rPr>
          <w:rFonts w:cstheme="minorHAnsi"/>
        </w:rPr>
        <w:t xml:space="preserve"> </w:t>
      </w:r>
      <w:r w:rsidR="00F646B9" w:rsidRPr="001F52A8">
        <w:rPr>
          <w:rFonts w:cstheme="minorHAnsi"/>
        </w:rPr>
        <w:t>Lev 27:</w:t>
      </w:r>
      <w:r w:rsidR="00526117" w:rsidRPr="001F52A8">
        <w:rPr>
          <w:rFonts w:cstheme="minorHAnsi"/>
        </w:rPr>
        <w:t>21-</w:t>
      </w:r>
      <w:r w:rsidR="00613DAC" w:rsidRPr="001F52A8">
        <w:rPr>
          <w:rFonts w:cstheme="minorHAnsi"/>
        </w:rPr>
        <w:t xml:space="preserve">28) </w:t>
      </w:r>
      <w:r w:rsidR="00CA0ED6" w:rsidRPr="001F52A8">
        <w:rPr>
          <w:rFonts w:cstheme="minorHAnsi"/>
        </w:rPr>
        <w:t>simpl</w:t>
      </w:r>
      <w:r w:rsidR="004029D1" w:rsidRPr="001F52A8">
        <w:rPr>
          <w:rFonts w:cstheme="minorHAnsi"/>
        </w:rPr>
        <w:t>y</w:t>
      </w:r>
      <w:r w:rsidR="00CA0ED6" w:rsidRPr="001F52A8">
        <w:rPr>
          <w:rFonts w:cstheme="minorHAnsi"/>
        </w:rPr>
        <w:t xml:space="preserve"> mean </w:t>
      </w:r>
      <w:r w:rsidR="00477866" w:rsidRPr="001F52A8">
        <w:rPr>
          <w:rFonts w:cstheme="minorHAnsi"/>
        </w:rPr>
        <w:t>giving</w:t>
      </w:r>
      <w:r w:rsidR="00265DDB" w:rsidRPr="001F52A8">
        <w:rPr>
          <w:rFonts w:cstheme="minorHAnsi"/>
        </w:rPr>
        <w:t xml:space="preserve"> </w:t>
      </w:r>
      <w:r w:rsidR="00477866" w:rsidRPr="001F52A8">
        <w:rPr>
          <w:rFonts w:cstheme="minorHAnsi"/>
        </w:rPr>
        <w:t>something to Yahweh in</w:t>
      </w:r>
      <w:r w:rsidR="00613DAC" w:rsidRPr="001F52A8">
        <w:rPr>
          <w:rFonts w:cstheme="minorHAnsi"/>
        </w:rPr>
        <w:t xml:space="preserve"> irrevoca</w:t>
      </w:r>
      <w:r w:rsidR="00477866" w:rsidRPr="001F52A8">
        <w:rPr>
          <w:rFonts w:cstheme="minorHAnsi"/>
        </w:rPr>
        <w:t>ble fashion</w:t>
      </w:r>
      <w:r w:rsidR="006E51E3" w:rsidRPr="001F52A8">
        <w:rPr>
          <w:rFonts w:cstheme="minorHAnsi"/>
        </w:rPr>
        <w:t>.</w:t>
      </w:r>
      <w:r w:rsidR="00850251" w:rsidRPr="001F52A8">
        <w:rPr>
          <w:rFonts w:cstheme="minorHAnsi"/>
        </w:rPr>
        <w:t xml:space="preserve"> Kill</w:t>
      </w:r>
      <w:r w:rsidR="00F871F1" w:rsidRPr="001F52A8">
        <w:rPr>
          <w:rFonts w:cstheme="minorHAnsi"/>
        </w:rPr>
        <w:t xml:space="preserve">ing is neither essential to </w:t>
      </w:r>
      <w:r w:rsidR="00FE025B" w:rsidRPr="001F52A8">
        <w:rPr>
          <w:rFonts w:cstheme="minorHAnsi"/>
        </w:rPr>
        <w:t xml:space="preserve">“devoting” nor does it get to the </w:t>
      </w:r>
      <w:r w:rsidR="00402994">
        <w:rPr>
          <w:rFonts w:cstheme="minorHAnsi"/>
        </w:rPr>
        <w:t xml:space="preserve">idea’s </w:t>
      </w:r>
      <w:r w:rsidR="00FE025B" w:rsidRPr="001F52A8">
        <w:rPr>
          <w:rFonts w:cstheme="minorHAnsi"/>
        </w:rPr>
        <w:t>essence</w:t>
      </w:r>
      <w:r w:rsidR="00B8188A" w:rsidRPr="001F52A8">
        <w:rPr>
          <w:rFonts w:cstheme="minorHAnsi"/>
        </w:rPr>
        <w:t xml:space="preserve">, though </w:t>
      </w:r>
      <w:r w:rsidR="00EA50F4">
        <w:rPr>
          <w:rFonts w:cstheme="minorHAnsi"/>
        </w:rPr>
        <w:t>most</w:t>
      </w:r>
      <w:r w:rsidR="00B8188A" w:rsidRPr="001F52A8">
        <w:rPr>
          <w:rFonts w:cstheme="minorHAnsi"/>
        </w:rPr>
        <w:t xml:space="preserve"> </w:t>
      </w:r>
      <w:r w:rsidR="003373A5" w:rsidRPr="001F52A8">
        <w:rPr>
          <w:rFonts w:cstheme="minorHAnsi"/>
        </w:rPr>
        <w:t xml:space="preserve">First Testament </w:t>
      </w:r>
      <w:r w:rsidR="00B8188A" w:rsidRPr="001F52A8">
        <w:rPr>
          <w:rFonts w:cstheme="minorHAnsi"/>
        </w:rPr>
        <w:t xml:space="preserve">references </w:t>
      </w:r>
      <w:r w:rsidR="00904665" w:rsidRPr="001F52A8">
        <w:rPr>
          <w:rFonts w:cstheme="minorHAnsi"/>
        </w:rPr>
        <w:t>do refer to killing</w:t>
      </w:r>
      <w:r w:rsidR="00FE06E2" w:rsidRPr="001F52A8">
        <w:rPr>
          <w:rFonts w:cstheme="minorHAnsi"/>
        </w:rPr>
        <w:t>, like references elsewhere</w:t>
      </w:r>
      <w:r w:rsidR="00140712" w:rsidRPr="001F52A8">
        <w:rPr>
          <w:rFonts w:cstheme="minorHAnsi"/>
        </w:rPr>
        <w:t xml:space="preserve">. </w:t>
      </w:r>
      <w:r w:rsidR="003373A5">
        <w:rPr>
          <w:rFonts w:cstheme="minorHAnsi"/>
        </w:rPr>
        <w:t>T</w:t>
      </w:r>
      <w:r w:rsidR="00FE06E2" w:rsidRPr="001F52A8">
        <w:rPr>
          <w:rFonts w:cstheme="minorHAnsi"/>
        </w:rPr>
        <w:t>he</w:t>
      </w:r>
      <w:r w:rsidR="00140712" w:rsidRPr="001F52A8">
        <w:rPr>
          <w:rFonts w:cstheme="minorHAnsi"/>
        </w:rPr>
        <w:t xml:space="preserve"> </w:t>
      </w:r>
      <w:r w:rsidR="00FE06E2" w:rsidRPr="001F52A8">
        <w:rPr>
          <w:rFonts w:cstheme="minorHAnsi"/>
        </w:rPr>
        <w:t>inscription</w:t>
      </w:r>
      <w:r w:rsidR="005B6FFD" w:rsidRPr="001F52A8">
        <w:rPr>
          <w:rFonts w:cstheme="minorHAnsi"/>
        </w:rPr>
        <w:t xml:space="preserve"> commissioned by Mesha the king of Moab to commemorate a victory over Israel</w:t>
      </w:r>
      <w:r w:rsidR="00140712" w:rsidRPr="001F52A8">
        <w:rPr>
          <w:rFonts w:cstheme="minorHAnsi"/>
        </w:rPr>
        <w:t xml:space="preserve"> a couple of centuries later refers to devoting </w:t>
      </w:r>
      <w:r w:rsidR="008A2E55">
        <w:rPr>
          <w:rFonts w:cstheme="minorHAnsi"/>
        </w:rPr>
        <w:t>people</w:t>
      </w:r>
      <w:r w:rsidR="00B5261F" w:rsidRPr="001F52A8">
        <w:rPr>
          <w:rFonts w:cstheme="minorHAnsi"/>
        </w:rPr>
        <w:t xml:space="preserve"> to </w:t>
      </w:r>
      <w:r w:rsidR="003F2C81" w:rsidRPr="001F52A8">
        <w:rPr>
          <w:rFonts w:cstheme="minorHAnsi"/>
        </w:rPr>
        <w:t>his god</w:t>
      </w:r>
      <w:r w:rsidR="00B5261F" w:rsidRPr="001F52A8">
        <w:rPr>
          <w:rFonts w:cstheme="minorHAnsi"/>
        </w:rPr>
        <w:t xml:space="preserve"> in this way</w:t>
      </w:r>
      <w:r w:rsidR="00904665" w:rsidRPr="001F52A8">
        <w:rPr>
          <w:rFonts w:cstheme="minorHAnsi"/>
        </w:rPr>
        <w:t>.</w:t>
      </w:r>
      <w:r w:rsidR="002F0089" w:rsidRPr="001F52A8">
        <w:rPr>
          <w:rStyle w:val="FootnoteReference"/>
          <w:rFonts w:cstheme="minorHAnsi"/>
        </w:rPr>
        <w:footnoteReference w:id="156"/>
      </w:r>
      <w:r w:rsidR="00904665" w:rsidRPr="001F52A8">
        <w:rPr>
          <w:rFonts w:cstheme="minorHAnsi"/>
        </w:rPr>
        <w:t xml:space="preserve"> </w:t>
      </w:r>
      <w:r w:rsidR="00AB6FD5" w:rsidRPr="001F52A8">
        <w:rPr>
          <w:rFonts w:cstheme="minorHAnsi"/>
        </w:rPr>
        <w:t>One significance of</w:t>
      </w:r>
      <w:r w:rsidR="00B264E6" w:rsidRPr="001F52A8">
        <w:rPr>
          <w:rFonts w:cstheme="minorHAnsi"/>
        </w:rPr>
        <w:t xml:space="preserve"> </w:t>
      </w:r>
      <w:r w:rsidR="00AB6FD5" w:rsidRPr="001F52A8">
        <w:rPr>
          <w:rFonts w:cstheme="minorHAnsi"/>
        </w:rPr>
        <w:t>such</w:t>
      </w:r>
      <w:r w:rsidR="003E4D1E" w:rsidRPr="001F52A8">
        <w:rPr>
          <w:rFonts w:cstheme="minorHAnsi"/>
        </w:rPr>
        <w:t xml:space="preserve"> </w:t>
      </w:r>
      <w:r w:rsidR="00B264E6" w:rsidRPr="001F52A8">
        <w:rPr>
          <w:rFonts w:cstheme="minorHAnsi"/>
        </w:rPr>
        <w:t xml:space="preserve">killing </w:t>
      </w:r>
      <w:r w:rsidR="003E4D1E" w:rsidRPr="001F52A8">
        <w:rPr>
          <w:rFonts w:cstheme="minorHAnsi"/>
        </w:rPr>
        <w:t>i</w:t>
      </w:r>
      <w:r w:rsidR="00B264E6" w:rsidRPr="001F52A8">
        <w:rPr>
          <w:rFonts w:cstheme="minorHAnsi"/>
        </w:rPr>
        <w:t xml:space="preserve">s that the killers gain nothing from their action. </w:t>
      </w:r>
    </w:p>
    <w:p w14:paraId="29A1034D" w14:textId="2C52F393" w:rsidR="008E4826" w:rsidRPr="001F52A8" w:rsidRDefault="00291924" w:rsidP="00AE657D">
      <w:pPr>
        <w:rPr>
          <w:rFonts w:cstheme="minorHAnsi"/>
        </w:rPr>
      </w:pPr>
      <w:r w:rsidRPr="001F52A8">
        <w:rPr>
          <w:rFonts w:cstheme="minorHAnsi"/>
        </w:rPr>
        <w:lastRenderedPageBreak/>
        <w:t>T</w:t>
      </w:r>
      <w:r w:rsidR="00985A96" w:rsidRPr="001F52A8">
        <w:rPr>
          <w:rFonts w:cstheme="minorHAnsi"/>
        </w:rPr>
        <w:t>h</w:t>
      </w:r>
      <w:r w:rsidRPr="001F52A8">
        <w:rPr>
          <w:rFonts w:cstheme="minorHAnsi"/>
        </w:rPr>
        <w:t>e</w:t>
      </w:r>
      <w:r w:rsidR="00985A96" w:rsidRPr="001F52A8">
        <w:rPr>
          <w:rFonts w:cstheme="minorHAnsi"/>
        </w:rPr>
        <w:t xml:space="preserve"> story gives no indication </w:t>
      </w:r>
      <w:r w:rsidR="00EC273C" w:rsidRPr="001F52A8">
        <w:rPr>
          <w:rFonts w:cstheme="minorHAnsi"/>
        </w:rPr>
        <w:t>that Israel is seeking redress for the attack two or three centuries previously</w:t>
      </w:r>
      <w:r w:rsidR="00EF0C3F" w:rsidRPr="001F52A8">
        <w:rPr>
          <w:rFonts w:cstheme="minorHAnsi"/>
        </w:rPr>
        <w:t>,</w:t>
      </w:r>
      <w:r w:rsidR="00EC273C" w:rsidRPr="001F52A8">
        <w:rPr>
          <w:rFonts w:cstheme="minorHAnsi"/>
        </w:rPr>
        <w:t xml:space="preserve"> in which Israel in any case won a victory. </w:t>
      </w:r>
      <w:r w:rsidR="00633834" w:rsidRPr="001F52A8">
        <w:rPr>
          <w:rFonts w:cstheme="minorHAnsi"/>
        </w:rPr>
        <w:t xml:space="preserve">Nor does it indicate </w:t>
      </w:r>
      <w:r w:rsidR="00985A96" w:rsidRPr="001F52A8">
        <w:rPr>
          <w:rFonts w:cstheme="minorHAnsi"/>
        </w:rPr>
        <w:t xml:space="preserve">that </w:t>
      </w:r>
      <w:r w:rsidR="007C5D64">
        <w:rPr>
          <w:rFonts w:cstheme="minorHAnsi"/>
        </w:rPr>
        <w:t xml:space="preserve">the </w:t>
      </w:r>
      <w:r w:rsidR="00985A96" w:rsidRPr="001F52A8">
        <w:rPr>
          <w:rFonts w:cstheme="minorHAnsi"/>
        </w:rPr>
        <w:t>Amalek</w:t>
      </w:r>
      <w:r w:rsidR="007C5D64">
        <w:rPr>
          <w:rFonts w:cstheme="minorHAnsi"/>
        </w:rPr>
        <w:t>ites, who live far away in the Negeb,</w:t>
      </w:r>
      <w:r w:rsidR="00985A96" w:rsidRPr="001F52A8">
        <w:rPr>
          <w:rFonts w:cstheme="minorHAnsi"/>
        </w:rPr>
        <w:t xml:space="preserve"> </w:t>
      </w:r>
      <w:r w:rsidR="007C5D64">
        <w:rPr>
          <w:rFonts w:cstheme="minorHAnsi"/>
        </w:rPr>
        <w:t>are</w:t>
      </w:r>
      <w:r w:rsidR="00985A96" w:rsidRPr="001F52A8">
        <w:rPr>
          <w:rFonts w:cstheme="minorHAnsi"/>
        </w:rPr>
        <w:t xml:space="preserve"> a problem to Israel</w:t>
      </w:r>
      <w:r w:rsidR="003210A9" w:rsidRPr="001F52A8">
        <w:rPr>
          <w:rFonts w:cstheme="minorHAnsi"/>
        </w:rPr>
        <w:t xml:space="preserve"> </w:t>
      </w:r>
      <w:r w:rsidR="00ED068C" w:rsidRPr="001F52A8">
        <w:rPr>
          <w:rFonts w:cstheme="minorHAnsi"/>
        </w:rPr>
        <w:t xml:space="preserve">at the moment. </w:t>
      </w:r>
      <w:r w:rsidR="00985A96" w:rsidRPr="001F52A8">
        <w:rPr>
          <w:rFonts w:cstheme="minorHAnsi"/>
        </w:rPr>
        <w:t xml:space="preserve">Saul is to undertake the action </w:t>
      </w:r>
      <w:r w:rsidR="00EB3BB8" w:rsidRPr="001F52A8">
        <w:rPr>
          <w:rFonts w:cstheme="minorHAnsi"/>
        </w:rPr>
        <w:t xml:space="preserve">because Samuel says </w:t>
      </w:r>
      <w:r w:rsidR="00DE4E9A">
        <w:rPr>
          <w:rFonts w:cstheme="minorHAnsi"/>
        </w:rPr>
        <w:t xml:space="preserve">that Yahweh says </w:t>
      </w:r>
      <w:r w:rsidR="00EB3BB8" w:rsidRPr="001F52A8">
        <w:rPr>
          <w:rFonts w:cstheme="minorHAnsi"/>
        </w:rPr>
        <w:t>so</w:t>
      </w:r>
      <w:r w:rsidR="00BB5F87" w:rsidRPr="001F52A8">
        <w:rPr>
          <w:rFonts w:cstheme="minorHAnsi"/>
        </w:rPr>
        <w:t xml:space="preserve">: </w:t>
      </w:r>
      <w:r w:rsidR="00B8118F" w:rsidRPr="001F52A8">
        <w:rPr>
          <w:rFonts w:cstheme="minorHAnsi"/>
        </w:rPr>
        <w:t>“I am the one Yahweh sent</w:t>
      </w:r>
      <w:r w:rsidR="00AE5BA2" w:rsidRPr="001F52A8">
        <w:rPr>
          <w:rFonts w:cstheme="minorHAnsi"/>
        </w:rPr>
        <w:t xml:space="preserve"> to anoint you as king over his people</w:t>
      </w:r>
      <w:r w:rsidR="007928A2" w:rsidRPr="001F52A8">
        <w:rPr>
          <w:rFonts w:cstheme="minorHAnsi"/>
        </w:rPr>
        <w:t xml:space="preserve">, over Israel: </w:t>
      </w:r>
      <w:r w:rsidR="00024796" w:rsidRPr="001F52A8">
        <w:rPr>
          <w:rFonts w:cstheme="minorHAnsi"/>
        </w:rPr>
        <w:t xml:space="preserve">so </w:t>
      </w:r>
      <w:r w:rsidR="007928A2" w:rsidRPr="001F52A8">
        <w:rPr>
          <w:rFonts w:cstheme="minorHAnsi"/>
        </w:rPr>
        <w:t>now liste</w:t>
      </w:r>
      <w:r w:rsidR="00024796" w:rsidRPr="001F52A8">
        <w:rPr>
          <w:rFonts w:cstheme="minorHAnsi"/>
        </w:rPr>
        <w:t xml:space="preserve">n to the </w:t>
      </w:r>
      <w:r w:rsidR="00DD1FFC" w:rsidRPr="001F52A8">
        <w:rPr>
          <w:rFonts w:cstheme="minorHAnsi"/>
        </w:rPr>
        <w:t>sound of Yahweh’s words” (15:1)</w:t>
      </w:r>
      <w:r w:rsidR="004B4A38" w:rsidRPr="001F52A8">
        <w:rPr>
          <w:rFonts w:cstheme="minorHAnsi"/>
        </w:rPr>
        <w:t>.</w:t>
      </w:r>
      <w:r w:rsidR="009B1375" w:rsidRPr="001F52A8">
        <w:rPr>
          <w:rFonts w:cstheme="minorHAnsi"/>
        </w:rPr>
        <w:t xml:space="preserve"> </w:t>
      </w:r>
      <w:r w:rsidR="00EB0604" w:rsidRPr="001F52A8">
        <w:rPr>
          <w:rFonts w:cstheme="minorHAnsi"/>
        </w:rPr>
        <w:t>Saul</w:t>
      </w:r>
      <w:r w:rsidR="00C83E01" w:rsidRPr="001F52A8">
        <w:rPr>
          <w:rFonts w:cstheme="minorHAnsi"/>
        </w:rPr>
        <w:t xml:space="preserve"> d</w:t>
      </w:r>
      <w:r w:rsidR="00116CB6">
        <w:rPr>
          <w:rFonts w:cstheme="minorHAnsi"/>
        </w:rPr>
        <w:t>oes as he is told</w:t>
      </w:r>
      <w:r w:rsidR="00C83E01" w:rsidRPr="001F52A8">
        <w:rPr>
          <w:rFonts w:cstheme="minorHAnsi"/>
        </w:rPr>
        <w:t xml:space="preserve">, though sparing the Kenites </w:t>
      </w:r>
      <w:r w:rsidR="00AE686A" w:rsidRPr="001F52A8">
        <w:rPr>
          <w:rFonts w:cstheme="minorHAnsi"/>
        </w:rPr>
        <w:t>who live among the Amale</w:t>
      </w:r>
      <w:r w:rsidR="00492878" w:rsidRPr="001F52A8">
        <w:rPr>
          <w:rFonts w:cstheme="minorHAnsi"/>
        </w:rPr>
        <w:t>kites</w:t>
      </w:r>
      <w:r w:rsidR="00767762" w:rsidRPr="001F52A8">
        <w:rPr>
          <w:rFonts w:cstheme="minorHAnsi"/>
        </w:rPr>
        <w:t xml:space="preserve"> but had shown commitment (</w:t>
      </w:r>
      <w:r w:rsidR="00767762" w:rsidRPr="001F52A8">
        <w:rPr>
          <w:rFonts w:cstheme="minorHAnsi"/>
          <w:i/>
          <w:iCs/>
        </w:rPr>
        <w:t>ḥesed</w:t>
      </w:r>
      <w:r w:rsidR="00A7230F" w:rsidRPr="001F52A8">
        <w:rPr>
          <w:rFonts w:cstheme="minorHAnsi"/>
        </w:rPr>
        <w:t xml:space="preserve">) to the Israelites when they </w:t>
      </w:r>
      <w:r w:rsidR="00041DD3" w:rsidRPr="001F52A8">
        <w:rPr>
          <w:rFonts w:cstheme="minorHAnsi"/>
        </w:rPr>
        <w:t>left Egypt</w:t>
      </w:r>
      <w:r w:rsidR="0092381B" w:rsidRPr="001F52A8">
        <w:rPr>
          <w:rFonts w:cstheme="minorHAnsi"/>
        </w:rPr>
        <w:t xml:space="preserve"> (Judg 1:16 is the nearest we have to a </w:t>
      </w:r>
      <w:r w:rsidR="00863486" w:rsidRPr="001F52A8">
        <w:rPr>
          <w:rFonts w:cstheme="minorHAnsi"/>
        </w:rPr>
        <w:t xml:space="preserve">clarification </w:t>
      </w:r>
      <w:r w:rsidR="0092381B" w:rsidRPr="001F52A8">
        <w:rPr>
          <w:rFonts w:cstheme="minorHAnsi"/>
        </w:rPr>
        <w:t>of that reference)</w:t>
      </w:r>
      <w:r w:rsidR="00863486" w:rsidRPr="001F52A8">
        <w:rPr>
          <w:rFonts w:cstheme="minorHAnsi"/>
        </w:rPr>
        <w:t>. He</w:t>
      </w:r>
      <w:r w:rsidR="00492878" w:rsidRPr="001F52A8">
        <w:rPr>
          <w:rFonts w:cstheme="minorHAnsi"/>
        </w:rPr>
        <w:t xml:space="preserve"> also spar</w:t>
      </w:r>
      <w:r w:rsidR="00863486" w:rsidRPr="001F52A8">
        <w:rPr>
          <w:rFonts w:cstheme="minorHAnsi"/>
        </w:rPr>
        <w:t>es</w:t>
      </w:r>
      <w:r w:rsidR="00492878" w:rsidRPr="001F52A8">
        <w:rPr>
          <w:rFonts w:cstheme="minorHAnsi"/>
        </w:rPr>
        <w:t xml:space="preserve"> the Amalekite king and the best of the </w:t>
      </w:r>
      <w:r w:rsidR="00B61C52" w:rsidRPr="001F52A8">
        <w:rPr>
          <w:rFonts w:cstheme="minorHAnsi"/>
        </w:rPr>
        <w:t xml:space="preserve">domestic animals and other things of value. </w:t>
      </w:r>
    </w:p>
    <w:p w14:paraId="38808DE8" w14:textId="6317FDF1" w:rsidR="00C36A26" w:rsidRPr="001F52A8" w:rsidRDefault="00477B70" w:rsidP="00C36A26">
      <w:pPr>
        <w:rPr>
          <w:rFonts w:cstheme="minorHAnsi"/>
        </w:rPr>
      </w:pPr>
      <w:r w:rsidRPr="001F52A8">
        <w:rPr>
          <w:rFonts w:cstheme="minorHAnsi"/>
        </w:rPr>
        <w:t>“Devoti</w:t>
      </w:r>
      <w:r w:rsidR="0038464A">
        <w:rPr>
          <w:rFonts w:cstheme="minorHAnsi"/>
        </w:rPr>
        <w:t>ng</w:t>
      </w:r>
      <w:r w:rsidRPr="001F52A8">
        <w:rPr>
          <w:rFonts w:cstheme="minorHAnsi"/>
        </w:rPr>
        <w:t xml:space="preserve">” </w:t>
      </w:r>
      <w:r w:rsidR="00251CCC" w:rsidRPr="001F52A8">
        <w:rPr>
          <w:rFonts w:cstheme="minorHAnsi"/>
        </w:rPr>
        <w:t xml:space="preserve">in the sense of killing </w:t>
      </w:r>
      <w:r w:rsidR="00477631" w:rsidRPr="001F52A8">
        <w:rPr>
          <w:rFonts w:cstheme="minorHAnsi"/>
        </w:rPr>
        <w:t xml:space="preserve">as a divine punishment </w:t>
      </w:r>
      <w:r w:rsidRPr="001F52A8">
        <w:rPr>
          <w:rFonts w:cstheme="minorHAnsi"/>
        </w:rPr>
        <w:t xml:space="preserve">raises </w:t>
      </w:r>
      <w:r w:rsidR="00BD6A33" w:rsidRPr="001F52A8">
        <w:rPr>
          <w:rFonts w:cstheme="minorHAnsi"/>
        </w:rPr>
        <w:t>a number of</w:t>
      </w:r>
      <w:r w:rsidRPr="001F52A8">
        <w:rPr>
          <w:rFonts w:cstheme="minorHAnsi"/>
        </w:rPr>
        <w:t xml:space="preserve"> questions.</w:t>
      </w:r>
      <w:r w:rsidR="00477631" w:rsidRPr="001F52A8">
        <w:rPr>
          <w:rFonts w:cstheme="minorHAnsi"/>
        </w:rPr>
        <w:t xml:space="preserve"> </w:t>
      </w:r>
      <w:r w:rsidR="00844331" w:rsidRPr="001F52A8">
        <w:rPr>
          <w:rFonts w:cstheme="minorHAnsi"/>
        </w:rPr>
        <w:t>Can it ever be right for Yahweh to kill</w:t>
      </w:r>
      <w:r w:rsidR="007B7BA4" w:rsidRPr="001F52A8">
        <w:rPr>
          <w:rFonts w:cstheme="minorHAnsi"/>
        </w:rPr>
        <w:t xml:space="preserve">? The Scriptures assume throughout that </w:t>
      </w:r>
      <w:r w:rsidR="00434C0E" w:rsidRPr="001F52A8">
        <w:rPr>
          <w:rFonts w:cstheme="minorHAnsi"/>
        </w:rPr>
        <w:t>it can be right.</w:t>
      </w:r>
      <w:r w:rsidR="00ED4F7B">
        <w:rPr>
          <w:rFonts w:cstheme="minorHAnsi"/>
        </w:rPr>
        <w:t xml:space="preserve"> </w:t>
      </w:r>
      <w:r w:rsidR="00343C22" w:rsidRPr="001F52A8">
        <w:rPr>
          <w:rFonts w:cstheme="minorHAnsi"/>
        </w:rPr>
        <w:t xml:space="preserve">Could it be right to kill this generation of Amalekites </w:t>
      </w:r>
      <w:r w:rsidR="003701D9" w:rsidRPr="001F52A8">
        <w:rPr>
          <w:rFonts w:cstheme="minorHAnsi"/>
        </w:rPr>
        <w:t>for something that their ancestors di</w:t>
      </w:r>
      <w:r w:rsidR="00884EC6" w:rsidRPr="001F52A8">
        <w:rPr>
          <w:rFonts w:cstheme="minorHAnsi"/>
        </w:rPr>
        <w:t>d</w:t>
      </w:r>
      <w:r w:rsidR="00A74F05" w:rsidRPr="001F52A8">
        <w:rPr>
          <w:rFonts w:cstheme="minorHAnsi"/>
        </w:rPr>
        <w:t xml:space="preserve">, </w:t>
      </w:r>
      <w:r w:rsidR="00884EC6" w:rsidRPr="001F52A8">
        <w:rPr>
          <w:rFonts w:cstheme="minorHAnsi"/>
        </w:rPr>
        <w:t>and to</w:t>
      </w:r>
      <w:r w:rsidR="008736BD" w:rsidRPr="001F52A8">
        <w:rPr>
          <w:rFonts w:cstheme="minorHAnsi"/>
        </w:rPr>
        <w:t xml:space="preserve"> include </w:t>
      </w:r>
      <w:r w:rsidR="00884EC6" w:rsidRPr="001F52A8">
        <w:rPr>
          <w:rFonts w:cstheme="minorHAnsi"/>
        </w:rPr>
        <w:t xml:space="preserve">their </w:t>
      </w:r>
      <w:r w:rsidR="008736BD" w:rsidRPr="001F52A8">
        <w:rPr>
          <w:rFonts w:cstheme="minorHAnsi"/>
        </w:rPr>
        <w:t xml:space="preserve">children and </w:t>
      </w:r>
      <w:r w:rsidR="00884EC6" w:rsidRPr="001F52A8">
        <w:rPr>
          <w:rFonts w:cstheme="minorHAnsi"/>
        </w:rPr>
        <w:t xml:space="preserve">their </w:t>
      </w:r>
      <w:r w:rsidR="008736BD" w:rsidRPr="001F52A8">
        <w:rPr>
          <w:rFonts w:cstheme="minorHAnsi"/>
        </w:rPr>
        <w:t>animals</w:t>
      </w:r>
      <w:r w:rsidR="00884EC6" w:rsidRPr="001F52A8">
        <w:rPr>
          <w:rFonts w:cstheme="minorHAnsi"/>
        </w:rPr>
        <w:t xml:space="preserve">? The </w:t>
      </w:r>
      <w:r w:rsidR="005E6C29" w:rsidRPr="001F52A8">
        <w:rPr>
          <w:rFonts w:cstheme="minorHAnsi"/>
        </w:rPr>
        <w:t xml:space="preserve">Scriptures assume that </w:t>
      </w:r>
      <w:r w:rsidR="00A74F05" w:rsidRPr="001F52A8">
        <w:rPr>
          <w:rFonts w:cstheme="minorHAnsi"/>
        </w:rPr>
        <w:t xml:space="preserve">one generation </w:t>
      </w:r>
      <w:r w:rsidR="009E419A" w:rsidRPr="001F52A8">
        <w:rPr>
          <w:rFonts w:cstheme="minorHAnsi"/>
        </w:rPr>
        <w:t>ar</w:t>
      </w:r>
      <w:r w:rsidR="00A74F05" w:rsidRPr="001F52A8">
        <w:rPr>
          <w:rFonts w:cstheme="minorHAnsi"/>
        </w:rPr>
        <w:t>e tied up for good or ill with pre</w:t>
      </w:r>
      <w:r w:rsidR="00B667E7" w:rsidRPr="001F52A8">
        <w:rPr>
          <w:rFonts w:cstheme="minorHAnsi"/>
        </w:rPr>
        <w:t xml:space="preserve">vious generations, and that </w:t>
      </w:r>
      <w:r w:rsidR="005E6C29" w:rsidRPr="001F52A8">
        <w:rPr>
          <w:rFonts w:cstheme="minorHAnsi"/>
        </w:rPr>
        <w:t>children are tied up for good or ill with the destiny of their parents</w:t>
      </w:r>
      <w:r w:rsidR="00312FAB">
        <w:rPr>
          <w:rFonts w:cstheme="minorHAnsi"/>
        </w:rPr>
        <w:t>;</w:t>
      </w:r>
      <w:r w:rsidR="00B667E7" w:rsidRPr="001F52A8">
        <w:rPr>
          <w:rFonts w:cstheme="minorHAnsi"/>
        </w:rPr>
        <w:t xml:space="preserve"> so are </w:t>
      </w:r>
      <w:r w:rsidR="006B7705" w:rsidRPr="001F52A8">
        <w:rPr>
          <w:rFonts w:cstheme="minorHAnsi"/>
        </w:rPr>
        <w:t xml:space="preserve">a family’s </w:t>
      </w:r>
      <w:r w:rsidR="00B667E7" w:rsidRPr="001F52A8">
        <w:rPr>
          <w:rFonts w:cstheme="minorHAnsi"/>
        </w:rPr>
        <w:t>animals.</w:t>
      </w:r>
      <w:r w:rsidR="006B7705" w:rsidRPr="001F52A8">
        <w:rPr>
          <w:rFonts w:cstheme="minorHAnsi"/>
        </w:rPr>
        <w:t xml:space="preserve"> Can it be right </w:t>
      </w:r>
      <w:r w:rsidR="00AC7A08" w:rsidRPr="001F52A8">
        <w:rPr>
          <w:rFonts w:cstheme="minorHAnsi"/>
        </w:rPr>
        <w:t xml:space="preserve">for Yahweh to use Israel as his agents in </w:t>
      </w:r>
      <w:r w:rsidR="00200562" w:rsidRPr="001F52A8">
        <w:rPr>
          <w:rFonts w:cstheme="minorHAnsi"/>
        </w:rPr>
        <w:t xml:space="preserve">punishing other human beings? The Scriptures assume that it </w:t>
      </w:r>
      <w:r w:rsidR="00053C13" w:rsidRPr="001F52A8">
        <w:rPr>
          <w:rFonts w:cstheme="minorHAnsi"/>
        </w:rPr>
        <w:t>can be</w:t>
      </w:r>
      <w:r w:rsidR="00200562" w:rsidRPr="001F52A8">
        <w:rPr>
          <w:rFonts w:cstheme="minorHAnsi"/>
        </w:rPr>
        <w:t xml:space="preserve">. </w:t>
      </w:r>
      <w:r w:rsidR="00353DFE" w:rsidRPr="001F52A8">
        <w:rPr>
          <w:rFonts w:cstheme="minorHAnsi"/>
        </w:rPr>
        <w:t>Isn’t this belief dangerously open to misappropriation by other peoples</w:t>
      </w:r>
      <w:r w:rsidR="00E74EDA" w:rsidRPr="001F52A8">
        <w:rPr>
          <w:rFonts w:cstheme="minorHAnsi"/>
        </w:rPr>
        <w:t>? Yes</w:t>
      </w:r>
      <w:r w:rsidR="005171D3" w:rsidRPr="001F52A8">
        <w:rPr>
          <w:rFonts w:cstheme="minorHAnsi"/>
        </w:rPr>
        <w:t>, but then most things in the Scriptures are</w:t>
      </w:r>
      <w:r w:rsidR="00CC52CF" w:rsidRPr="001F52A8">
        <w:rPr>
          <w:rFonts w:cstheme="minorHAnsi"/>
        </w:rPr>
        <w:t>, a</w:t>
      </w:r>
      <w:r w:rsidR="00406E38" w:rsidRPr="001F52A8">
        <w:rPr>
          <w:rFonts w:cstheme="minorHAnsi"/>
        </w:rPr>
        <w:t xml:space="preserve">nd the danger is maybe </w:t>
      </w:r>
      <w:r w:rsidR="00CB2716" w:rsidRPr="001F52A8">
        <w:rPr>
          <w:rFonts w:cstheme="minorHAnsi"/>
        </w:rPr>
        <w:t>no greater than converse ideas such as that God doesn’t punish people for their wrongdoing or that our children and our animals don’t suffer through our wrongdoing</w:t>
      </w:r>
      <w:r w:rsidR="00F53528" w:rsidRPr="001F52A8">
        <w:rPr>
          <w:rFonts w:cstheme="minorHAnsi"/>
        </w:rPr>
        <w:t>.</w:t>
      </w:r>
      <w:r w:rsidR="00862378" w:rsidRPr="001F52A8">
        <w:rPr>
          <w:rFonts w:cstheme="minorHAnsi"/>
        </w:rPr>
        <w:t xml:space="preserve"> </w:t>
      </w:r>
      <w:r w:rsidR="00E22718" w:rsidRPr="001F52A8">
        <w:rPr>
          <w:rFonts w:cstheme="minorHAnsi"/>
        </w:rPr>
        <w:t xml:space="preserve">Like moving from “is” to “ought,” </w:t>
      </w:r>
      <w:r w:rsidR="002D023F" w:rsidRPr="001F52A8">
        <w:rPr>
          <w:rFonts w:cstheme="minorHAnsi"/>
        </w:rPr>
        <w:t>it is trick</w:t>
      </w:r>
      <w:r w:rsidR="00D001DE" w:rsidRPr="001F52A8">
        <w:rPr>
          <w:rFonts w:cstheme="minorHAnsi"/>
        </w:rPr>
        <w:t>y</w:t>
      </w:r>
      <w:r w:rsidR="002D023F" w:rsidRPr="001F52A8">
        <w:rPr>
          <w:rFonts w:cstheme="minorHAnsi"/>
        </w:rPr>
        <w:t xml:space="preserve"> to move</w:t>
      </w:r>
      <w:r w:rsidR="00E22718" w:rsidRPr="001F52A8">
        <w:rPr>
          <w:rFonts w:cstheme="minorHAnsi"/>
        </w:rPr>
        <w:t xml:space="preserve"> from “</w:t>
      </w:r>
      <w:r w:rsidR="0088265B" w:rsidRPr="001F52A8">
        <w:rPr>
          <w:rFonts w:cstheme="minorHAnsi"/>
        </w:rPr>
        <w:t xml:space="preserve">God told them to do it” </w:t>
      </w:r>
      <w:r w:rsidR="00D001DE" w:rsidRPr="001F52A8">
        <w:rPr>
          <w:rFonts w:cstheme="minorHAnsi"/>
        </w:rPr>
        <w:t xml:space="preserve">or “God once did a certain thing” </w:t>
      </w:r>
      <w:r w:rsidR="0088265B" w:rsidRPr="001F52A8">
        <w:rPr>
          <w:rFonts w:cstheme="minorHAnsi"/>
        </w:rPr>
        <w:t xml:space="preserve">to “God is telling you </w:t>
      </w:r>
      <w:r w:rsidR="00B83152" w:rsidRPr="001F52A8">
        <w:rPr>
          <w:rFonts w:cstheme="minorHAnsi"/>
        </w:rPr>
        <w:t xml:space="preserve">to do it” </w:t>
      </w:r>
      <w:r w:rsidR="00D001DE" w:rsidRPr="001F52A8">
        <w:rPr>
          <w:rFonts w:cstheme="minorHAnsi"/>
        </w:rPr>
        <w:t xml:space="preserve">or “God </w:t>
      </w:r>
      <w:r w:rsidR="00945E1C" w:rsidRPr="001F52A8">
        <w:rPr>
          <w:rFonts w:cstheme="minorHAnsi"/>
        </w:rPr>
        <w:t>regularly does this thing</w:t>
      </w:r>
      <w:r w:rsidR="00E86C40">
        <w:rPr>
          <w:rFonts w:cstheme="minorHAnsi"/>
        </w:rPr>
        <w:t>,</w:t>
      </w:r>
      <w:r w:rsidR="00945E1C" w:rsidRPr="001F52A8">
        <w:rPr>
          <w:rFonts w:cstheme="minorHAnsi"/>
        </w:rPr>
        <w:t xml:space="preserve">” </w:t>
      </w:r>
      <w:r w:rsidR="00E86C40">
        <w:rPr>
          <w:rFonts w:cstheme="minorHAnsi"/>
        </w:rPr>
        <w:t>as m</w:t>
      </w:r>
      <w:r w:rsidR="00B05430" w:rsidRPr="001F52A8">
        <w:rPr>
          <w:rFonts w:cstheme="minorHAnsi"/>
        </w:rPr>
        <w:t xml:space="preserve">aybe Israel knew well. </w:t>
      </w:r>
      <w:r w:rsidR="003A7241" w:rsidRPr="001F52A8">
        <w:rPr>
          <w:rFonts w:cstheme="minorHAnsi"/>
        </w:rPr>
        <w:t>As is the case with the analogous story of Abraham’s offering of Isaac (Gen 22)</w:t>
      </w:r>
      <w:r w:rsidR="00344614" w:rsidRPr="001F52A8">
        <w:rPr>
          <w:rFonts w:cstheme="minorHAnsi"/>
        </w:rPr>
        <w:t xml:space="preserve">, </w:t>
      </w:r>
      <w:r w:rsidR="00EB0116" w:rsidRPr="001F52A8">
        <w:rPr>
          <w:rFonts w:cstheme="minorHAnsi"/>
        </w:rPr>
        <w:t xml:space="preserve">Israel did not assume that Yahweh regularly </w:t>
      </w:r>
      <w:r w:rsidR="00813AED" w:rsidRPr="001F52A8">
        <w:rPr>
          <w:rFonts w:cstheme="minorHAnsi"/>
        </w:rPr>
        <w:t>issued this kind of command</w:t>
      </w:r>
      <w:r w:rsidR="00344614" w:rsidRPr="001F52A8">
        <w:rPr>
          <w:rFonts w:cstheme="minorHAnsi"/>
        </w:rPr>
        <w:t>, n</w:t>
      </w:r>
      <w:r w:rsidR="00C86C32" w:rsidRPr="001F52A8">
        <w:rPr>
          <w:rFonts w:cstheme="minorHAnsi"/>
        </w:rPr>
        <w:t xml:space="preserve">or </w:t>
      </w:r>
      <w:r w:rsidR="00344614" w:rsidRPr="001F52A8">
        <w:rPr>
          <w:rFonts w:cstheme="minorHAnsi"/>
        </w:rPr>
        <w:t xml:space="preserve">that he </w:t>
      </w:r>
      <w:r w:rsidR="00C86C32" w:rsidRPr="001F52A8">
        <w:rPr>
          <w:rFonts w:cstheme="minorHAnsi"/>
        </w:rPr>
        <w:t xml:space="preserve">generally related </w:t>
      </w:r>
      <w:r w:rsidR="003B0E54" w:rsidRPr="001F52A8">
        <w:rPr>
          <w:rFonts w:cstheme="minorHAnsi"/>
        </w:rPr>
        <w:t xml:space="preserve">in this way </w:t>
      </w:r>
      <w:r w:rsidR="00C86C32" w:rsidRPr="001F52A8">
        <w:rPr>
          <w:rFonts w:cstheme="minorHAnsi"/>
        </w:rPr>
        <w:t xml:space="preserve">to </w:t>
      </w:r>
      <w:r w:rsidR="003B0E54" w:rsidRPr="001F52A8">
        <w:rPr>
          <w:rFonts w:cstheme="minorHAnsi"/>
        </w:rPr>
        <w:t xml:space="preserve">other peoples in </w:t>
      </w:r>
      <w:r w:rsidR="00344614" w:rsidRPr="001F52A8">
        <w:rPr>
          <w:rFonts w:cstheme="minorHAnsi"/>
        </w:rPr>
        <w:t>its</w:t>
      </w:r>
      <w:r w:rsidR="003B0E54" w:rsidRPr="001F52A8">
        <w:rPr>
          <w:rFonts w:cstheme="minorHAnsi"/>
        </w:rPr>
        <w:t xml:space="preserve"> world</w:t>
      </w:r>
      <w:r w:rsidR="00813AED" w:rsidRPr="001F52A8">
        <w:rPr>
          <w:rFonts w:cstheme="minorHAnsi"/>
        </w:rPr>
        <w:t>.</w:t>
      </w:r>
      <w:r w:rsidR="00636B8E" w:rsidRPr="001F52A8">
        <w:rPr>
          <w:rStyle w:val="FootnoteReference"/>
          <w:rFonts w:cstheme="minorHAnsi"/>
        </w:rPr>
        <w:footnoteReference w:id="157"/>
      </w:r>
      <w:r w:rsidR="006C4FE1" w:rsidRPr="001F52A8">
        <w:rPr>
          <w:rFonts w:cstheme="minorHAnsi"/>
        </w:rPr>
        <w:t xml:space="preserve"> Indeed, </w:t>
      </w:r>
      <w:r w:rsidR="0079158B">
        <w:rPr>
          <w:rFonts w:cstheme="minorHAnsi"/>
        </w:rPr>
        <w:t xml:space="preserve">the First Testament refers to </w:t>
      </w:r>
      <w:r w:rsidR="00875D06" w:rsidRPr="001F52A8">
        <w:rPr>
          <w:rFonts w:cstheme="minorHAnsi"/>
        </w:rPr>
        <w:t>“devoting”</w:t>
      </w:r>
      <w:r w:rsidR="00332D2A">
        <w:rPr>
          <w:rFonts w:cstheme="minorHAnsi"/>
        </w:rPr>
        <w:t xml:space="preserve"> a</w:t>
      </w:r>
      <w:r w:rsidR="00963A48">
        <w:rPr>
          <w:rFonts w:cstheme="minorHAnsi"/>
        </w:rPr>
        <w:t>lmost entirely in connection with Israel’s arrival in Canaan.</w:t>
      </w:r>
      <w:r w:rsidR="00963A48">
        <w:rPr>
          <w:rStyle w:val="FootnoteReference"/>
          <w:rFonts w:cstheme="minorHAnsi"/>
        </w:rPr>
        <w:footnoteReference w:id="158"/>
      </w:r>
    </w:p>
    <w:p w14:paraId="44B0930F" w14:textId="3D8A8DDE" w:rsidR="00BE6A4C" w:rsidRPr="001F52A8" w:rsidRDefault="00423896" w:rsidP="00D53DE6">
      <w:pPr>
        <w:rPr>
          <w:rFonts w:cstheme="minorHAnsi"/>
        </w:rPr>
      </w:pPr>
      <w:r w:rsidRPr="001F52A8">
        <w:rPr>
          <w:rFonts w:cstheme="minorHAnsi"/>
        </w:rPr>
        <w:t xml:space="preserve">There is a difference between assumptions in this story and </w:t>
      </w:r>
      <w:r w:rsidR="005D2415" w:rsidRPr="001F52A8">
        <w:rPr>
          <w:rFonts w:cstheme="minorHAnsi"/>
        </w:rPr>
        <w:t>t</w:t>
      </w:r>
      <w:r w:rsidRPr="001F52A8">
        <w:rPr>
          <w:rFonts w:cstheme="minorHAnsi"/>
        </w:rPr>
        <w:t xml:space="preserve">eaching </w:t>
      </w:r>
      <w:r w:rsidR="005D2415" w:rsidRPr="001F52A8">
        <w:rPr>
          <w:rFonts w:cstheme="minorHAnsi"/>
        </w:rPr>
        <w:t xml:space="preserve">that </w:t>
      </w:r>
      <w:r w:rsidRPr="001F52A8">
        <w:rPr>
          <w:rFonts w:cstheme="minorHAnsi"/>
        </w:rPr>
        <w:t>Jesus will g</w:t>
      </w:r>
      <w:r w:rsidR="005D2415" w:rsidRPr="001F52A8">
        <w:rPr>
          <w:rFonts w:cstheme="minorHAnsi"/>
        </w:rPr>
        <w:t xml:space="preserve">ive, though the </w:t>
      </w:r>
      <w:r w:rsidR="009D19AA" w:rsidRPr="001F52A8">
        <w:rPr>
          <w:rFonts w:cstheme="minorHAnsi"/>
        </w:rPr>
        <w:t xml:space="preserve">difference needs stating carefully. It’s not that Jesus introduces the idea of loving </w:t>
      </w:r>
      <w:r w:rsidR="00876B69" w:rsidRPr="001F52A8">
        <w:rPr>
          <w:rFonts w:cstheme="minorHAnsi"/>
        </w:rPr>
        <w:t xml:space="preserve">and forgiving </w:t>
      </w:r>
      <w:r w:rsidR="009D19AA" w:rsidRPr="001F52A8">
        <w:rPr>
          <w:rFonts w:cstheme="minorHAnsi"/>
        </w:rPr>
        <w:t>enemies,</w:t>
      </w:r>
      <w:r w:rsidR="00876B69" w:rsidRPr="001F52A8">
        <w:rPr>
          <w:rStyle w:val="FootnoteReference"/>
          <w:rFonts w:ascii="Calibri" w:hAnsi="Calibri" w:cs="Calibri"/>
        </w:rPr>
        <w:footnoteReference w:id="159"/>
      </w:r>
      <w:r w:rsidR="009D19AA" w:rsidRPr="001F52A8">
        <w:rPr>
          <w:rFonts w:cstheme="minorHAnsi"/>
        </w:rPr>
        <w:t xml:space="preserve"> which is a principle implied </w:t>
      </w:r>
      <w:r w:rsidR="00876B69" w:rsidRPr="001F52A8">
        <w:rPr>
          <w:rFonts w:cstheme="minorHAnsi"/>
        </w:rPr>
        <w:t xml:space="preserve">elsewhere in </w:t>
      </w:r>
      <w:r w:rsidR="00E713F7" w:rsidRPr="001F52A8">
        <w:rPr>
          <w:rFonts w:cstheme="minorHAnsi"/>
        </w:rPr>
        <w:t xml:space="preserve">the First Testament and in </w:t>
      </w:r>
      <w:r w:rsidR="00876B69" w:rsidRPr="001F52A8">
        <w:rPr>
          <w:rFonts w:cstheme="minorHAnsi"/>
        </w:rPr>
        <w:t>Samuel</w:t>
      </w:r>
      <w:r w:rsidR="00E713F7" w:rsidRPr="001F52A8">
        <w:rPr>
          <w:rFonts w:cstheme="minorHAnsi"/>
        </w:rPr>
        <w:t xml:space="preserve"> itself</w:t>
      </w:r>
      <w:r w:rsidR="00C83E32" w:rsidRPr="001F52A8">
        <w:rPr>
          <w:rFonts w:cstheme="minorHAnsi"/>
        </w:rPr>
        <w:t xml:space="preserve">; indeed, we have noted that </w:t>
      </w:r>
      <w:r w:rsidR="00C32DC9" w:rsidRPr="001F52A8">
        <w:rPr>
          <w:rFonts w:cstheme="minorHAnsi"/>
        </w:rPr>
        <w:t xml:space="preserve">in Saul’s day </w:t>
      </w:r>
      <w:r w:rsidR="00C83E32" w:rsidRPr="001F52A8">
        <w:rPr>
          <w:rFonts w:cstheme="minorHAnsi"/>
        </w:rPr>
        <w:t>Amalek w</w:t>
      </w:r>
      <w:r w:rsidR="00145F3B">
        <w:rPr>
          <w:rFonts w:cstheme="minorHAnsi"/>
        </w:rPr>
        <w:t>as</w:t>
      </w:r>
      <w:r w:rsidR="00C83E32" w:rsidRPr="001F52A8">
        <w:rPr>
          <w:rFonts w:cstheme="minorHAnsi"/>
        </w:rPr>
        <w:t xml:space="preserve"> not Israel’s enemies</w:t>
      </w:r>
      <w:r w:rsidR="00C32DC9" w:rsidRPr="001F52A8">
        <w:rPr>
          <w:rFonts w:cstheme="minorHAnsi"/>
        </w:rPr>
        <w:t xml:space="preserve">. </w:t>
      </w:r>
      <w:r w:rsidR="00141946" w:rsidRPr="001F52A8">
        <w:rPr>
          <w:rFonts w:cstheme="minorHAnsi"/>
        </w:rPr>
        <w:t xml:space="preserve">And Jews </w:t>
      </w:r>
      <w:r w:rsidR="007B1B3F" w:rsidRPr="001F52A8">
        <w:rPr>
          <w:rFonts w:cstheme="minorHAnsi"/>
        </w:rPr>
        <w:t xml:space="preserve">feel as uneasy about the </w:t>
      </w:r>
      <w:r w:rsidR="004730DD" w:rsidRPr="001F52A8">
        <w:rPr>
          <w:rFonts w:cstheme="minorHAnsi"/>
        </w:rPr>
        <w:t>instruction to destroy Amalek as Christians do.</w:t>
      </w:r>
      <w:r w:rsidR="004730DD" w:rsidRPr="001F52A8">
        <w:rPr>
          <w:rStyle w:val="FootnoteReference"/>
          <w:rFonts w:cstheme="minorHAnsi"/>
        </w:rPr>
        <w:footnoteReference w:id="160"/>
      </w:r>
      <w:r w:rsidR="004730DD" w:rsidRPr="001F52A8">
        <w:rPr>
          <w:rFonts w:cstheme="minorHAnsi"/>
        </w:rPr>
        <w:t xml:space="preserve"> </w:t>
      </w:r>
      <w:r w:rsidR="00B44AD5" w:rsidRPr="001F52A8">
        <w:rPr>
          <w:rFonts w:cstheme="minorHAnsi"/>
        </w:rPr>
        <w:t>Conversely</w:t>
      </w:r>
      <w:r w:rsidR="00C32DC9" w:rsidRPr="001F52A8">
        <w:rPr>
          <w:rFonts w:cstheme="minorHAnsi"/>
        </w:rPr>
        <w:t>,</w:t>
      </w:r>
      <w:r w:rsidR="00B44AD5" w:rsidRPr="001F52A8">
        <w:rPr>
          <w:rFonts w:cstheme="minorHAnsi"/>
        </w:rPr>
        <w:t xml:space="preserve"> Jesus does</w:t>
      </w:r>
      <w:r w:rsidR="00913BC3" w:rsidRPr="001F52A8">
        <w:rPr>
          <w:rFonts w:cstheme="minorHAnsi"/>
        </w:rPr>
        <w:t xml:space="preserve"> </w:t>
      </w:r>
      <w:r w:rsidR="00C32DC9" w:rsidRPr="001F52A8">
        <w:rPr>
          <w:rFonts w:cstheme="minorHAnsi"/>
        </w:rPr>
        <w:t xml:space="preserve">affirm </w:t>
      </w:r>
      <w:r w:rsidR="006E7478" w:rsidRPr="001F52A8">
        <w:rPr>
          <w:rFonts w:cstheme="minorHAnsi"/>
        </w:rPr>
        <w:t xml:space="preserve">that </w:t>
      </w:r>
      <w:r w:rsidR="004148B7" w:rsidRPr="001F52A8">
        <w:rPr>
          <w:rFonts w:cstheme="minorHAnsi"/>
        </w:rPr>
        <w:t xml:space="preserve">judgment </w:t>
      </w:r>
      <w:r w:rsidR="006E7478" w:rsidRPr="001F52A8">
        <w:rPr>
          <w:rFonts w:cstheme="minorHAnsi"/>
        </w:rPr>
        <w:t xml:space="preserve">will come </w:t>
      </w:r>
      <w:r w:rsidR="004148B7" w:rsidRPr="001F52A8">
        <w:rPr>
          <w:rFonts w:cstheme="minorHAnsi"/>
        </w:rPr>
        <w:t>on nations</w:t>
      </w:r>
      <w:r w:rsidR="00FF6F07" w:rsidRPr="001F52A8">
        <w:rPr>
          <w:rFonts w:cstheme="minorHAnsi"/>
        </w:rPr>
        <w:t xml:space="preserve"> </w:t>
      </w:r>
      <w:r w:rsidR="002C6D4E" w:rsidRPr="001F52A8">
        <w:rPr>
          <w:rFonts w:cstheme="minorHAnsi"/>
        </w:rPr>
        <w:t>that neglect his family</w:t>
      </w:r>
      <w:r w:rsidR="004B010E" w:rsidRPr="001F52A8">
        <w:rPr>
          <w:rFonts w:cstheme="minorHAnsi"/>
        </w:rPr>
        <w:t xml:space="preserve"> (notably, </w:t>
      </w:r>
      <w:r w:rsidR="006E7478" w:rsidRPr="001F52A8">
        <w:rPr>
          <w:rFonts w:cstheme="minorHAnsi"/>
        </w:rPr>
        <w:t xml:space="preserve">in </w:t>
      </w:r>
      <w:r w:rsidR="004B010E" w:rsidRPr="001F52A8">
        <w:rPr>
          <w:rFonts w:cstheme="minorHAnsi"/>
        </w:rPr>
        <w:t xml:space="preserve">Matt 25:31-46). </w:t>
      </w:r>
      <w:r w:rsidR="00CF586D" w:rsidRPr="001F52A8">
        <w:rPr>
          <w:rFonts w:cstheme="minorHAnsi"/>
        </w:rPr>
        <w:t xml:space="preserve">The difference is that </w:t>
      </w:r>
      <w:r w:rsidR="00C75340" w:rsidRPr="001F52A8">
        <w:rPr>
          <w:rFonts w:cstheme="minorHAnsi"/>
        </w:rPr>
        <w:t xml:space="preserve">he </w:t>
      </w:r>
      <w:r w:rsidR="009A5AB4" w:rsidRPr="001F52A8">
        <w:rPr>
          <w:rFonts w:cstheme="minorHAnsi"/>
        </w:rPr>
        <w:t>describes God as bringing</w:t>
      </w:r>
      <w:r w:rsidR="00C75340" w:rsidRPr="001F52A8">
        <w:rPr>
          <w:rFonts w:cstheme="minorHAnsi"/>
        </w:rPr>
        <w:t xml:space="preserve"> this judgment </w:t>
      </w:r>
      <w:r w:rsidR="009A5AB4" w:rsidRPr="001F52A8">
        <w:rPr>
          <w:rFonts w:cstheme="minorHAnsi"/>
        </w:rPr>
        <w:t>at</w:t>
      </w:r>
      <w:r w:rsidR="00C75340" w:rsidRPr="001F52A8">
        <w:rPr>
          <w:rFonts w:cstheme="minorHAnsi"/>
        </w:rPr>
        <w:t xml:space="preserve"> the end of the age rather than picturing God being involved</w:t>
      </w:r>
      <w:r w:rsidR="00A528F2" w:rsidRPr="001F52A8">
        <w:rPr>
          <w:rFonts w:cstheme="minorHAnsi"/>
        </w:rPr>
        <w:t xml:space="preserve"> thus</w:t>
      </w:r>
      <w:r w:rsidR="00C75340" w:rsidRPr="001F52A8">
        <w:rPr>
          <w:rFonts w:cstheme="minorHAnsi"/>
        </w:rPr>
        <w:t xml:space="preserve"> in this age</w:t>
      </w:r>
      <w:r w:rsidR="00314F87" w:rsidRPr="001F52A8">
        <w:rPr>
          <w:rFonts w:cstheme="minorHAnsi"/>
        </w:rPr>
        <w:t>, and the judgment involves eternal punis</w:t>
      </w:r>
      <w:r w:rsidR="0012545B" w:rsidRPr="001F52A8">
        <w:rPr>
          <w:rFonts w:cstheme="minorHAnsi"/>
        </w:rPr>
        <w:t>hment</w:t>
      </w:r>
      <w:r w:rsidR="003F7EF4" w:rsidRPr="001F52A8">
        <w:rPr>
          <w:rFonts w:cstheme="minorHAnsi"/>
        </w:rPr>
        <w:t xml:space="preserve">. </w:t>
      </w:r>
      <w:r w:rsidR="00B545EB" w:rsidRPr="001F52A8">
        <w:rPr>
          <w:rFonts w:cstheme="minorHAnsi"/>
        </w:rPr>
        <w:t xml:space="preserve">It’s not obvious that these differences </w:t>
      </w:r>
      <w:r w:rsidR="009C0835" w:rsidRPr="001F52A8">
        <w:rPr>
          <w:rFonts w:cstheme="minorHAnsi"/>
        </w:rPr>
        <w:t>imply a theological or ethical advance</w:t>
      </w:r>
      <w:r w:rsidR="00C36C43" w:rsidRPr="001F52A8">
        <w:rPr>
          <w:rFonts w:cstheme="minorHAnsi"/>
        </w:rPr>
        <w:t xml:space="preserve"> </w:t>
      </w:r>
      <w:r w:rsidR="009A5AB4" w:rsidRPr="001F52A8">
        <w:rPr>
          <w:rFonts w:cstheme="minorHAnsi"/>
        </w:rPr>
        <w:t xml:space="preserve">on Samuel </w:t>
      </w:r>
      <w:r w:rsidR="00C36C43" w:rsidRPr="001F52A8">
        <w:rPr>
          <w:rFonts w:cstheme="minorHAnsi"/>
        </w:rPr>
        <w:t xml:space="preserve">as opposed to expressing different </w:t>
      </w:r>
      <w:r w:rsidR="000B0F03" w:rsidRPr="001F52A8">
        <w:rPr>
          <w:rFonts w:cstheme="minorHAnsi"/>
        </w:rPr>
        <w:t>insights</w:t>
      </w:r>
      <w:r w:rsidR="009C0835" w:rsidRPr="001F52A8">
        <w:rPr>
          <w:rFonts w:cstheme="minorHAnsi"/>
        </w:rPr>
        <w:t xml:space="preserve">. </w:t>
      </w:r>
      <w:r w:rsidR="003F7EF4" w:rsidRPr="001F52A8">
        <w:rPr>
          <w:rFonts w:cstheme="minorHAnsi"/>
        </w:rPr>
        <w:t xml:space="preserve">Jesus </w:t>
      </w:r>
      <w:r w:rsidR="00DC43BC" w:rsidRPr="001F52A8">
        <w:rPr>
          <w:rFonts w:cstheme="minorHAnsi"/>
        </w:rPr>
        <w:t>also</w:t>
      </w:r>
      <w:r w:rsidR="003F7EF4" w:rsidRPr="001F52A8">
        <w:rPr>
          <w:rFonts w:cstheme="minorHAnsi"/>
        </w:rPr>
        <w:t xml:space="preserve"> </w:t>
      </w:r>
      <w:r w:rsidR="00347FE9" w:rsidRPr="001F52A8">
        <w:rPr>
          <w:rFonts w:cstheme="minorHAnsi"/>
        </w:rPr>
        <w:t>describes</w:t>
      </w:r>
      <w:r w:rsidR="001A340F">
        <w:rPr>
          <w:rFonts w:cstheme="minorHAnsi"/>
        </w:rPr>
        <w:t xml:space="preserve">, </w:t>
      </w:r>
      <w:r w:rsidR="001A340F" w:rsidRPr="001F52A8">
        <w:rPr>
          <w:rFonts w:cstheme="minorHAnsi"/>
        </w:rPr>
        <w:t>without disapproval</w:t>
      </w:r>
      <w:r w:rsidR="001A340F">
        <w:rPr>
          <w:rFonts w:cstheme="minorHAnsi"/>
        </w:rPr>
        <w:t>,</w:t>
      </w:r>
      <w:r w:rsidR="003F7EF4" w:rsidRPr="001F52A8">
        <w:rPr>
          <w:rFonts w:cstheme="minorHAnsi"/>
        </w:rPr>
        <w:t xml:space="preserve"> a</w:t>
      </w:r>
      <w:r w:rsidR="006E6A43" w:rsidRPr="001F52A8">
        <w:rPr>
          <w:rFonts w:cstheme="minorHAnsi"/>
        </w:rPr>
        <w:t xml:space="preserve">n oppressive servant being hacked to piece like </w:t>
      </w:r>
      <w:r w:rsidR="00A260A3" w:rsidRPr="001F52A8">
        <w:rPr>
          <w:rFonts w:cstheme="minorHAnsi"/>
        </w:rPr>
        <w:t>Agag</w:t>
      </w:r>
      <w:r w:rsidR="005F5D32" w:rsidRPr="001F52A8">
        <w:rPr>
          <w:rFonts w:cstheme="minorHAnsi"/>
        </w:rPr>
        <w:t xml:space="preserve"> </w:t>
      </w:r>
      <w:r w:rsidR="0016304B" w:rsidRPr="001F52A8">
        <w:rPr>
          <w:rFonts w:cstheme="minorHAnsi"/>
        </w:rPr>
        <w:t>(Matt 24:51</w:t>
      </w:r>
      <w:r w:rsidR="0016304B">
        <w:rPr>
          <w:rFonts w:cstheme="minorHAnsi"/>
        </w:rPr>
        <w:t>)</w:t>
      </w:r>
      <w:r w:rsidR="00A260A3" w:rsidRPr="001F52A8">
        <w:rPr>
          <w:rFonts w:cstheme="minorHAnsi"/>
        </w:rPr>
        <w:t>.</w:t>
      </w:r>
      <w:r w:rsidR="005653D6" w:rsidRPr="001F52A8">
        <w:rPr>
          <w:rFonts w:cstheme="minorHAnsi"/>
        </w:rPr>
        <w:t xml:space="preserve"> </w:t>
      </w:r>
      <w:r w:rsidR="00AB33F2" w:rsidRPr="001F52A8">
        <w:rPr>
          <w:rFonts w:cstheme="minorHAnsi"/>
        </w:rPr>
        <w:t>Of course, these</w:t>
      </w:r>
      <w:r w:rsidR="005653D6" w:rsidRPr="001F52A8">
        <w:rPr>
          <w:rFonts w:cstheme="minorHAnsi"/>
        </w:rPr>
        <w:t xml:space="preserve"> are “only parables</w:t>
      </w:r>
      <w:r w:rsidR="004C3B40" w:rsidRPr="001F52A8">
        <w:rPr>
          <w:rFonts w:cstheme="minorHAnsi"/>
        </w:rPr>
        <w:t xml:space="preserve">,” </w:t>
      </w:r>
      <w:r w:rsidR="004E137D" w:rsidRPr="001F52A8">
        <w:rPr>
          <w:rFonts w:cstheme="minorHAnsi"/>
        </w:rPr>
        <w:t xml:space="preserve">but </w:t>
      </w:r>
      <w:r w:rsidR="004C3B40" w:rsidRPr="001F52A8">
        <w:rPr>
          <w:rFonts w:cstheme="minorHAnsi"/>
        </w:rPr>
        <w:t xml:space="preserve">then 1 Samuel 15 is “only a story.” </w:t>
      </w:r>
      <w:r w:rsidR="00B041F5" w:rsidRPr="001F52A8">
        <w:rPr>
          <w:rFonts w:cstheme="minorHAnsi"/>
        </w:rPr>
        <w:t xml:space="preserve">Whatever </w:t>
      </w:r>
      <w:r w:rsidR="006A18EB" w:rsidRPr="001F52A8">
        <w:rPr>
          <w:rFonts w:cstheme="minorHAnsi"/>
        </w:rPr>
        <w:t xml:space="preserve">degree of </w:t>
      </w:r>
      <w:r w:rsidR="00B041F5" w:rsidRPr="001F52A8">
        <w:rPr>
          <w:rFonts w:cstheme="minorHAnsi"/>
        </w:rPr>
        <w:t>historic</w:t>
      </w:r>
      <w:r w:rsidR="006A18EB" w:rsidRPr="001F52A8">
        <w:rPr>
          <w:rFonts w:cstheme="minorHAnsi"/>
        </w:rPr>
        <w:t>i</w:t>
      </w:r>
      <w:r w:rsidR="00B041F5" w:rsidRPr="001F52A8">
        <w:rPr>
          <w:rFonts w:cstheme="minorHAnsi"/>
        </w:rPr>
        <w:t>ty it may have</w:t>
      </w:r>
      <w:r w:rsidR="00741FBF" w:rsidRPr="001F52A8">
        <w:rPr>
          <w:rFonts w:cstheme="minorHAnsi"/>
        </w:rPr>
        <w:t xml:space="preserve">, its account of </w:t>
      </w:r>
      <w:r w:rsidR="00F92571" w:rsidRPr="001F52A8">
        <w:rPr>
          <w:rFonts w:cstheme="minorHAnsi"/>
        </w:rPr>
        <w:t xml:space="preserve">Saul devoting the entire Amalekite people is not </w:t>
      </w:r>
      <w:r w:rsidR="006A18EB" w:rsidRPr="001F52A8">
        <w:rPr>
          <w:rFonts w:cstheme="minorHAnsi"/>
        </w:rPr>
        <w:t xml:space="preserve">simply </w:t>
      </w:r>
      <w:r w:rsidR="00F92571" w:rsidRPr="001F52A8">
        <w:rPr>
          <w:rFonts w:cstheme="minorHAnsi"/>
        </w:rPr>
        <w:t>factual</w:t>
      </w:r>
      <w:r w:rsidR="008932D0" w:rsidRPr="001F52A8">
        <w:rPr>
          <w:rFonts w:cstheme="minorHAnsi"/>
        </w:rPr>
        <w:t>. T</w:t>
      </w:r>
      <w:r w:rsidR="00642D9A" w:rsidRPr="001F52A8">
        <w:rPr>
          <w:rFonts w:cstheme="minorHAnsi"/>
        </w:rPr>
        <w:t>he Amalekites are alive and well later in Samuel (27:8; 30:1, 13)</w:t>
      </w:r>
      <w:r w:rsidR="00695241" w:rsidRPr="001F52A8">
        <w:rPr>
          <w:rFonts w:cstheme="minorHAnsi"/>
        </w:rPr>
        <w:t xml:space="preserve"> and</w:t>
      </w:r>
      <w:r w:rsidR="00B3152B" w:rsidRPr="001F52A8">
        <w:rPr>
          <w:rFonts w:cstheme="minorHAnsi"/>
        </w:rPr>
        <w:t xml:space="preserve"> </w:t>
      </w:r>
      <w:r w:rsidR="00695241" w:rsidRPr="001F52A8">
        <w:rPr>
          <w:rFonts w:cstheme="minorHAnsi"/>
        </w:rPr>
        <w:t xml:space="preserve">Agag is reincarnate as Haman “the </w:t>
      </w:r>
      <w:r w:rsidR="00695241" w:rsidRPr="001F52A8">
        <w:rPr>
          <w:rFonts w:cstheme="minorHAnsi"/>
        </w:rPr>
        <w:lastRenderedPageBreak/>
        <w:t>Agagite” in Esther</w:t>
      </w:r>
      <w:r w:rsidR="008932D0" w:rsidRPr="001F52A8">
        <w:rPr>
          <w:rFonts w:cstheme="minorHAnsi"/>
        </w:rPr>
        <w:t xml:space="preserve">, </w:t>
      </w:r>
      <w:r w:rsidR="00DC4E5C">
        <w:rPr>
          <w:rFonts w:cstheme="minorHAnsi"/>
        </w:rPr>
        <w:t>where</w:t>
      </w:r>
      <w:r w:rsidR="008932D0" w:rsidRPr="001F52A8">
        <w:rPr>
          <w:rFonts w:cstheme="minorHAnsi"/>
        </w:rPr>
        <w:t xml:space="preserve"> his </w:t>
      </w:r>
      <w:r w:rsidR="00B753B1" w:rsidRPr="001F52A8">
        <w:rPr>
          <w:rFonts w:cstheme="minorHAnsi"/>
        </w:rPr>
        <w:t>opposite number is Mordecai the descendant of Kish</w:t>
      </w:r>
      <w:r w:rsidR="00695241" w:rsidRPr="001F52A8">
        <w:rPr>
          <w:rFonts w:cstheme="minorHAnsi"/>
        </w:rPr>
        <w:t>.</w:t>
      </w:r>
      <w:r w:rsidR="007A22DE" w:rsidRPr="001F52A8">
        <w:rPr>
          <w:rStyle w:val="FootnoteReference"/>
          <w:rFonts w:cstheme="minorHAnsi"/>
        </w:rPr>
        <w:footnoteReference w:id="161"/>
      </w:r>
      <w:r w:rsidR="00695241" w:rsidRPr="001F52A8">
        <w:rPr>
          <w:rFonts w:cstheme="minorHAnsi"/>
        </w:rPr>
        <w:t xml:space="preserve"> </w:t>
      </w:r>
      <w:r w:rsidR="00A4445E" w:rsidRPr="001F52A8">
        <w:rPr>
          <w:rFonts w:cstheme="minorHAnsi"/>
        </w:rPr>
        <w:t>Amalek</w:t>
      </w:r>
      <w:r w:rsidR="00330E41" w:rsidRPr="001F52A8">
        <w:rPr>
          <w:rFonts w:cstheme="minorHAnsi"/>
        </w:rPr>
        <w:t xml:space="preserve"> </w:t>
      </w:r>
      <w:r w:rsidR="00A4445E" w:rsidRPr="001F52A8">
        <w:rPr>
          <w:rFonts w:cstheme="minorHAnsi"/>
        </w:rPr>
        <w:t>“</w:t>
      </w:r>
      <w:r w:rsidR="00330E41" w:rsidRPr="001F52A8">
        <w:rPr>
          <w:rFonts w:cstheme="minorHAnsi"/>
        </w:rPr>
        <w:t>is now an emblem of evil rather than an historical entity,” like Nineveh in Jonah.</w:t>
      </w:r>
      <w:r w:rsidR="00330E41" w:rsidRPr="001F52A8">
        <w:rPr>
          <w:rStyle w:val="FootnoteReference"/>
          <w:rFonts w:cstheme="minorHAnsi"/>
        </w:rPr>
        <w:footnoteReference w:id="162"/>
      </w:r>
      <w:r w:rsidR="00330E41" w:rsidRPr="001F52A8">
        <w:rPr>
          <w:rFonts w:cstheme="minorHAnsi"/>
        </w:rPr>
        <w:t xml:space="preserve"> </w:t>
      </w:r>
      <w:r w:rsidR="00325686" w:rsidRPr="001F52A8">
        <w:rPr>
          <w:rFonts w:cstheme="minorHAnsi"/>
        </w:rPr>
        <w:t>It</w:t>
      </w:r>
      <w:r w:rsidR="00F13EF0" w:rsidRPr="001F52A8">
        <w:rPr>
          <w:rFonts w:cstheme="minorHAnsi"/>
        </w:rPr>
        <w:t xml:space="preserve"> stands for </w:t>
      </w:r>
      <w:r w:rsidR="00491EB1" w:rsidRPr="001F52A8">
        <w:rPr>
          <w:rFonts w:cstheme="minorHAnsi"/>
        </w:rPr>
        <w:t>an embodiment of disorder</w:t>
      </w:r>
      <w:r w:rsidR="00C87888" w:rsidRPr="001F52A8">
        <w:rPr>
          <w:rFonts w:cstheme="minorHAnsi"/>
        </w:rPr>
        <w:t xml:space="preserve"> that attempted to reassert itself after Yahweh </w:t>
      </w:r>
      <w:r w:rsidR="00461F99" w:rsidRPr="001F52A8">
        <w:rPr>
          <w:rFonts w:cstheme="minorHAnsi"/>
        </w:rPr>
        <w:t>put disorder down at the Red Sea</w:t>
      </w:r>
      <w:r w:rsidR="005D4044" w:rsidRPr="001F52A8">
        <w:rPr>
          <w:rFonts w:cstheme="minorHAnsi"/>
        </w:rPr>
        <w:t>.</w:t>
      </w:r>
      <w:r w:rsidR="00495DF4" w:rsidRPr="001F52A8">
        <w:rPr>
          <w:rStyle w:val="FootnoteReference"/>
          <w:rFonts w:cstheme="minorHAnsi"/>
        </w:rPr>
        <w:footnoteReference w:id="163"/>
      </w:r>
      <w:r w:rsidR="00461F99" w:rsidRPr="001F52A8">
        <w:rPr>
          <w:rFonts w:cstheme="minorHAnsi"/>
        </w:rPr>
        <w:t xml:space="preserve"> </w:t>
      </w:r>
      <w:r w:rsidR="002C04A2" w:rsidRPr="001F52A8">
        <w:rPr>
          <w:rFonts w:cstheme="minorHAnsi"/>
        </w:rPr>
        <w:t xml:space="preserve">The action that Yahweh commissions </w:t>
      </w:r>
      <w:r w:rsidR="00CF4419" w:rsidRPr="001F52A8">
        <w:rPr>
          <w:rFonts w:cstheme="minorHAnsi"/>
        </w:rPr>
        <w:t>had what might be called an eschatological significance that took it closer to those parables.</w:t>
      </w:r>
      <w:r w:rsidR="002C04A2" w:rsidRPr="001F52A8">
        <w:rPr>
          <w:rFonts w:cstheme="minorHAnsi"/>
        </w:rPr>
        <w:t xml:space="preserve"> It</w:t>
      </w:r>
      <w:r w:rsidR="008E142C" w:rsidRPr="001F52A8">
        <w:rPr>
          <w:rFonts w:cstheme="minorHAnsi"/>
        </w:rPr>
        <w:t xml:space="preserve"> embodied</w:t>
      </w:r>
      <w:r w:rsidR="0090128B" w:rsidRPr="001F52A8">
        <w:rPr>
          <w:rFonts w:cstheme="minorHAnsi"/>
        </w:rPr>
        <w:t xml:space="preserve"> a</w:t>
      </w:r>
      <w:r w:rsidR="002C04A2" w:rsidRPr="001F52A8">
        <w:rPr>
          <w:rFonts w:cstheme="minorHAnsi"/>
        </w:rPr>
        <w:t xml:space="preserve"> commitment to eliminate evil.</w:t>
      </w:r>
    </w:p>
    <w:p w14:paraId="682C2B7D" w14:textId="7D8BEEF1" w:rsidR="00CC1142" w:rsidRPr="001F52A8" w:rsidRDefault="007078E0" w:rsidP="00CC1142">
      <w:pPr>
        <w:rPr>
          <w:rFonts w:cstheme="minorHAnsi"/>
        </w:rPr>
      </w:pPr>
      <w:r w:rsidRPr="001F52A8">
        <w:rPr>
          <w:rFonts w:cstheme="minorHAnsi"/>
        </w:rPr>
        <w:t>S</w:t>
      </w:r>
      <w:r w:rsidR="005F076D" w:rsidRPr="001F52A8">
        <w:rPr>
          <w:rFonts w:cstheme="minorHAnsi"/>
        </w:rPr>
        <w:t>aul gets into troub</w:t>
      </w:r>
      <w:r w:rsidR="001565A5" w:rsidRPr="001F52A8">
        <w:rPr>
          <w:rFonts w:cstheme="minorHAnsi"/>
        </w:rPr>
        <w:t>le for compromising on what Yahweh commanded in this connection</w:t>
      </w:r>
      <w:r w:rsidR="00F2346B" w:rsidRPr="001F52A8">
        <w:rPr>
          <w:rFonts w:cstheme="minorHAnsi"/>
        </w:rPr>
        <w:t>, though he has more than one excuse (</w:t>
      </w:r>
      <w:r w:rsidR="009856B2" w:rsidRPr="001F52A8">
        <w:rPr>
          <w:rFonts w:cstheme="minorHAnsi"/>
        </w:rPr>
        <w:t>“I</w:t>
      </w:r>
      <w:r w:rsidR="00FB6A1D" w:rsidRPr="001F52A8">
        <w:rPr>
          <w:rFonts w:cstheme="minorHAnsi"/>
        </w:rPr>
        <w:t xml:space="preserve"> saved the best animals to sacrifice to Yahweh, and also </w:t>
      </w:r>
      <w:r w:rsidR="009856B2" w:rsidRPr="001F52A8">
        <w:rPr>
          <w:rFonts w:cstheme="minorHAnsi"/>
        </w:rPr>
        <w:t>I</w:t>
      </w:r>
      <w:r w:rsidR="00FB6A1D" w:rsidRPr="001F52A8">
        <w:rPr>
          <w:rFonts w:cstheme="minorHAnsi"/>
        </w:rPr>
        <w:t xml:space="preserve"> gave into pressure from the people</w:t>
      </w:r>
      <w:r w:rsidR="006959E7" w:rsidRPr="001F52A8">
        <w:rPr>
          <w:rFonts w:cstheme="minorHAnsi"/>
        </w:rPr>
        <w:t>”</w:t>
      </w:r>
      <w:r w:rsidR="009856B2" w:rsidRPr="001F52A8">
        <w:rPr>
          <w:rFonts w:cstheme="minorHAnsi"/>
        </w:rPr>
        <w:t xml:space="preserve">). </w:t>
      </w:r>
      <w:r w:rsidR="00FB54DE" w:rsidRPr="001F52A8">
        <w:rPr>
          <w:rFonts w:cstheme="minorHAnsi"/>
        </w:rPr>
        <w:t>But t</w:t>
      </w:r>
      <w:r w:rsidR="006959E7" w:rsidRPr="001F52A8">
        <w:rPr>
          <w:rFonts w:cstheme="minorHAnsi"/>
        </w:rPr>
        <w:t xml:space="preserve">he symbolic significance of </w:t>
      </w:r>
      <w:r w:rsidR="00CD6134" w:rsidRPr="001F52A8">
        <w:rPr>
          <w:rFonts w:cstheme="minorHAnsi"/>
        </w:rPr>
        <w:t>th</w:t>
      </w:r>
      <w:r w:rsidR="00FB54DE" w:rsidRPr="001F52A8">
        <w:rPr>
          <w:rFonts w:cstheme="minorHAnsi"/>
        </w:rPr>
        <w:t>is</w:t>
      </w:r>
      <w:r w:rsidR="00CD6134" w:rsidRPr="001F52A8">
        <w:rPr>
          <w:rFonts w:cstheme="minorHAnsi"/>
        </w:rPr>
        <w:t xml:space="preserve"> compromise makes </w:t>
      </w:r>
      <w:r w:rsidR="00BE6A4C" w:rsidRPr="001F52A8">
        <w:rPr>
          <w:rFonts w:cstheme="minorHAnsi"/>
        </w:rPr>
        <w:t xml:space="preserve">Yahweh relent over making Saul king. </w:t>
      </w:r>
      <w:r w:rsidR="00551D76" w:rsidRPr="001F52A8">
        <w:rPr>
          <w:rFonts w:cstheme="minorHAnsi"/>
        </w:rPr>
        <w:t>As it was explicit that the attack on Amalek was Yahweh’s idea not Saul’s, i</w:t>
      </w:r>
      <w:r w:rsidR="00BE6A4C" w:rsidRPr="001F52A8">
        <w:rPr>
          <w:rFonts w:cstheme="minorHAnsi"/>
        </w:rPr>
        <w:t xml:space="preserve">t is explicit that </w:t>
      </w:r>
      <w:r w:rsidR="00FB4007">
        <w:rPr>
          <w:rFonts w:cstheme="minorHAnsi"/>
        </w:rPr>
        <w:t>Saul’s</w:t>
      </w:r>
      <w:r w:rsidR="00BE6A4C" w:rsidRPr="001F52A8">
        <w:rPr>
          <w:rFonts w:cstheme="minorHAnsi"/>
        </w:rPr>
        <w:t xml:space="preserve"> rebuff is Yahweh’s idea not Samuel’s. Samuel is angry (</w:t>
      </w:r>
      <w:r w:rsidR="00BE6A4C" w:rsidRPr="001F52A8">
        <w:rPr>
          <w:rFonts w:cstheme="minorHAnsi"/>
          <w:i/>
          <w:iCs/>
        </w:rPr>
        <w:t>ḥārâ</w:t>
      </w:r>
      <w:r w:rsidR="00BE6A4C" w:rsidRPr="001F52A8">
        <w:rPr>
          <w:rFonts w:cstheme="minorHAnsi"/>
        </w:rPr>
        <w:t>;</w:t>
      </w:r>
      <w:r w:rsidR="00BE6A4C" w:rsidRPr="001F52A8">
        <w:rPr>
          <w:rFonts w:cstheme="minorHAnsi"/>
          <w:i/>
          <w:iCs/>
        </w:rPr>
        <w:t xml:space="preserve"> </w:t>
      </w:r>
      <w:r w:rsidR="00BE6A4C" w:rsidRPr="001F52A8">
        <w:rPr>
          <w:rFonts w:cstheme="minorHAnsi"/>
        </w:rPr>
        <w:t xml:space="preserve">some translations have him “upset,” but </w:t>
      </w:r>
      <w:r w:rsidR="00056DBC" w:rsidRPr="001F52A8">
        <w:rPr>
          <w:rFonts w:cstheme="minorHAnsi"/>
        </w:rPr>
        <w:t>“</w:t>
      </w:r>
      <w:r w:rsidR="00BE6A4C" w:rsidRPr="001F52A8">
        <w:rPr>
          <w:rFonts w:cstheme="minorHAnsi"/>
        </w:rPr>
        <w:t>angry</w:t>
      </w:r>
      <w:r w:rsidR="00056DBC" w:rsidRPr="001F52A8">
        <w:rPr>
          <w:rFonts w:cstheme="minorHAnsi"/>
        </w:rPr>
        <w:t>”</w:t>
      </w:r>
      <w:r w:rsidR="00BE6A4C" w:rsidRPr="001F52A8">
        <w:rPr>
          <w:rFonts w:cstheme="minorHAnsi"/>
        </w:rPr>
        <w:t xml:space="preserve"> is the verb</w:t>
      </w:r>
      <w:r w:rsidR="00056DBC" w:rsidRPr="001F52A8">
        <w:rPr>
          <w:rFonts w:cstheme="minorHAnsi"/>
        </w:rPr>
        <w:t>’</w:t>
      </w:r>
      <w:r w:rsidR="00BE6A4C" w:rsidRPr="001F52A8">
        <w:rPr>
          <w:rFonts w:cstheme="minorHAnsi"/>
        </w:rPr>
        <w:t xml:space="preserve">s regular meaning). Is he angry with Saul or with Yahweh? He cries out to Yahweh all night: </w:t>
      </w:r>
      <w:r w:rsidR="00A32ED3" w:rsidRPr="001F52A8">
        <w:rPr>
          <w:rFonts w:cstheme="minorHAnsi"/>
        </w:rPr>
        <w:t xml:space="preserve">is he </w:t>
      </w:r>
      <w:r w:rsidR="00BE6A4C" w:rsidRPr="001F52A8">
        <w:rPr>
          <w:rFonts w:cstheme="minorHAnsi"/>
        </w:rPr>
        <w:t>pleading with Yahweh to change his mind? If so, it is “a failed intercession”; he cannot achieve what Moses achieved (Exod 32:11-14).</w:t>
      </w:r>
      <w:r w:rsidR="00BE6A4C" w:rsidRPr="001F52A8">
        <w:rPr>
          <w:rStyle w:val="FootnoteReference"/>
          <w:rFonts w:cstheme="minorHAnsi"/>
        </w:rPr>
        <w:footnoteReference w:id="164"/>
      </w:r>
      <w:r w:rsidR="00BE6A4C" w:rsidRPr="001F52A8">
        <w:rPr>
          <w:rFonts w:cstheme="minorHAnsi"/>
        </w:rPr>
        <w:t xml:space="preserve"> He goes to see Saul</w:t>
      </w:r>
      <w:r w:rsidR="00D22DCC" w:rsidRPr="001F52A8">
        <w:rPr>
          <w:rFonts w:cstheme="minorHAnsi"/>
        </w:rPr>
        <w:t>,</w:t>
      </w:r>
      <w:r w:rsidR="00BE6A4C" w:rsidRPr="001F52A8">
        <w:rPr>
          <w:rFonts w:cstheme="minorHAnsi"/>
        </w:rPr>
        <w:t xml:space="preserve"> accuses him of profiting from the venture</w:t>
      </w:r>
      <w:r w:rsidR="0009190D" w:rsidRPr="001F52A8">
        <w:rPr>
          <w:rFonts w:cstheme="minorHAnsi"/>
        </w:rPr>
        <w:t>, adds a rhetorical question</w:t>
      </w:r>
      <w:r w:rsidR="00FA69EB" w:rsidRPr="001F52A8">
        <w:rPr>
          <w:rFonts w:cstheme="minorHAnsi"/>
        </w:rPr>
        <w:t>,</w:t>
      </w:r>
      <w:r w:rsidR="00CC1142" w:rsidRPr="001F52A8">
        <w:rPr>
          <w:rFonts w:cstheme="minorHAnsi"/>
        </w:rPr>
        <w:t xml:space="preserve"> </w:t>
      </w:r>
      <w:r w:rsidR="005222B5" w:rsidRPr="001F52A8">
        <w:rPr>
          <w:rFonts w:cstheme="minorHAnsi"/>
        </w:rPr>
        <w:t xml:space="preserve">then </w:t>
      </w:r>
      <w:r w:rsidR="00225896">
        <w:rPr>
          <w:rFonts w:cstheme="minorHAnsi"/>
        </w:rPr>
        <w:t xml:space="preserve">adds </w:t>
      </w:r>
      <w:r w:rsidR="005222B5" w:rsidRPr="001F52A8">
        <w:rPr>
          <w:rFonts w:cstheme="minorHAnsi"/>
        </w:rPr>
        <w:t>a pair of lines that</w:t>
      </w:r>
      <w:r w:rsidR="00CC1142" w:rsidRPr="001F52A8">
        <w:rPr>
          <w:rFonts w:cstheme="minorHAnsi"/>
        </w:rPr>
        <w:t xml:space="preserve"> move from comparative to absolute</w:t>
      </w:r>
      <w:r w:rsidR="002F5C5E" w:rsidRPr="001F52A8">
        <w:rPr>
          <w:rFonts w:cstheme="minorHAnsi"/>
        </w:rPr>
        <w:t>:</w:t>
      </w:r>
      <w:r w:rsidR="00CC1142" w:rsidRPr="001F52A8">
        <w:rPr>
          <w:rStyle w:val="FootnoteReference"/>
          <w:rFonts w:cstheme="minorHAnsi"/>
        </w:rPr>
        <w:footnoteReference w:id="165"/>
      </w:r>
    </w:p>
    <w:p w14:paraId="450689BB" w14:textId="018D3F91" w:rsidR="00BE6A4C" w:rsidRPr="001F52A8" w:rsidRDefault="00BE6A4C" w:rsidP="00CD6134">
      <w:pPr>
        <w:rPr>
          <w:rFonts w:cstheme="minorHAnsi"/>
        </w:rPr>
      </w:pPr>
    </w:p>
    <w:p w14:paraId="44840733" w14:textId="028CDFF4" w:rsidR="00BE6A4C" w:rsidRPr="001F52A8" w:rsidRDefault="00BE6A4C" w:rsidP="00BE6A4C">
      <w:pPr>
        <w:rPr>
          <w:rFonts w:cstheme="minorHAnsi"/>
        </w:rPr>
      </w:pPr>
      <w:r w:rsidRPr="001F52A8">
        <w:rPr>
          <w:rFonts w:cstheme="minorHAnsi"/>
        </w:rPr>
        <w:t xml:space="preserve">Is there delight for Yahweh in burnt offerings and </w:t>
      </w:r>
      <w:r w:rsidR="005B2306" w:rsidRPr="001F52A8">
        <w:rPr>
          <w:rFonts w:cstheme="minorHAnsi"/>
        </w:rPr>
        <w:t>sacrifices</w:t>
      </w:r>
    </w:p>
    <w:p w14:paraId="18150699" w14:textId="77777777" w:rsidR="00BE6A4C" w:rsidRPr="001F52A8" w:rsidRDefault="00BE6A4C" w:rsidP="00BE6A4C">
      <w:pPr>
        <w:rPr>
          <w:rFonts w:cstheme="minorHAnsi"/>
        </w:rPr>
      </w:pPr>
      <w:r w:rsidRPr="001F52A8">
        <w:rPr>
          <w:rFonts w:cstheme="minorHAnsi"/>
        </w:rPr>
        <w:tab/>
        <w:t>like listening to Yahweh’s voice?</w:t>
      </w:r>
    </w:p>
    <w:p w14:paraId="79AAD19A" w14:textId="77777777" w:rsidR="00BE6A4C" w:rsidRPr="001F52A8" w:rsidRDefault="00BE6A4C" w:rsidP="00BE6A4C">
      <w:pPr>
        <w:rPr>
          <w:rFonts w:cstheme="minorHAnsi"/>
        </w:rPr>
      </w:pPr>
      <w:r w:rsidRPr="001F52A8">
        <w:rPr>
          <w:rFonts w:cstheme="minorHAnsi"/>
        </w:rPr>
        <w:t>There: listening is better than a sacrifice,</w:t>
      </w:r>
    </w:p>
    <w:p w14:paraId="2937FFBA" w14:textId="2DAA3F52" w:rsidR="00BE6A4C" w:rsidRPr="001F52A8" w:rsidRDefault="00BE6A4C" w:rsidP="00BE6A4C">
      <w:pPr>
        <w:rPr>
          <w:rFonts w:cstheme="minorHAnsi"/>
        </w:rPr>
      </w:pPr>
      <w:r w:rsidRPr="001F52A8">
        <w:rPr>
          <w:rFonts w:cstheme="minorHAnsi"/>
        </w:rPr>
        <w:tab/>
        <w:t>to heed is better than rams</w:t>
      </w:r>
      <w:r w:rsidR="006F0BDE" w:rsidRPr="001F52A8">
        <w:rPr>
          <w:rFonts w:cstheme="minorHAnsi"/>
        </w:rPr>
        <w:t>’</w:t>
      </w:r>
      <w:r w:rsidRPr="001F52A8">
        <w:rPr>
          <w:rFonts w:cstheme="minorHAnsi"/>
        </w:rPr>
        <w:t xml:space="preserve"> fat.</w:t>
      </w:r>
    </w:p>
    <w:p w14:paraId="645A42EF" w14:textId="77777777" w:rsidR="00BE6A4C" w:rsidRPr="001F52A8" w:rsidRDefault="00BE6A4C" w:rsidP="00BE6A4C">
      <w:pPr>
        <w:rPr>
          <w:rFonts w:cstheme="minorHAnsi"/>
        </w:rPr>
      </w:pPr>
      <w:r w:rsidRPr="001F52A8">
        <w:rPr>
          <w:rFonts w:cstheme="minorHAnsi"/>
        </w:rPr>
        <w:t>Because rebellion: the wrongdoing of divination,</w:t>
      </w:r>
    </w:p>
    <w:p w14:paraId="75C6A5C9" w14:textId="77777777" w:rsidR="00BE6A4C" w:rsidRPr="001F52A8" w:rsidRDefault="00BE6A4C" w:rsidP="00BE6A4C">
      <w:pPr>
        <w:rPr>
          <w:rFonts w:cstheme="minorHAnsi"/>
        </w:rPr>
      </w:pPr>
      <w:r w:rsidRPr="001F52A8">
        <w:rPr>
          <w:rFonts w:cstheme="minorHAnsi"/>
        </w:rPr>
        <w:tab/>
        <w:t>presumption: the trouble of effigies.</w:t>
      </w:r>
    </w:p>
    <w:p w14:paraId="60D2FD7D" w14:textId="77777777" w:rsidR="00BE6A4C" w:rsidRPr="001F52A8" w:rsidRDefault="00BE6A4C" w:rsidP="00BE6A4C">
      <w:pPr>
        <w:rPr>
          <w:rFonts w:cstheme="minorHAnsi"/>
        </w:rPr>
      </w:pPr>
      <w:r w:rsidRPr="001F52A8">
        <w:rPr>
          <w:rFonts w:cstheme="minorHAnsi"/>
        </w:rPr>
        <w:t>Because you rebuffed Yahweh’s word,</w:t>
      </w:r>
    </w:p>
    <w:p w14:paraId="19538CCA" w14:textId="77777777" w:rsidR="00BE6A4C" w:rsidRPr="001F52A8" w:rsidRDefault="00BE6A4C" w:rsidP="00BE6A4C">
      <w:pPr>
        <w:rPr>
          <w:rFonts w:cstheme="minorHAnsi"/>
        </w:rPr>
      </w:pPr>
      <w:r w:rsidRPr="001F52A8">
        <w:rPr>
          <w:rFonts w:cstheme="minorHAnsi"/>
        </w:rPr>
        <w:tab/>
        <w:t>he is rebuffing you from being king. (15:22-23)</w:t>
      </w:r>
    </w:p>
    <w:p w14:paraId="354CD5D5" w14:textId="77777777" w:rsidR="00BE6A4C" w:rsidRPr="001F52A8" w:rsidRDefault="00BE6A4C" w:rsidP="00BE6A4C">
      <w:pPr>
        <w:rPr>
          <w:rFonts w:cstheme="minorHAnsi"/>
        </w:rPr>
      </w:pPr>
    </w:p>
    <w:p w14:paraId="74A83F81" w14:textId="0A9806B0" w:rsidR="00286CB8" w:rsidRPr="001F52A8" w:rsidRDefault="00976B65" w:rsidP="00681426">
      <w:pPr>
        <w:autoSpaceDE w:val="0"/>
        <w:autoSpaceDN w:val="0"/>
        <w:adjustRightInd w:val="0"/>
        <w:spacing w:line="240" w:lineRule="auto"/>
        <w:ind w:firstLine="0"/>
        <w:rPr>
          <w:rFonts w:ascii="Calibri" w:hAnsi="Calibri" w:cs="Calibri"/>
        </w:rPr>
      </w:pPr>
      <w:r w:rsidRPr="001F52A8">
        <w:rPr>
          <w:rFonts w:cstheme="minorHAnsi"/>
        </w:rPr>
        <w:t>The</w:t>
      </w:r>
      <w:r w:rsidR="009F45F1" w:rsidRPr="001F52A8">
        <w:rPr>
          <w:rFonts w:cstheme="minorHAnsi"/>
        </w:rPr>
        <w:t>se classic</w:t>
      </w:r>
      <w:r w:rsidRPr="001F52A8">
        <w:rPr>
          <w:rFonts w:cstheme="minorHAnsi"/>
        </w:rPr>
        <w:t xml:space="preserve"> lines </w:t>
      </w:r>
      <w:r w:rsidR="00AC74E1" w:rsidRPr="001F52A8">
        <w:rPr>
          <w:rFonts w:cstheme="minorHAnsi"/>
        </w:rPr>
        <w:t xml:space="preserve">compare with </w:t>
      </w:r>
      <w:r w:rsidR="00EF0495" w:rsidRPr="001F52A8">
        <w:rPr>
          <w:rFonts w:cstheme="minorHAnsi"/>
        </w:rPr>
        <w:t xml:space="preserve">prophetic indictments such as </w:t>
      </w:r>
      <w:r w:rsidR="00B83D09" w:rsidRPr="001F52A8">
        <w:rPr>
          <w:rFonts w:cstheme="minorHAnsi"/>
        </w:rPr>
        <w:t>Hosea 6:6</w:t>
      </w:r>
      <w:r w:rsidR="00356B75" w:rsidRPr="001F52A8">
        <w:rPr>
          <w:rFonts w:cstheme="minorHAnsi"/>
        </w:rPr>
        <w:t xml:space="preserve"> and Amos </w:t>
      </w:r>
      <w:r w:rsidR="00C23B05" w:rsidRPr="001F52A8">
        <w:rPr>
          <w:rFonts w:cstheme="minorHAnsi"/>
        </w:rPr>
        <w:t>5:21-24</w:t>
      </w:r>
      <w:r w:rsidR="00A067B8" w:rsidRPr="001F52A8">
        <w:rPr>
          <w:rFonts w:cstheme="minorHAnsi"/>
        </w:rPr>
        <w:t>.</w:t>
      </w:r>
      <w:r w:rsidR="00462A70" w:rsidRPr="001F52A8">
        <w:rPr>
          <w:rFonts w:cstheme="minorHAnsi"/>
        </w:rPr>
        <w:t xml:space="preserve"> Yet the comparison </w:t>
      </w:r>
      <w:r w:rsidR="00B90EDC" w:rsidRPr="001F52A8">
        <w:rPr>
          <w:rFonts w:cstheme="minorHAnsi"/>
        </w:rPr>
        <w:t>would be</w:t>
      </w:r>
      <w:r w:rsidR="00462A70" w:rsidRPr="001F52A8">
        <w:rPr>
          <w:rFonts w:cstheme="minorHAnsi"/>
        </w:rPr>
        <w:t xml:space="preserve"> </w:t>
      </w:r>
      <w:r w:rsidRPr="001F52A8">
        <w:rPr>
          <w:rFonts w:cstheme="minorHAnsi"/>
        </w:rPr>
        <w:t>bizarre</w:t>
      </w:r>
      <w:r w:rsidR="009F45F1" w:rsidRPr="001F52A8">
        <w:rPr>
          <w:rFonts w:cstheme="minorHAnsi"/>
        </w:rPr>
        <w:t xml:space="preserve"> </w:t>
      </w:r>
      <w:r w:rsidR="00840733" w:rsidRPr="001F52A8">
        <w:rPr>
          <w:rFonts w:cstheme="minorHAnsi"/>
        </w:rPr>
        <w:t>if they relate</w:t>
      </w:r>
      <w:r w:rsidR="009F321A">
        <w:rPr>
          <w:rFonts w:cstheme="minorHAnsi"/>
        </w:rPr>
        <w:t>d</w:t>
      </w:r>
      <w:r w:rsidR="00840733" w:rsidRPr="001F52A8">
        <w:rPr>
          <w:rFonts w:cstheme="minorHAnsi"/>
        </w:rPr>
        <w:t xml:space="preserve"> to a straightforward historical action involving </w:t>
      </w:r>
      <w:r w:rsidR="00D24313" w:rsidRPr="001F52A8">
        <w:rPr>
          <w:rFonts w:cstheme="minorHAnsi"/>
        </w:rPr>
        <w:t xml:space="preserve">Saul’s </w:t>
      </w:r>
      <w:r w:rsidR="009C0825" w:rsidRPr="001F52A8">
        <w:rPr>
          <w:rFonts w:cstheme="minorHAnsi"/>
        </w:rPr>
        <w:t xml:space="preserve">showing mercy </w:t>
      </w:r>
      <w:r w:rsidR="00AC74E1" w:rsidRPr="001F52A8">
        <w:rPr>
          <w:rFonts w:cstheme="minorHAnsi"/>
        </w:rPr>
        <w:t xml:space="preserve">in </w:t>
      </w:r>
      <w:r w:rsidR="00D24313" w:rsidRPr="001F52A8">
        <w:rPr>
          <w:rFonts w:cstheme="minorHAnsi"/>
        </w:rPr>
        <w:t>his</w:t>
      </w:r>
      <w:r w:rsidR="00AC74E1" w:rsidRPr="001F52A8">
        <w:rPr>
          <w:rFonts w:cstheme="minorHAnsi"/>
        </w:rPr>
        <w:t xml:space="preserve"> act of slaughter</w:t>
      </w:r>
      <w:r w:rsidR="00462A70" w:rsidRPr="001F52A8">
        <w:rPr>
          <w:rFonts w:cstheme="minorHAnsi"/>
        </w:rPr>
        <w:t>;</w:t>
      </w:r>
      <w:r w:rsidR="00877F52" w:rsidRPr="001F52A8">
        <w:rPr>
          <w:rFonts w:cstheme="minorHAnsi"/>
        </w:rPr>
        <w:t xml:space="preserve"> Hosea and</w:t>
      </w:r>
      <w:r w:rsidR="00ED4F7B">
        <w:rPr>
          <w:rFonts w:cstheme="minorHAnsi"/>
        </w:rPr>
        <w:t xml:space="preserve"> </w:t>
      </w:r>
      <w:r w:rsidR="00877F52" w:rsidRPr="001F52A8">
        <w:rPr>
          <w:rFonts w:cstheme="minorHAnsi"/>
        </w:rPr>
        <w:t>Amos are</w:t>
      </w:r>
      <w:r w:rsidR="00C84237" w:rsidRPr="001F52A8">
        <w:rPr>
          <w:rFonts w:cstheme="minorHAnsi"/>
        </w:rPr>
        <w:t xml:space="preserve"> </w:t>
      </w:r>
      <w:r w:rsidR="00877F52" w:rsidRPr="001F52A8">
        <w:rPr>
          <w:rFonts w:cstheme="minorHAnsi"/>
        </w:rPr>
        <w:t>co</w:t>
      </w:r>
      <w:r w:rsidR="000265B4" w:rsidRPr="001F52A8">
        <w:rPr>
          <w:rFonts w:cstheme="minorHAnsi"/>
        </w:rPr>
        <w:t>ntrast</w:t>
      </w:r>
      <w:r w:rsidR="00C84237" w:rsidRPr="001F52A8">
        <w:rPr>
          <w:rFonts w:cstheme="minorHAnsi"/>
        </w:rPr>
        <w:t xml:space="preserve">ing </w:t>
      </w:r>
      <w:r w:rsidR="00866B09" w:rsidRPr="001F52A8">
        <w:rPr>
          <w:rFonts w:cstheme="minorHAnsi"/>
        </w:rPr>
        <w:t xml:space="preserve">burnt offerings and </w:t>
      </w:r>
      <w:r w:rsidR="005B2306" w:rsidRPr="001F52A8">
        <w:rPr>
          <w:rFonts w:cstheme="minorHAnsi"/>
        </w:rPr>
        <w:t>sacrifices with</w:t>
      </w:r>
      <w:r w:rsidR="000265B4" w:rsidRPr="001F52A8">
        <w:rPr>
          <w:rFonts w:cstheme="minorHAnsi"/>
        </w:rPr>
        <w:t xml:space="preserve"> </w:t>
      </w:r>
      <w:r w:rsidR="00A976BE" w:rsidRPr="001F52A8">
        <w:rPr>
          <w:rFonts w:cstheme="minorHAnsi"/>
        </w:rPr>
        <w:t xml:space="preserve">commitment and </w:t>
      </w:r>
      <w:r w:rsidR="000B5D38" w:rsidRPr="001F52A8">
        <w:rPr>
          <w:rFonts w:cstheme="minorHAnsi"/>
        </w:rPr>
        <w:t>faithfulness (</w:t>
      </w:r>
      <w:r w:rsidR="000B5D38" w:rsidRPr="001F52A8">
        <w:rPr>
          <w:rFonts w:cstheme="minorHAnsi"/>
          <w:i/>
          <w:iCs/>
        </w:rPr>
        <w:t xml:space="preserve">ḥesed </w:t>
      </w:r>
      <w:r w:rsidR="000B5D38" w:rsidRPr="001F52A8">
        <w:rPr>
          <w:rFonts w:cstheme="minorHAnsi"/>
        </w:rPr>
        <w:t xml:space="preserve">and </w:t>
      </w:r>
      <w:r w:rsidR="000B5D38" w:rsidRPr="001F52A8">
        <w:rPr>
          <w:rFonts w:cstheme="minorHAnsi"/>
          <w:i/>
          <w:iCs/>
        </w:rPr>
        <w:t>ṣədā</w:t>
      </w:r>
      <w:r w:rsidR="00D84DEA" w:rsidRPr="001F52A8">
        <w:rPr>
          <w:rFonts w:cstheme="minorHAnsi"/>
          <w:i/>
          <w:iCs/>
        </w:rPr>
        <w:t>q</w:t>
      </w:r>
      <w:r w:rsidR="000B5D38" w:rsidRPr="001F52A8">
        <w:rPr>
          <w:rFonts w:cstheme="minorHAnsi"/>
          <w:i/>
          <w:iCs/>
        </w:rPr>
        <w:t>â</w:t>
      </w:r>
      <w:r w:rsidR="00B204BB" w:rsidRPr="001F52A8">
        <w:rPr>
          <w:rFonts w:cstheme="minorHAnsi"/>
        </w:rPr>
        <w:t>)</w:t>
      </w:r>
      <w:r w:rsidR="00BD3BAD" w:rsidRPr="001F52A8">
        <w:rPr>
          <w:rFonts w:cstheme="minorHAnsi"/>
        </w:rPr>
        <w:t xml:space="preserve"> </w:t>
      </w:r>
      <w:r w:rsidR="0088197B" w:rsidRPr="001F52A8">
        <w:rPr>
          <w:rFonts w:cstheme="minorHAnsi"/>
        </w:rPr>
        <w:t xml:space="preserve">not </w:t>
      </w:r>
      <w:r w:rsidR="00E20F1D" w:rsidRPr="001F52A8">
        <w:rPr>
          <w:rFonts w:cstheme="minorHAnsi"/>
        </w:rPr>
        <w:t xml:space="preserve">with </w:t>
      </w:r>
      <w:r w:rsidR="00C47DD7">
        <w:rPr>
          <w:rFonts w:cstheme="minorHAnsi"/>
        </w:rPr>
        <w:t xml:space="preserve">unsparing </w:t>
      </w:r>
      <w:r w:rsidR="009F2FA3" w:rsidRPr="001F52A8">
        <w:rPr>
          <w:rFonts w:cstheme="minorHAnsi"/>
        </w:rPr>
        <w:t>slaughter</w:t>
      </w:r>
      <w:r w:rsidR="00E20F1D" w:rsidRPr="001F52A8">
        <w:rPr>
          <w:rFonts w:cstheme="minorHAnsi"/>
        </w:rPr>
        <w:t xml:space="preserve">. </w:t>
      </w:r>
      <w:r w:rsidR="007215A6">
        <w:rPr>
          <w:rFonts w:cstheme="minorHAnsi"/>
        </w:rPr>
        <w:t>But i</w:t>
      </w:r>
      <w:r w:rsidR="00C522CE" w:rsidRPr="001F52A8">
        <w:rPr>
          <w:rFonts w:cstheme="minorHAnsi"/>
        </w:rPr>
        <w:t xml:space="preserve">f Amalek stands for </w:t>
      </w:r>
      <w:r w:rsidR="00794DDF" w:rsidRPr="001F52A8">
        <w:rPr>
          <w:rFonts w:cstheme="minorHAnsi"/>
        </w:rPr>
        <w:t>forces of disorder and opposition to Yahweh, the indictment makes more sense</w:t>
      </w:r>
      <w:r w:rsidR="0027077C" w:rsidRPr="001F52A8">
        <w:rPr>
          <w:rFonts w:cstheme="minorHAnsi"/>
        </w:rPr>
        <w:t xml:space="preserve">, </w:t>
      </w:r>
      <w:r w:rsidR="00B90505" w:rsidRPr="001F52A8">
        <w:rPr>
          <w:rFonts w:cstheme="minorHAnsi"/>
        </w:rPr>
        <w:t xml:space="preserve">and </w:t>
      </w:r>
      <w:r w:rsidR="0027077C" w:rsidRPr="001F52A8">
        <w:rPr>
          <w:rFonts w:cstheme="minorHAnsi"/>
        </w:rPr>
        <w:t>also compares with the equivalent indictment in Jer 7</w:t>
      </w:r>
      <w:r w:rsidR="00614B4B" w:rsidRPr="001F52A8">
        <w:rPr>
          <w:rFonts w:cstheme="minorHAnsi"/>
        </w:rPr>
        <w:t xml:space="preserve">:16-26. </w:t>
      </w:r>
      <w:r w:rsidR="006F0BDE" w:rsidRPr="001F52A8">
        <w:rPr>
          <w:rFonts w:cstheme="minorHAnsi"/>
        </w:rPr>
        <w:t xml:space="preserve">Compromising over Amalek </w:t>
      </w:r>
      <w:r w:rsidR="00021152" w:rsidRPr="001F52A8">
        <w:rPr>
          <w:rFonts w:cstheme="minorHAnsi"/>
        </w:rPr>
        <w:t xml:space="preserve">is </w:t>
      </w:r>
      <w:r w:rsidR="00B90505" w:rsidRPr="001F52A8">
        <w:rPr>
          <w:rFonts w:cstheme="minorHAnsi"/>
        </w:rPr>
        <w:t xml:space="preserve">indeed </w:t>
      </w:r>
      <w:r w:rsidR="00021152" w:rsidRPr="001F52A8">
        <w:rPr>
          <w:rFonts w:cstheme="minorHAnsi"/>
        </w:rPr>
        <w:t xml:space="preserve">like compromising over divination </w:t>
      </w:r>
      <w:r w:rsidR="00DB3105" w:rsidRPr="001F52A8">
        <w:rPr>
          <w:rFonts w:cstheme="minorHAnsi"/>
        </w:rPr>
        <w:t>by means</w:t>
      </w:r>
      <w:r w:rsidR="003878EE" w:rsidRPr="001F52A8">
        <w:rPr>
          <w:rFonts w:cstheme="minorHAnsi"/>
        </w:rPr>
        <w:t xml:space="preserve"> of effigies (</w:t>
      </w:r>
      <w:r w:rsidR="0072656E" w:rsidRPr="001F52A8">
        <w:rPr>
          <w:rFonts w:cstheme="minorHAnsi"/>
          <w:i/>
          <w:iCs/>
        </w:rPr>
        <w:t>tərāpîm</w:t>
      </w:r>
      <w:r w:rsidR="0072656E" w:rsidRPr="001F52A8">
        <w:rPr>
          <w:rFonts w:cstheme="minorHAnsi"/>
        </w:rPr>
        <w:t>)</w:t>
      </w:r>
      <w:r w:rsidR="00CB4BB0" w:rsidRPr="001F52A8">
        <w:rPr>
          <w:rFonts w:cstheme="minorHAnsi"/>
        </w:rPr>
        <w:t>.</w:t>
      </w:r>
      <w:r w:rsidR="003B2F3D" w:rsidRPr="001F52A8">
        <w:rPr>
          <w:rFonts w:cstheme="minorHAnsi"/>
        </w:rPr>
        <w:t xml:space="preserve"> I take </w:t>
      </w:r>
      <w:r w:rsidR="00CB4BB0" w:rsidRPr="001F52A8">
        <w:rPr>
          <w:rFonts w:cstheme="minorHAnsi"/>
        </w:rPr>
        <w:t xml:space="preserve">the effigies </w:t>
      </w:r>
      <w:r w:rsidR="003B2F3D" w:rsidRPr="001F52A8">
        <w:rPr>
          <w:rFonts w:cstheme="minorHAnsi"/>
        </w:rPr>
        <w:t>to be</w:t>
      </w:r>
      <w:r w:rsidR="003B2F3D" w:rsidRPr="001F52A8">
        <w:t xml:space="preserve"> represent</w:t>
      </w:r>
      <w:r w:rsidR="00863F70" w:rsidRPr="001F52A8">
        <w:t>ations of</w:t>
      </w:r>
      <w:r w:rsidR="003B2F3D" w:rsidRPr="001F52A8">
        <w:t xml:space="preserve"> family members who have passed, who can be honored and remembered by means of the</w:t>
      </w:r>
      <w:r w:rsidR="00863F70" w:rsidRPr="001F52A8">
        <w:t>m</w:t>
      </w:r>
      <w:r w:rsidR="003B2F3D" w:rsidRPr="001F52A8">
        <w:t xml:space="preserve"> and can also be consulted for information (especially about the future) </w:t>
      </w:r>
      <w:r w:rsidR="002F6EF6" w:rsidRPr="001F52A8">
        <w:t>that they</w:t>
      </w:r>
      <w:r w:rsidR="003B2F3D" w:rsidRPr="001F52A8">
        <w:t xml:space="preserve"> </w:t>
      </w:r>
      <w:r w:rsidR="00D57050" w:rsidRPr="001F52A8">
        <w:t>now possess</w:t>
      </w:r>
      <w:r w:rsidR="003B2F3D" w:rsidRPr="001F52A8">
        <w:t xml:space="preserve"> </w:t>
      </w:r>
      <w:r w:rsidR="00D57050" w:rsidRPr="001F52A8">
        <w:t>through being</w:t>
      </w:r>
      <w:r w:rsidR="00480E86" w:rsidRPr="001F52A8">
        <w:t xml:space="preserve"> </w:t>
      </w:r>
      <w:r w:rsidR="003B2F3D" w:rsidRPr="001F52A8">
        <w:t xml:space="preserve">beyond the confines of this world. </w:t>
      </w:r>
      <w:r w:rsidR="00F309EB" w:rsidRPr="001F52A8">
        <w:t>Divination by consulting Yahweh (the Urim and Thummim)</w:t>
      </w:r>
      <w:r w:rsidR="00F01A5C" w:rsidRPr="001F52A8">
        <w:t xml:space="preserve"> would be </w:t>
      </w:r>
      <w:r w:rsidR="00F01A5C" w:rsidRPr="001F52A8">
        <w:lastRenderedPageBreak/>
        <w:t>okay for Israel</w:t>
      </w:r>
      <w:r w:rsidR="009A74D0" w:rsidRPr="001F52A8">
        <w:t>,</w:t>
      </w:r>
      <w:r w:rsidR="00F01A5C" w:rsidRPr="001F52A8">
        <w:t xml:space="preserve"> and divination by means of effigies might be understandable </w:t>
      </w:r>
      <w:r w:rsidR="003F15A4" w:rsidRPr="001F52A8">
        <w:t xml:space="preserve">on the part of other peoples, but </w:t>
      </w:r>
      <w:r w:rsidR="00DC0556" w:rsidRPr="001F52A8">
        <w:t>Israel</w:t>
      </w:r>
      <w:r w:rsidR="009A74D0" w:rsidRPr="001F52A8">
        <w:t>’s</w:t>
      </w:r>
      <w:r w:rsidR="00DC0556" w:rsidRPr="001F52A8">
        <w:t xml:space="preserve"> use </w:t>
      </w:r>
      <w:r w:rsidR="009A74D0" w:rsidRPr="001F52A8">
        <w:t xml:space="preserve">of </w:t>
      </w:r>
      <w:r w:rsidR="00DC0556" w:rsidRPr="001F52A8">
        <w:t>such means would be an act of rebellion</w:t>
      </w:r>
      <w:r w:rsidR="00CB4BB0" w:rsidRPr="001F52A8">
        <w:t xml:space="preserve"> and rebuff of Yahweh’s word</w:t>
      </w:r>
      <w:r w:rsidR="006A53FD" w:rsidRPr="001F52A8">
        <w:t xml:space="preserve">. </w:t>
      </w:r>
      <w:r w:rsidR="009A74D0" w:rsidRPr="001F52A8">
        <w:t>C</w:t>
      </w:r>
      <w:r w:rsidR="006A53FD" w:rsidRPr="001F52A8">
        <w:t xml:space="preserve">ompromising over </w:t>
      </w:r>
      <w:r w:rsidR="005520AF" w:rsidRPr="001F52A8">
        <w:t>repud</w:t>
      </w:r>
      <w:r w:rsidR="00DD704B">
        <w:t>iat</w:t>
      </w:r>
      <w:r w:rsidR="005520AF" w:rsidRPr="001F52A8">
        <w:t>i</w:t>
      </w:r>
      <w:r w:rsidR="00663463">
        <w:t>ng</w:t>
      </w:r>
      <w:r w:rsidR="005520AF" w:rsidRPr="001F52A8">
        <w:t xml:space="preserve"> </w:t>
      </w:r>
      <w:r w:rsidR="00B67D9E" w:rsidRPr="001F52A8">
        <w:t xml:space="preserve">the </w:t>
      </w:r>
      <w:r w:rsidR="00157154" w:rsidRPr="001F52A8">
        <w:t>opposition to Yahweh that Amalek symbolizes</w:t>
      </w:r>
      <w:r w:rsidR="00205865" w:rsidRPr="001F52A8">
        <w:t xml:space="preserve"> belongs in the same category.</w:t>
      </w:r>
      <w:r w:rsidR="00A338A7" w:rsidRPr="001F52A8">
        <w:t xml:space="preserve"> </w:t>
      </w:r>
      <w:r w:rsidR="00681426" w:rsidRPr="001F52A8">
        <w:t>“</w:t>
      </w:r>
      <w:r w:rsidR="00681426" w:rsidRPr="001F52A8">
        <w:rPr>
          <w:rFonts w:ascii="Calibri" w:hAnsi="Calibri" w:cs="Calibri"/>
        </w:rPr>
        <w:t>Here, then, was Saul’s sin. He wished to be more merciful than God.”</w:t>
      </w:r>
      <w:r w:rsidR="00681426" w:rsidRPr="001F52A8">
        <w:rPr>
          <w:rStyle w:val="FootnoteReference"/>
          <w:rFonts w:ascii="Calibri" w:hAnsi="Calibri" w:cs="Calibri"/>
        </w:rPr>
        <w:footnoteReference w:id="166"/>
      </w:r>
    </w:p>
    <w:p w14:paraId="4E2EAFA9" w14:textId="5490DD7D" w:rsidR="000112F8" w:rsidRPr="001F52A8" w:rsidRDefault="000112F8" w:rsidP="000B0A0F">
      <w:pPr>
        <w:pStyle w:val="Heading2"/>
      </w:pPr>
      <w:r w:rsidRPr="001F52A8">
        <w:t>Relenting</w:t>
      </w:r>
    </w:p>
    <w:p w14:paraId="26DC9B63" w14:textId="18232DAE" w:rsidR="00BA4635" w:rsidRDefault="008C7879" w:rsidP="00E10899">
      <w:pPr>
        <w:rPr>
          <w:rFonts w:cstheme="minorHAnsi"/>
        </w:rPr>
      </w:pPr>
      <w:r w:rsidRPr="001F52A8">
        <w:rPr>
          <w:rFonts w:cstheme="minorHAnsi"/>
        </w:rPr>
        <w:t xml:space="preserve">When </w:t>
      </w:r>
      <w:r w:rsidR="005B0946" w:rsidRPr="001F52A8">
        <w:rPr>
          <w:rFonts w:cstheme="minorHAnsi"/>
        </w:rPr>
        <w:t>Samuel</w:t>
      </w:r>
      <w:r w:rsidRPr="001F52A8">
        <w:rPr>
          <w:rFonts w:cstheme="minorHAnsi"/>
        </w:rPr>
        <w:t xml:space="preserve"> declared</w:t>
      </w:r>
      <w:r w:rsidR="005B0946" w:rsidRPr="001F52A8">
        <w:rPr>
          <w:rFonts w:cstheme="minorHAnsi"/>
        </w:rPr>
        <w:t xml:space="preserve"> that</w:t>
      </w:r>
      <w:r w:rsidR="00357FB5" w:rsidRPr="001F52A8">
        <w:rPr>
          <w:rFonts w:cstheme="minorHAnsi"/>
        </w:rPr>
        <w:t xml:space="preserve"> </w:t>
      </w:r>
      <w:r w:rsidRPr="001F52A8">
        <w:rPr>
          <w:rFonts w:cstheme="minorHAnsi"/>
        </w:rPr>
        <w:t>Saul’</w:t>
      </w:r>
      <w:r w:rsidR="00357FB5" w:rsidRPr="001F52A8">
        <w:rPr>
          <w:rFonts w:cstheme="minorHAnsi"/>
        </w:rPr>
        <w:t>s reign</w:t>
      </w:r>
      <w:r w:rsidRPr="001F52A8">
        <w:rPr>
          <w:rFonts w:cstheme="minorHAnsi"/>
        </w:rPr>
        <w:t xml:space="preserve"> would not stand</w:t>
      </w:r>
      <w:r w:rsidR="003E0AFC" w:rsidRPr="001F52A8">
        <w:rPr>
          <w:rFonts w:cstheme="minorHAnsi"/>
        </w:rPr>
        <w:t>,</w:t>
      </w:r>
      <w:r w:rsidR="00B71CE6">
        <w:rPr>
          <w:rFonts w:cstheme="minorHAnsi"/>
        </w:rPr>
        <w:t xml:space="preserve"> </w:t>
      </w:r>
      <w:r w:rsidR="003E0AFC" w:rsidRPr="001F52A8">
        <w:rPr>
          <w:rFonts w:cstheme="minorHAnsi"/>
        </w:rPr>
        <w:t>might</w:t>
      </w:r>
      <w:r w:rsidR="002C14BF" w:rsidRPr="001F52A8">
        <w:rPr>
          <w:rFonts w:cstheme="minorHAnsi"/>
        </w:rPr>
        <w:t xml:space="preserve"> </w:t>
      </w:r>
      <w:r w:rsidR="003E0AFC" w:rsidRPr="001F52A8">
        <w:rPr>
          <w:rFonts w:cstheme="minorHAnsi"/>
        </w:rPr>
        <w:t xml:space="preserve">the pronouncement </w:t>
      </w:r>
      <w:r w:rsidR="00F433F7" w:rsidRPr="001F52A8">
        <w:rPr>
          <w:rFonts w:cstheme="minorHAnsi"/>
        </w:rPr>
        <w:t>presuppos</w:t>
      </w:r>
      <w:r w:rsidR="0021586A" w:rsidRPr="001F52A8">
        <w:rPr>
          <w:rFonts w:cstheme="minorHAnsi"/>
        </w:rPr>
        <w:t>e an “unless</w:t>
      </w:r>
      <w:r w:rsidR="00F433F7" w:rsidRPr="001F52A8">
        <w:rPr>
          <w:rFonts w:cstheme="minorHAnsi"/>
        </w:rPr>
        <w:t xml:space="preserve">,” like </w:t>
      </w:r>
      <w:r w:rsidR="00DC2D2A" w:rsidRPr="001F52A8">
        <w:rPr>
          <w:rFonts w:cstheme="minorHAnsi"/>
        </w:rPr>
        <w:t>Jonah’s</w:t>
      </w:r>
      <w:r w:rsidR="00F433F7" w:rsidRPr="001F52A8">
        <w:rPr>
          <w:rFonts w:cstheme="minorHAnsi"/>
        </w:rPr>
        <w:t xml:space="preserve"> equivalent </w:t>
      </w:r>
      <w:r w:rsidR="00DC2D2A" w:rsidRPr="001F52A8">
        <w:rPr>
          <w:rFonts w:cstheme="minorHAnsi"/>
        </w:rPr>
        <w:t>pronouncement to Nineveh</w:t>
      </w:r>
      <w:r w:rsidR="00B71CE6">
        <w:rPr>
          <w:rFonts w:cstheme="minorHAnsi"/>
        </w:rPr>
        <w:t>?</w:t>
      </w:r>
      <w:r w:rsidR="0021586A" w:rsidRPr="001F52A8">
        <w:rPr>
          <w:rFonts w:cstheme="minorHAnsi"/>
        </w:rPr>
        <w:t xml:space="preserve"> Saul </w:t>
      </w:r>
      <w:r w:rsidR="006121D3" w:rsidRPr="001F52A8">
        <w:rPr>
          <w:rFonts w:cstheme="minorHAnsi"/>
        </w:rPr>
        <w:t xml:space="preserve">certainly hopes that Yahweh leaves open the possibility of </w:t>
      </w:r>
      <w:r w:rsidR="00D85B6D" w:rsidRPr="001F52A8">
        <w:rPr>
          <w:rFonts w:cstheme="minorHAnsi"/>
        </w:rPr>
        <w:t xml:space="preserve">repentance and </w:t>
      </w:r>
      <w:r w:rsidR="002B4AF2" w:rsidRPr="001F52A8">
        <w:rPr>
          <w:rFonts w:cstheme="minorHAnsi"/>
        </w:rPr>
        <w:t>of finding</w:t>
      </w:r>
      <w:r w:rsidR="00D85B6D" w:rsidRPr="001F52A8">
        <w:rPr>
          <w:rFonts w:cstheme="minorHAnsi"/>
        </w:rPr>
        <w:t xml:space="preserve"> </w:t>
      </w:r>
      <w:r w:rsidR="00DB1B19" w:rsidRPr="001F52A8">
        <w:rPr>
          <w:rFonts w:cstheme="minorHAnsi"/>
        </w:rPr>
        <w:t>forgiveness</w:t>
      </w:r>
      <w:r w:rsidR="00696006">
        <w:rPr>
          <w:rFonts w:cstheme="minorHAnsi"/>
        </w:rPr>
        <w:t>: “p</w:t>
      </w:r>
      <w:r w:rsidR="00A349CF" w:rsidRPr="001F52A8">
        <w:rPr>
          <w:rFonts w:cstheme="minorHAnsi"/>
        </w:rPr>
        <w:t xml:space="preserve">lease </w:t>
      </w:r>
      <w:r w:rsidR="00217203" w:rsidRPr="001F52A8">
        <w:rPr>
          <w:rFonts w:cstheme="minorHAnsi"/>
        </w:rPr>
        <w:t>carry my w</w:t>
      </w:r>
      <w:r w:rsidR="00E136CF" w:rsidRPr="001F52A8">
        <w:rPr>
          <w:rFonts w:cstheme="minorHAnsi"/>
        </w:rPr>
        <w:t>r</w:t>
      </w:r>
      <w:r w:rsidR="00217203" w:rsidRPr="001F52A8">
        <w:rPr>
          <w:rFonts w:cstheme="minorHAnsi"/>
        </w:rPr>
        <w:t>ongdoing</w:t>
      </w:r>
      <w:r w:rsidR="00002238" w:rsidRPr="001F52A8">
        <w:rPr>
          <w:rFonts w:cstheme="minorHAnsi"/>
        </w:rPr>
        <w:t>”</w:t>
      </w:r>
      <w:r w:rsidR="002C7577">
        <w:rPr>
          <w:rFonts w:cstheme="minorHAnsi"/>
        </w:rPr>
        <w:t xml:space="preserve"> (15:2</w:t>
      </w:r>
      <w:r w:rsidR="006E6B1B">
        <w:rPr>
          <w:rFonts w:cstheme="minorHAnsi"/>
        </w:rPr>
        <w:t>5).</w:t>
      </w:r>
      <w:r w:rsidR="00002238" w:rsidRPr="001F52A8">
        <w:rPr>
          <w:rFonts w:cstheme="minorHAnsi"/>
        </w:rPr>
        <w:t xml:space="preserve"> The verb (</w:t>
      </w:r>
      <w:r w:rsidR="00002238" w:rsidRPr="001F52A8">
        <w:rPr>
          <w:rFonts w:cstheme="minorHAnsi"/>
          <w:i/>
          <w:iCs/>
        </w:rPr>
        <w:t>nāśā</w:t>
      </w:r>
      <w:r w:rsidR="00977A4B" w:rsidRPr="001F52A8">
        <w:rPr>
          <w:rFonts w:cstheme="minorHAnsi"/>
          <w:i/>
          <w:iCs/>
        </w:rPr>
        <w:t>’</w:t>
      </w:r>
      <w:r w:rsidR="00977A4B" w:rsidRPr="001F52A8">
        <w:rPr>
          <w:rFonts w:cstheme="minorHAnsi"/>
        </w:rPr>
        <w:t>)</w:t>
      </w:r>
      <w:r w:rsidR="00A62160">
        <w:rPr>
          <w:rFonts w:cstheme="minorHAnsi"/>
        </w:rPr>
        <w:t>,</w:t>
      </w:r>
      <w:r w:rsidR="00002238" w:rsidRPr="001F52A8">
        <w:rPr>
          <w:rFonts w:cstheme="minorHAnsi"/>
        </w:rPr>
        <w:t xml:space="preserve"> the regular</w:t>
      </w:r>
      <w:r w:rsidR="00977A4B" w:rsidRPr="001F52A8">
        <w:rPr>
          <w:rFonts w:cstheme="minorHAnsi"/>
        </w:rPr>
        <w:t xml:space="preserve"> </w:t>
      </w:r>
      <w:r w:rsidR="00E97807" w:rsidRPr="001F52A8">
        <w:rPr>
          <w:rFonts w:cstheme="minorHAnsi"/>
        </w:rPr>
        <w:t>term for forgiveness</w:t>
      </w:r>
      <w:r w:rsidR="00E63DB1">
        <w:rPr>
          <w:rFonts w:cstheme="minorHAnsi"/>
        </w:rPr>
        <w:t>,</w:t>
      </w:r>
      <w:r w:rsidR="000803E8" w:rsidRPr="001F52A8">
        <w:rPr>
          <w:rFonts w:cstheme="minorHAnsi"/>
        </w:rPr>
        <w:t xml:space="preserve"> </w:t>
      </w:r>
      <w:r w:rsidR="00E63DB1">
        <w:rPr>
          <w:rFonts w:cstheme="minorHAnsi"/>
        </w:rPr>
        <w:t>suggest</w:t>
      </w:r>
      <w:r w:rsidR="000803E8" w:rsidRPr="001F52A8">
        <w:rPr>
          <w:rFonts w:cstheme="minorHAnsi"/>
        </w:rPr>
        <w:t xml:space="preserve">s declining to require a person to carry the consequences of their wrongdoing and </w:t>
      </w:r>
      <w:r w:rsidR="00E63DB1">
        <w:rPr>
          <w:rFonts w:cstheme="minorHAnsi"/>
        </w:rPr>
        <w:t>agreeing</w:t>
      </w:r>
      <w:r w:rsidR="000803E8" w:rsidRPr="001F52A8">
        <w:rPr>
          <w:rFonts w:cstheme="minorHAnsi"/>
        </w:rPr>
        <w:t xml:space="preserve"> to carry them oneself.</w:t>
      </w:r>
      <w:r w:rsidR="00FE3492" w:rsidRPr="001F52A8">
        <w:rPr>
          <w:rFonts w:cstheme="minorHAnsi"/>
        </w:rPr>
        <w:t xml:space="preserve"> “G</w:t>
      </w:r>
      <w:r w:rsidR="009A6B7C" w:rsidRPr="001F52A8">
        <w:rPr>
          <w:rFonts w:cstheme="minorHAnsi"/>
        </w:rPr>
        <w:t>o back with me so I may bow down to Yahweh</w:t>
      </w:r>
      <w:r w:rsidR="00FE3492" w:rsidRPr="001F52A8">
        <w:rPr>
          <w:rFonts w:ascii="Calibri" w:hAnsi="Calibri" w:cs="Calibri"/>
        </w:rPr>
        <w:t>,</w:t>
      </w:r>
      <w:r w:rsidR="0058740C" w:rsidRPr="001F52A8">
        <w:rPr>
          <w:rFonts w:ascii="Calibri" w:hAnsi="Calibri" w:cs="Calibri"/>
        </w:rPr>
        <w:t>”</w:t>
      </w:r>
      <w:r w:rsidR="00FE3492" w:rsidRPr="001F52A8">
        <w:rPr>
          <w:rFonts w:ascii="Calibri" w:hAnsi="Calibri" w:cs="Calibri"/>
        </w:rPr>
        <w:t xml:space="preserve"> Saul adds.</w:t>
      </w:r>
      <w:r w:rsidR="0058740C" w:rsidRPr="001F52A8">
        <w:rPr>
          <w:rFonts w:ascii="Calibri" w:hAnsi="Calibri" w:cs="Calibri"/>
        </w:rPr>
        <w:t xml:space="preserve"> Samue</w:t>
      </w:r>
      <w:r w:rsidR="000055EF" w:rsidRPr="001F52A8">
        <w:rPr>
          <w:rFonts w:ascii="Calibri" w:hAnsi="Calibri" w:cs="Calibri"/>
        </w:rPr>
        <w:t xml:space="preserve">l </w:t>
      </w:r>
      <w:r w:rsidR="0058740C" w:rsidRPr="001F52A8">
        <w:rPr>
          <w:rFonts w:ascii="Calibri" w:hAnsi="Calibri" w:cs="Calibri"/>
        </w:rPr>
        <w:t xml:space="preserve">refuses. </w:t>
      </w:r>
      <w:r w:rsidR="00F2602D" w:rsidRPr="001F52A8">
        <w:rPr>
          <w:rFonts w:ascii="Calibri" w:hAnsi="Calibri" w:cs="Calibri"/>
        </w:rPr>
        <w:t>“You have rebuffed Yahweh’s</w:t>
      </w:r>
      <w:r w:rsidR="00F2602D" w:rsidRPr="001F52A8">
        <w:rPr>
          <w:rFonts w:cstheme="minorHAnsi"/>
        </w:rPr>
        <w:t xml:space="preserve"> word, and Yahweh has rebuffed you from being king</w:t>
      </w:r>
      <w:r w:rsidR="00255720" w:rsidRPr="001F52A8">
        <w:rPr>
          <w:rFonts w:cstheme="minorHAnsi"/>
        </w:rPr>
        <w:t>.</w:t>
      </w:r>
      <w:r w:rsidR="009047F4" w:rsidRPr="001F52A8">
        <w:rPr>
          <w:rFonts w:cstheme="minorHAnsi"/>
        </w:rPr>
        <w:t xml:space="preserve">” </w:t>
      </w:r>
      <w:r w:rsidR="00D15F1C" w:rsidRPr="001F52A8">
        <w:rPr>
          <w:rFonts w:cstheme="minorHAnsi"/>
        </w:rPr>
        <w:t xml:space="preserve">He is giving the kingship to Saul’s </w:t>
      </w:r>
      <w:r w:rsidR="00E83573" w:rsidRPr="001F52A8">
        <w:rPr>
          <w:rFonts w:cstheme="minorHAnsi"/>
        </w:rPr>
        <w:t>“</w:t>
      </w:r>
      <w:r w:rsidR="00D15F1C" w:rsidRPr="001F52A8">
        <w:rPr>
          <w:rFonts w:cstheme="minorHAnsi"/>
        </w:rPr>
        <w:t>neighbor,</w:t>
      </w:r>
      <w:r w:rsidR="003D6ADA">
        <w:rPr>
          <w:rFonts w:cstheme="minorHAnsi"/>
        </w:rPr>
        <w:t xml:space="preserve"> . . .</w:t>
      </w:r>
      <w:r w:rsidR="00D15F1C" w:rsidRPr="001F52A8">
        <w:rPr>
          <w:rFonts w:cstheme="minorHAnsi"/>
        </w:rPr>
        <w:t xml:space="preserve"> a better man</w:t>
      </w:r>
      <w:r w:rsidR="00E83573" w:rsidRPr="001F52A8">
        <w:rPr>
          <w:rFonts w:cstheme="minorHAnsi"/>
        </w:rPr>
        <w:t>”</w:t>
      </w:r>
      <w:r w:rsidR="00D15F1C" w:rsidRPr="001F52A8">
        <w:rPr>
          <w:rFonts w:cstheme="minorHAnsi"/>
        </w:rPr>
        <w:t xml:space="preserve"> than him</w:t>
      </w:r>
      <w:r w:rsidR="00CB76F0" w:rsidRPr="001F52A8">
        <w:rPr>
          <w:rFonts w:cstheme="minorHAnsi"/>
        </w:rPr>
        <w:t>, a good man as he is not</w:t>
      </w:r>
      <w:r w:rsidR="009F140C" w:rsidRPr="001F52A8">
        <w:rPr>
          <w:rFonts w:cstheme="minorHAnsi"/>
        </w:rPr>
        <w:t>. A</w:t>
      </w:r>
      <w:r w:rsidR="009047F4" w:rsidRPr="001F52A8">
        <w:rPr>
          <w:rFonts w:cstheme="minorHAnsi"/>
        </w:rPr>
        <w:t>nd</w:t>
      </w:r>
      <w:r w:rsidR="00DD0B43" w:rsidRPr="001F52A8">
        <w:rPr>
          <w:rFonts w:cstheme="minorHAnsi"/>
        </w:rPr>
        <w:t xml:space="preserve"> “</w:t>
      </w:r>
      <w:r w:rsidR="009047F4" w:rsidRPr="001F52A8">
        <w:rPr>
          <w:rFonts w:cstheme="minorHAnsi"/>
        </w:rPr>
        <w:t>t</w:t>
      </w:r>
      <w:r w:rsidR="00DD0B43" w:rsidRPr="001F52A8">
        <w:rPr>
          <w:rFonts w:cstheme="minorHAnsi"/>
        </w:rPr>
        <w:t xml:space="preserve">he </w:t>
      </w:r>
      <w:r w:rsidR="00344C4D" w:rsidRPr="001F52A8">
        <w:rPr>
          <w:rFonts w:cstheme="minorHAnsi"/>
        </w:rPr>
        <w:t>G</w:t>
      </w:r>
      <w:r w:rsidR="00DD0B43" w:rsidRPr="001F52A8">
        <w:rPr>
          <w:rFonts w:cstheme="minorHAnsi"/>
        </w:rPr>
        <w:t>lory of Israel</w:t>
      </w:r>
      <w:r w:rsidR="00344C4D" w:rsidRPr="001F52A8">
        <w:rPr>
          <w:rFonts w:cstheme="minorHAnsi"/>
        </w:rPr>
        <w:t xml:space="preserve"> </w:t>
      </w:r>
      <w:r w:rsidR="001009D1">
        <w:rPr>
          <w:rFonts w:cstheme="minorHAnsi"/>
        </w:rPr>
        <w:t>will</w:t>
      </w:r>
      <w:r w:rsidR="00344C4D" w:rsidRPr="001F52A8">
        <w:rPr>
          <w:rFonts w:cstheme="minorHAnsi"/>
        </w:rPr>
        <w:t xml:space="preserve"> not </w:t>
      </w:r>
      <w:r w:rsidR="00165AF9" w:rsidRPr="001F52A8">
        <w:rPr>
          <w:rFonts w:cstheme="minorHAnsi"/>
        </w:rPr>
        <w:t>act falsel</w:t>
      </w:r>
      <w:r w:rsidR="00A337CD">
        <w:rPr>
          <w:rFonts w:cstheme="minorHAnsi"/>
        </w:rPr>
        <w:t>y</w:t>
      </w:r>
      <w:r w:rsidR="00A337CD">
        <w:rPr>
          <w:rStyle w:val="FootnoteReference"/>
          <w:rFonts w:cstheme="minorHAnsi"/>
        </w:rPr>
        <w:footnoteReference w:id="167"/>
      </w:r>
      <w:r w:rsidR="00344C4D" w:rsidRPr="001F52A8">
        <w:rPr>
          <w:rFonts w:cstheme="minorHAnsi"/>
        </w:rPr>
        <w:t xml:space="preserve"> and </w:t>
      </w:r>
      <w:r w:rsidR="001009D1">
        <w:rPr>
          <w:rFonts w:cstheme="minorHAnsi"/>
        </w:rPr>
        <w:t>will</w:t>
      </w:r>
      <w:r w:rsidR="00344C4D" w:rsidRPr="001F52A8">
        <w:rPr>
          <w:rFonts w:cstheme="minorHAnsi"/>
        </w:rPr>
        <w:t xml:space="preserve"> not relent</w:t>
      </w:r>
      <w:r w:rsidR="004B1B66" w:rsidRPr="001F52A8">
        <w:rPr>
          <w:rFonts w:cstheme="minorHAnsi"/>
        </w:rPr>
        <w:t>, because he is not a human being, to relent</w:t>
      </w:r>
      <w:r w:rsidR="00557292" w:rsidRPr="001F52A8">
        <w:rPr>
          <w:rFonts w:cstheme="minorHAnsi"/>
        </w:rPr>
        <w:t xml:space="preserve">.” This rebuff does not </w:t>
      </w:r>
      <w:r w:rsidR="003D5B4A">
        <w:rPr>
          <w:rFonts w:cstheme="minorHAnsi"/>
        </w:rPr>
        <w:t>dissuade</w:t>
      </w:r>
      <w:r w:rsidR="003D5B4A" w:rsidRPr="001F52A8">
        <w:rPr>
          <w:rFonts w:cstheme="minorHAnsi"/>
        </w:rPr>
        <w:t xml:space="preserve"> </w:t>
      </w:r>
      <w:r w:rsidR="00557292" w:rsidRPr="001F52A8">
        <w:rPr>
          <w:rFonts w:cstheme="minorHAnsi"/>
        </w:rPr>
        <w:t>Saul</w:t>
      </w:r>
      <w:r w:rsidR="008A1CBB" w:rsidRPr="001F52A8">
        <w:rPr>
          <w:rFonts w:cstheme="minorHAnsi"/>
        </w:rPr>
        <w:t xml:space="preserve">; </w:t>
      </w:r>
      <w:r w:rsidR="003D5B4A">
        <w:rPr>
          <w:rFonts w:cstheme="minorHAnsi"/>
        </w:rPr>
        <w:t xml:space="preserve">he </w:t>
      </w:r>
      <w:r w:rsidR="008A1CBB" w:rsidRPr="001F52A8">
        <w:rPr>
          <w:rFonts w:cstheme="minorHAnsi"/>
        </w:rPr>
        <w:t xml:space="preserve">again acknowledges his wrongdoing, and </w:t>
      </w:r>
      <w:r w:rsidR="00564EC9" w:rsidRPr="001F52A8">
        <w:rPr>
          <w:rFonts w:cstheme="minorHAnsi"/>
        </w:rPr>
        <w:t>does</w:t>
      </w:r>
      <w:r w:rsidR="006A2F7E" w:rsidRPr="001F52A8">
        <w:rPr>
          <w:rFonts w:cstheme="minorHAnsi"/>
        </w:rPr>
        <w:t xml:space="preserve"> bow down to Yahweh (</w:t>
      </w:r>
      <w:r w:rsidR="00B0092C" w:rsidRPr="001F52A8">
        <w:rPr>
          <w:rFonts w:cstheme="minorHAnsi"/>
        </w:rPr>
        <w:t>15:2</w:t>
      </w:r>
      <w:r w:rsidR="009047F4" w:rsidRPr="001F52A8">
        <w:rPr>
          <w:rFonts w:cstheme="minorHAnsi"/>
        </w:rPr>
        <w:t>4</w:t>
      </w:r>
      <w:r w:rsidR="00B0092C" w:rsidRPr="001F52A8">
        <w:rPr>
          <w:rFonts w:cstheme="minorHAnsi"/>
        </w:rPr>
        <w:t>-29).</w:t>
      </w:r>
      <w:r w:rsidR="002F7528" w:rsidRPr="001F52A8">
        <w:rPr>
          <w:rFonts w:cstheme="minorHAnsi"/>
        </w:rPr>
        <w:t xml:space="preserve"> </w:t>
      </w:r>
      <w:r w:rsidR="00940462">
        <w:rPr>
          <w:rFonts w:cstheme="minorHAnsi"/>
        </w:rPr>
        <w:t xml:space="preserve">But there’s no indication of a response. </w:t>
      </w:r>
      <w:r w:rsidR="001E1859" w:rsidRPr="001F52A8">
        <w:rPr>
          <w:rFonts w:cstheme="minorHAnsi"/>
        </w:rPr>
        <w:t>Samuel grieve</w:t>
      </w:r>
      <w:r w:rsidR="00907534">
        <w:rPr>
          <w:rFonts w:cstheme="minorHAnsi"/>
        </w:rPr>
        <w:t>s</w:t>
      </w:r>
      <w:r w:rsidR="001E1859" w:rsidRPr="001F52A8">
        <w:rPr>
          <w:rFonts w:cstheme="minorHAnsi"/>
        </w:rPr>
        <w:t xml:space="preserve"> over Saul</w:t>
      </w:r>
      <w:r w:rsidR="00330590" w:rsidRPr="001F52A8">
        <w:rPr>
          <w:rFonts w:cstheme="minorHAnsi"/>
        </w:rPr>
        <w:t xml:space="preserve"> (15:35)</w:t>
      </w:r>
      <w:r w:rsidR="002801D0" w:rsidRPr="001F52A8">
        <w:rPr>
          <w:rFonts w:cstheme="minorHAnsi"/>
        </w:rPr>
        <w:t>.</w:t>
      </w:r>
      <w:r w:rsidR="006E3D2F" w:rsidRPr="001F52A8">
        <w:rPr>
          <w:rFonts w:cstheme="minorHAnsi"/>
        </w:rPr>
        <w:t xml:space="preserve"> </w:t>
      </w:r>
      <w:r w:rsidR="00054B2D" w:rsidRPr="001F52A8">
        <w:rPr>
          <w:rFonts w:cstheme="minorHAnsi"/>
        </w:rPr>
        <w:t xml:space="preserve">It’s </w:t>
      </w:r>
      <w:r w:rsidR="00A863C1" w:rsidRPr="001F52A8">
        <w:rPr>
          <w:rFonts w:cstheme="minorHAnsi"/>
        </w:rPr>
        <w:t xml:space="preserve">not only as if Saul’s reign is over; it’s </w:t>
      </w:r>
      <w:r w:rsidR="00054B2D" w:rsidRPr="001F52A8">
        <w:rPr>
          <w:rFonts w:cstheme="minorHAnsi"/>
        </w:rPr>
        <w:t>as if Saul is already dead.</w:t>
      </w:r>
      <w:r w:rsidR="00A863C1" w:rsidRPr="001F52A8">
        <w:rPr>
          <w:rStyle w:val="FootnoteReference"/>
          <w:rFonts w:cstheme="minorHAnsi"/>
        </w:rPr>
        <w:footnoteReference w:id="168"/>
      </w:r>
      <w:r w:rsidR="00E10899">
        <w:rPr>
          <w:rFonts w:cstheme="minorHAnsi"/>
        </w:rPr>
        <w:t xml:space="preserve"> </w:t>
      </w:r>
      <w:r w:rsidR="001448B9">
        <w:rPr>
          <w:rFonts w:cstheme="minorHAnsi"/>
        </w:rPr>
        <w:t>T</w:t>
      </w:r>
      <w:r w:rsidR="009B17D9">
        <w:rPr>
          <w:rFonts w:cstheme="minorHAnsi"/>
        </w:rPr>
        <w:t>hey never see each other again</w:t>
      </w:r>
    </w:p>
    <w:p w14:paraId="43B16C7C" w14:textId="328B098D" w:rsidR="00CA3752" w:rsidRPr="001F52A8" w:rsidRDefault="00683D25" w:rsidP="00E10899">
      <w:pPr>
        <w:rPr>
          <w:rFonts w:cstheme="minorHAnsi"/>
        </w:rPr>
      </w:pPr>
      <w:r>
        <w:rPr>
          <w:rFonts w:cstheme="minorHAnsi"/>
        </w:rPr>
        <w:t>First</w:t>
      </w:r>
      <w:r w:rsidR="00B31895">
        <w:rPr>
          <w:rFonts w:cstheme="minorHAnsi"/>
        </w:rPr>
        <w:t xml:space="preserve"> Sam</w:t>
      </w:r>
      <w:r>
        <w:rPr>
          <w:rFonts w:cstheme="minorHAnsi"/>
        </w:rPr>
        <w:t>uel</w:t>
      </w:r>
      <w:r w:rsidR="00B31895">
        <w:rPr>
          <w:rFonts w:cstheme="minorHAnsi"/>
        </w:rPr>
        <w:t xml:space="preserve"> 13 and 15 </w:t>
      </w:r>
      <w:r w:rsidR="00CA3752">
        <w:rPr>
          <w:rFonts w:cstheme="minorHAnsi"/>
        </w:rPr>
        <w:t xml:space="preserve">parallel other stories where </w:t>
      </w:r>
      <w:r w:rsidR="00DA66E0">
        <w:rPr>
          <w:rFonts w:cstheme="minorHAnsi"/>
        </w:rPr>
        <w:t xml:space="preserve">calamity follows </w:t>
      </w:r>
      <w:r w:rsidR="00E10BBB">
        <w:rPr>
          <w:rFonts w:cstheme="minorHAnsi"/>
        </w:rPr>
        <w:t xml:space="preserve">what seems </w:t>
      </w:r>
      <w:r w:rsidR="009574FB">
        <w:rPr>
          <w:rFonts w:cstheme="minorHAnsi"/>
        </w:rPr>
        <w:t>not such a gigantic</w:t>
      </w:r>
      <w:r w:rsidR="00E10BBB">
        <w:rPr>
          <w:rFonts w:cstheme="minorHAnsi"/>
        </w:rPr>
        <w:t xml:space="preserve"> </w:t>
      </w:r>
      <w:r w:rsidR="00E560A7">
        <w:rPr>
          <w:rFonts w:cstheme="minorHAnsi"/>
        </w:rPr>
        <w:t>mistake or wrongdoing</w:t>
      </w:r>
      <w:r w:rsidR="00F23FC2">
        <w:rPr>
          <w:rFonts w:cstheme="minorHAnsi"/>
        </w:rPr>
        <w:t xml:space="preserve">: </w:t>
      </w:r>
      <w:r w:rsidR="00A77399">
        <w:rPr>
          <w:rFonts w:cstheme="minorHAnsi"/>
        </w:rPr>
        <w:t>compare</w:t>
      </w:r>
      <w:r w:rsidR="00E10BBB">
        <w:rPr>
          <w:rFonts w:cstheme="minorHAnsi"/>
        </w:rPr>
        <w:t xml:space="preserve"> 2 Sam</w:t>
      </w:r>
      <w:r w:rsidR="00F23FC2">
        <w:rPr>
          <w:rFonts w:cstheme="minorHAnsi"/>
        </w:rPr>
        <w:t>uel</w:t>
      </w:r>
      <w:r w:rsidR="00E10BBB">
        <w:rPr>
          <w:rFonts w:cstheme="minorHAnsi"/>
        </w:rPr>
        <w:t xml:space="preserve"> </w:t>
      </w:r>
      <w:r w:rsidR="00810EB1">
        <w:rPr>
          <w:rFonts w:cstheme="minorHAnsi"/>
        </w:rPr>
        <w:t>6; also Gen</w:t>
      </w:r>
      <w:r w:rsidR="00A77399">
        <w:rPr>
          <w:rFonts w:cstheme="minorHAnsi"/>
        </w:rPr>
        <w:t>esis</w:t>
      </w:r>
      <w:r w:rsidR="00810EB1">
        <w:rPr>
          <w:rFonts w:cstheme="minorHAnsi"/>
        </w:rPr>
        <w:t xml:space="preserve"> 3; </w:t>
      </w:r>
      <w:r w:rsidR="00A77399">
        <w:rPr>
          <w:rFonts w:cstheme="minorHAnsi"/>
        </w:rPr>
        <w:t xml:space="preserve">Exodus 32; </w:t>
      </w:r>
      <w:r w:rsidR="00810EB1">
        <w:rPr>
          <w:rFonts w:cstheme="minorHAnsi"/>
        </w:rPr>
        <w:t>Josh</w:t>
      </w:r>
      <w:r w:rsidR="00A77399">
        <w:rPr>
          <w:rFonts w:cstheme="minorHAnsi"/>
        </w:rPr>
        <w:t>ua</w:t>
      </w:r>
      <w:r w:rsidR="00810EB1">
        <w:rPr>
          <w:rFonts w:cstheme="minorHAnsi"/>
        </w:rPr>
        <w:t xml:space="preserve"> 7</w:t>
      </w:r>
      <w:r w:rsidR="0001541A">
        <w:rPr>
          <w:rFonts w:cstheme="minorHAnsi"/>
        </w:rPr>
        <w:t>; Act</w:t>
      </w:r>
      <w:r w:rsidR="00527EC1">
        <w:rPr>
          <w:rFonts w:cstheme="minorHAnsi"/>
        </w:rPr>
        <w:t>s</w:t>
      </w:r>
      <w:r w:rsidR="0001541A">
        <w:rPr>
          <w:rFonts w:cstheme="minorHAnsi"/>
        </w:rPr>
        <w:t xml:space="preserve"> </w:t>
      </w:r>
      <w:r w:rsidR="00527EC1">
        <w:rPr>
          <w:rFonts w:cstheme="minorHAnsi"/>
        </w:rPr>
        <w:t>5</w:t>
      </w:r>
      <w:r w:rsidR="00810EB1">
        <w:rPr>
          <w:rFonts w:cstheme="minorHAnsi"/>
        </w:rPr>
        <w:t>.</w:t>
      </w:r>
      <w:r w:rsidR="009574FB">
        <w:rPr>
          <w:rFonts w:cstheme="minorHAnsi"/>
        </w:rPr>
        <w:t xml:space="preserve"> </w:t>
      </w:r>
      <w:r w:rsidR="002513CA">
        <w:rPr>
          <w:rFonts w:cstheme="minorHAnsi"/>
        </w:rPr>
        <w:t>They</w:t>
      </w:r>
      <w:r w:rsidR="00C9170E">
        <w:rPr>
          <w:rFonts w:cstheme="minorHAnsi"/>
        </w:rPr>
        <w:t xml:space="preserve"> offer some comfort in connection with the way life does work in that way.</w:t>
      </w:r>
      <w:r w:rsidR="00595CB4">
        <w:rPr>
          <w:rFonts w:cstheme="minorHAnsi"/>
        </w:rPr>
        <w:t xml:space="preserve"> </w:t>
      </w:r>
      <w:r w:rsidR="00536434">
        <w:rPr>
          <w:rFonts w:cstheme="minorHAnsi"/>
        </w:rPr>
        <w:t>But</w:t>
      </w:r>
      <w:r w:rsidR="009364D3">
        <w:rPr>
          <w:rFonts w:cstheme="minorHAnsi"/>
        </w:rPr>
        <w:t xml:space="preserve"> none of</w:t>
      </w:r>
      <w:r w:rsidR="00842000">
        <w:rPr>
          <w:rFonts w:cstheme="minorHAnsi"/>
        </w:rPr>
        <w:t xml:space="preserve"> </w:t>
      </w:r>
      <w:r w:rsidR="00536434">
        <w:rPr>
          <w:rFonts w:cstheme="minorHAnsi"/>
        </w:rPr>
        <w:t xml:space="preserve">these examples </w:t>
      </w:r>
      <w:r w:rsidR="009364D3">
        <w:rPr>
          <w:rFonts w:cstheme="minorHAnsi"/>
        </w:rPr>
        <w:t xml:space="preserve">happen at ordinary moments. </w:t>
      </w:r>
      <w:r w:rsidR="007C7373">
        <w:rPr>
          <w:rFonts w:cstheme="minorHAnsi"/>
        </w:rPr>
        <w:t>All have special significance because of the context to which they belon</w:t>
      </w:r>
      <w:r w:rsidR="00FB1C9E">
        <w:rPr>
          <w:rFonts w:cstheme="minorHAnsi"/>
        </w:rPr>
        <w:t xml:space="preserve">g. </w:t>
      </w:r>
      <w:r w:rsidR="00D50A7C">
        <w:rPr>
          <w:rFonts w:cstheme="minorHAnsi"/>
        </w:rPr>
        <w:t xml:space="preserve">Here, </w:t>
      </w:r>
      <w:r w:rsidR="00D50A7C">
        <w:t>Israel’s “No” to Yahweh as king (1 Sam 12:12)</w:t>
      </w:r>
    </w:p>
    <w:p w14:paraId="1956E4A8" w14:textId="77777777" w:rsidR="0057656F" w:rsidRDefault="0057656F" w:rsidP="0057656F">
      <w:pPr>
        <w:pStyle w:val="Quote"/>
      </w:pPr>
    </w:p>
    <w:p w14:paraId="47A20DCF" w14:textId="74EF12AD" w:rsidR="00A84CCC" w:rsidRDefault="0057656F" w:rsidP="00996A31">
      <w:pPr>
        <w:pStyle w:val="Quote"/>
      </w:pPr>
      <w:r>
        <w:t>must be broken with the revelation of the divine Yes of the kingdom instituted by God, which does not compete with God’s own kingdom. And in order to represent this Israelite No and at the same time the fact that it is broken by the divine Yes, Saul must first become king. No gross, no blatant personal sin of Saul is needed to exhibit this negative aspect of the grace of the kingdom willed and created by God. All that needs to be seen is that he is just the person and ideal which the nation has foolishly imagined, and can only imagine, as its king. And it is this which is made evident in the double sinning which is microscopic to human eyes, but gigantic and absolutely decisive in God’s eyes</w:t>
      </w:r>
      <w:r w:rsidR="00A016C9">
        <w:t xml:space="preserve"> . . . .</w:t>
      </w:r>
      <w:r w:rsidR="00996A31">
        <w:t xml:space="preserve"> </w:t>
      </w:r>
      <w:r w:rsidR="00A84CCC">
        <w:t xml:space="preserve">It is because </w:t>
      </w:r>
      <w:r w:rsidR="00646EEF">
        <w:t>Saul</w:t>
      </w:r>
      <w:r w:rsidR="00A84CCC">
        <w:t xml:space="preserve"> represents Israel in its resistance to Yahweh being its king that he has to be rejected.</w:t>
      </w:r>
      <w:r w:rsidR="00A84CCC">
        <w:rPr>
          <w:rStyle w:val="FootnoteReference"/>
        </w:rPr>
        <w:footnoteReference w:id="169"/>
      </w:r>
    </w:p>
    <w:p w14:paraId="10F6D79E" w14:textId="77777777" w:rsidR="00996A31" w:rsidRDefault="00996A31" w:rsidP="008471AA">
      <w:pPr>
        <w:rPr>
          <w:rFonts w:cstheme="minorHAnsi"/>
        </w:rPr>
      </w:pPr>
    </w:p>
    <w:p w14:paraId="205AF000" w14:textId="26E0E998" w:rsidR="008F3BEE" w:rsidRPr="001F52A8" w:rsidRDefault="00B03A2A" w:rsidP="008F3BEE">
      <w:pPr>
        <w:rPr>
          <w:rFonts w:cstheme="minorHAnsi"/>
        </w:rPr>
      </w:pPr>
      <w:r>
        <w:rPr>
          <w:rFonts w:cstheme="minorHAnsi"/>
        </w:rPr>
        <w:t>T</w:t>
      </w:r>
      <w:r w:rsidR="006B7AD5" w:rsidRPr="0073276B">
        <w:rPr>
          <w:rFonts w:cstheme="minorHAnsi"/>
        </w:rPr>
        <w:t xml:space="preserve">he </w:t>
      </w:r>
      <w:r w:rsidR="00064C8B">
        <w:rPr>
          <w:rFonts w:cstheme="minorHAnsi"/>
        </w:rPr>
        <w:t>underlying</w:t>
      </w:r>
      <w:r w:rsidR="006B7AD5">
        <w:rPr>
          <w:rFonts w:cstheme="minorHAnsi"/>
        </w:rPr>
        <w:t xml:space="preserve"> </w:t>
      </w:r>
      <w:r w:rsidR="006B7AD5" w:rsidRPr="0073276B">
        <w:rPr>
          <w:rFonts w:cstheme="minorHAnsi"/>
        </w:rPr>
        <w:t>cause of Saul's rejection lie</w:t>
      </w:r>
      <w:r>
        <w:rPr>
          <w:rFonts w:cstheme="minorHAnsi"/>
        </w:rPr>
        <w:t>s</w:t>
      </w:r>
      <w:r w:rsidR="006B7AD5" w:rsidRPr="0073276B">
        <w:rPr>
          <w:rFonts w:cstheme="minorHAnsi"/>
        </w:rPr>
        <w:t xml:space="preserve"> not in his action in chapter 13</w:t>
      </w:r>
      <w:r w:rsidR="006B7AD5">
        <w:rPr>
          <w:rFonts w:cstheme="minorHAnsi"/>
        </w:rPr>
        <w:t xml:space="preserve"> </w:t>
      </w:r>
      <w:r w:rsidR="006B7AD5" w:rsidRPr="0073276B">
        <w:rPr>
          <w:rFonts w:cstheme="minorHAnsi"/>
        </w:rPr>
        <w:t xml:space="preserve">but in the attitude of Yahweh towards him or </w:t>
      </w:r>
      <w:r w:rsidR="004C5A19">
        <w:rPr>
          <w:rFonts w:cstheme="minorHAnsi"/>
        </w:rPr>
        <w:t xml:space="preserve">in </w:t>
      </w:r>
      <w:r w:rsidR="006B7AD5" w:rsidRPr="0073276B">
        <w:rPr>
          <w:rFonts w:cstheme="minorHAnsi"/>
        </w:rPr>
        <w:t>something he represent</w:t>
      </w:r>
      <w:r w:rsidR="00D96782">
        <w:rPr>
          <w:rFonts w:cstheme="minorHAnsi"/>
        </w:rPr>
        <w:t>s:</w:t>
      </w:r>
      <w:r w:rsidR="007E7582">
        <w:rPr>
          <w:rFonts w:cstheme="minorHAnsi"/>
        </w:rPr>
        <w:t xml:space="preserve"> “I gave you a king in my anger, and took him </w:t>
      </w:r>
      <w:r w:rsidR="00920F5F">
        <w:rPr>
          <w:rFonts w:cstheme="minorHAnsi"/>
        </w:rPr>
        <w:t xml:space="preserve">in </w:t>
      </w:r>
      <w:r w:rsidR="007E7582">
        <w:rPr>
          <w:rFonts w:cstheme="minorHAnsi"/>
        </w:rPr>
        <w:t xml:space="preserve">my </w:t>
      </w:r>
      <w:r w:rsidR="007E7582">
        <w:rPr>
          <w:rFonts w:cstheme="minorHAnsi"/>
        </w:rPr>
        <w:lastRenderedPageBreak/>
        <w:t>wrath” (Hos 13:8).</w:t>
      </w:r>
      <w:r w:rsidR="007E7582">
        <w:rPr>
          <w:rStyle w:val="FootnoteReference"/>
          <w:rFonts w:cstheme="minorHAnsi"/>
        </w:rPr>
        <w:footnoteReference w:id="170"/>
      </w:r>
      <w:r w:rsidR="007E7582">
        <w:rPr>
          <w:rFonts w:cstheme="minorHAnsi"/>
        </w:rPr>
        <w:t xml:space="preserve"> </w:t>
      </w:r>
      <w:r w:rsidR="00021C69" w:rsidRPr="001F52A8">
        <w:rPr>
          <w:rFonts w:cstheme="minorHAnsi"/>
        </w:rPr>
        <w:t>While monarchy was a development that Yahweh had not wanted</w:t>
      </w:r>
      <w:r w:rsidR="006969AF">
        <w:rPr>
          <w:rFonts w:cstheme="minorHAnsi"/>
        </w:rPr>
        <w:t>,</w:t>
      </w:r>
      <w:r w:rsidR="00021C69" w:rsidRPr="001F52A8">
        <w:rPr>
          <w:rFonts w:cstheme="minorHAnsi"/>
        </w:rPr>
        <w:t xml:space="preserve"> and he had appointed a man who would not fulfill the job description, the narrative does not </w:t>
      </w:r>
      <w:r w:rsidR="003722A4">
        <w:rPr>
          <w:rFonts w:cstheme="minorHAnsi"/>
        </w:rPr>
        <w:t xml:space="preserve">quite </w:t>
      </w:r>
      <w:r w:rsidR="00021C69" w:rsidRPr="001F52A8">
        <w:rPr>
          <w:rFonts w:cstheme="minorHAnsi"/>
        </w:rPr>
        <w:t xml:space="preserve">suggest that he had deliberately appointed someone who would fail. </w:t>
      </w:r>
      <w:r w:rsidR="008F3BEE">
        <w:rPr>
          <w:rFonts w:cstheme="minorHAnsi"/>
        </w:rPr>
        <w:t>“</w:t>
      </w:r>
      <w:r w:rsidR="003A7F25">
        <w:rPr>
          <w:rFonts w:cstheme="minorHAnsi"/>
        </w:rPr>
        <w:t>F</w:t>
      </w:r>
      <w:r w:rsidR="008F3BEE">
        <w:rPr>
          <w:rFonts w:cstheme="minorHAnsi"/>
        </w:rPr>
        <w:t>ate and flaw”</w:t>
      </w:r>
      <w:r w:rsidR="003A7F25">
        <w:rPr>
          <w:rFonts w:cstheme="minorHAnsi"/>
        </w:rPr>
        <w:t xml:space="preserve"> are part of Saul’s story,</w:t>
      </w:r>
      <w:r w:rsidR="008F3BEE">
        <w:rPr>
          <w:rFonts w:cstheme="minorHAnsi"/>
        </w:rPr>
        <w:t xml:space="preserve"> </w:t>
      </w:r>
      <w:r w:rsidR="006E7CD3">
        <w:rPr>
          <w:rFonts w:cstheme="minorHAnsi"/>
        </w:rPr>
        <w:t>though</w:t>
      </w:r>
      <w:r w:rsidR="008F3BEE">
        <w:rPr>
          <w:rFonts w:cstheme="minorHAnsi"/>
        </w:rPr>
        <w:t xml:space="preserve"> especially fate</w:t>
      </w:r>
      <w:r w:rsidR="009B2F35">
        <w:rPr>
          <w:rFonts w:cstheme="minorHAnsi"/>
        </w:rPr>
        <w:t xml:space="preserve">; </w:t>
      </w:r>
      <w:r w:rsidR="004C5A19" w:rsidRPr="001F52A8">
        <w:rPr>
          <w:rFonts w:ascii="Calibri" w:hAnsi="Calibri" w:cs="Calibri"/>
        </w:rPr>
        <w:t>Saul become</w:t>
      </w:r>
      <w:r w:rsidR="008A2DD3">
        <w:rPr>
          <w:rFonts w:ascii="Calibri" w:hAnsi="Calibri" w:cs="Calibri"/>
        </w:rPr>
        <w:t>s</w:t>
      </w:r>
      <w:r w:rsidR="004C5A19" w:rsidRPr="001F52A8">
        <w:rPr>
          <w:rFonts w:ascii="Calibri" w:hAnsi="Calibri" w:cs="Calibri"/>
        </w:rPr>
        <w:t xml:space="preserve"> </w:t>
      </w:r>
      <w:r w:rsidR="004C5A19">
        <w:rPr>
          <w:rFonts w:ascii="Calibri" w:hAnsi="Calibri" w:cs="Calibri"/>
        </w:rPr>
        <w:t>“</w:t>
      </w:r>
      <w:r w:rsidR="004C5A19" w:rsidRPr="001F52A8">
        <w:rPr>
          <w:rFonts w:ascii="Calibri" w:hAnsi="Calibri" w:cs="Calibri"/>
        </w:rPr>
        <w:t>kingship's scapegoat</w:t>
      </w:r>
      <w:r w:rsidR="004C5A19">
        <w:rPr>
          <w:rFonts w:ascii="Calibri" w:hAnsi="Calibri" w:cs="Calibri"/>
        </w:rPr>
        <w:t>.”</w:t>
      </w:r>
      <w:r w:rsidR="004C5A19">
        <w:rPr>
          <w:rStyle w:val="FootnoteReference"/>
          <w:rFonts w:ascii="Calibri" w:hAnsi="Calibri" w:cs="Calibri"/>
        </w:rPr>
        <w:footnoteReference w:id="171"/>
      </w:r>
    </w:p>
    <w:p w14:paraId="09F3C7B5" w14:textId="05CE455F" w:rsidR="00F602EF" w:rsidRDefault="000D6A4E" w:rsidP="00F30822">
      <w:pPr>
        <w:rPr>
          <w:rFonts w:cstheme="minorHAnsi"/>
        </w:rPr>
      </w:pPr>
      <w:r w:rsidRPr="001F52A8">
        <w:rPr>
          <w:rFonts w:cstheme="minorHAnsi"/>
        </w:rPr>
        <w:t xml:space="preserve">Whereas some </w:t>
      </w:r>
      <w:r w:rsidR="008471AA" w:rsidRPr="001F52A8">
        <w:rPr>
          <w:rFonts w:cstheme="minorHAnsi"/>
        </w:rPr>
        <w:t xml:space="preserve">Christian readers have been offended at the idea </w:t>
      </w:r>
      <w:r w:rsidR="00AC0327" w:rsidRPr="001F52A8">
        <w:rPr>
          <w:rFonts w:cstheme="minorHAnsi"/>
        </w:rPr>
        <w:t>of</w:t>
      </w:r>
      <w:r w:rsidR="008471AA" w:rsidRPr="001F52A8">
        <w:rPr>
          <w:rFonts w:cstheme="minorHAnsi"/>
        </w:rPr>
        <w:t xml:space="preserve"> God command</w:t>
      </w:r>
      <w:r w:rsidR="00AC0327" w:rsidRPr="001F52A8">
        <w:rPr>
          <w:rFonts w:cstheme="minorHAnsi"/>
        </w:rPr>
        <w:t>ing</w:t>
      </w:r>
      <w:r w:rsidR="008471AA" w:rsidRPr="001F52A8">
        <w:rPr>
          <w:rFonts w:cstheme="minorHAnsi"/>
        </w:rPr>
        <w:t xml:space="preserve"> Saul to devote the Amalekites, other Christian readers have been offended at </w:t>
      </w:r>
      <w:r w:rsidR="001432E8" w:rsidRPr="001F52A8">
        <w:rPr>
          <w:rFonts w:cstheme="minorHAnsi"/>
        </w:rPr>
        <w:t>the idea</w:t>
      </w:r>
      <w:r w:rsidR="00C76D9E" w:rsidRPr="001F52A8">
        <w:rPr>
          <w:rFonts w:cstheme="minorHAnsi"/>
        </w:rPr>
        <w:t xml:space="preserve"> of </w:t>
      </w:r>
      <w:r w:rsidR="00FD60FD" w:rsidRPr="001F52A8">
        <w:rPr>
          <w:rFonts w:cstheme="minorHAnsi"/>
        </w:rPr>
        <w:t xml:space="preserve">God relenting </w:t>
      </w:r>
      <w:r w:rsidR="00DD5A17" w:rsidRPr="001F52A8">
        <w:rPr>
          <w:rFonts w:cstheme="minorHAnsi"/>
        </w:rPr>
        <w:t>or regret</w:t>
      </w:r>
      <w:r w:rsidR="002C6F60" w:rsidRPr="001F52A8">
        <w:rPr>
          <w:rFonts w:cstheme="minorHAnsi"/>
        </w:rPr>
        <w:t xml:space="preserve">ting </w:t>
      </w:r>
      <w:r w:rsidR="00080090" w:rsidRPr="001F52A8">
        <w:rPr>
          <w:rFonts w:cstheme="minorHAnsi"/>
        </w:rPr>
        <w:t xml:space="preserve">or repenting or having a change of mind </w:t>
      </w:r>
      <w:r w:rsidR="007B785C" w:rsidRPr="001F52A8">
        <w:rPr>
          <w:rFonts w:cstheme="minorHAnsi"/>
        </w:rPr>
        <w:t>(</w:t>
      </w:r>
      <w:r w:rsidR="00176484" w:rsidRPr="001F52A8">
        <w:rPr>
          <w:rFonts w:cstheme="minorHAnsi"/>
          <w:i/>
          <w:iCs/>
        </w:rPr>
        <w:t>n</w:t>
      </w:r>
      <w:r w:rsidR="007B785C" w:rsidRPr="001F52A8">
        <w:rPr>
          <w:rFonts w:cstheme="minorHAnsi"/>
          <w:i/>
          <w:iCs/>
        </w:rPr>
        <w:t>āḥ</w:t>
      </w:r>
      <w:r w:rsidR="00176484" w:rsidRPr="001F52A8">
        <w:rPr>
          <w:rFonts w:cstheme="minorHAnsi"/>
          <w:i/>
          <w:iCs/>
        </w:rPr>
        <w:t xml:space="preserve">am </w:t>
      </w:r>
      <w:r w:rsidR="00176484" w:rsidRPr="001F52A8">
        <w:rPr>
          <w:rFonts w:cstheme="minorHAnsi"/>
        </w:rPr>
        <w:t>niphal</w:t>
      </w:r>
      <w:r w:rsidR="001432E8" w:rsidRPr="001F52A8">
        <w:rPr>
          <w:rFonts w:cstheme="minorHAnsi"/>
        </w:rPr>
        <w:t>)</w:t>
      </w:r>
      <w:r w:rsidR="00F719F3">
        <w:rPr>
          <w:rFonts w:cstheme="minorHAnsi"/>
        </w:rPr>
        <w:t xml:space="preserve"> about making Saul king</w:t>
      </w:r>
      <w:r w:rsidR="001432E8" w:rsidRPr="001F52A8">
        <w:rPr>
          <w:rFonts w:cstheme="minorHAnsi"/>
        </w:rPr>
        <w:t xml:space="preserve">. It </w:t>
      </w:r>
      <w:r w:rsidR="00087C56">
        <w:rPr>
          <w:rFonts w:cstheme="minorHAnsi"/>
        </w:rPr>
        <w:t>has been</w:t>
      </w:r>
      <w:r w:rsidR="001432E8" w:rsidRPr="001F52A8">
        <w:rPr>
          <w:rFonts w:cstheme="minorHAnsi"/>
        </w:rPr>
        <w:t xml:space="preserve"> an axiom of Christian thinking that God </w:t>
      </w:r>
      <w:r w:rsidR="008034F8" w:rsidRPr="001F52A8">
        <w:rPr>
          <w:rFonts w:cstheme="minorHAnsi"/>
        </w:rPr>
        <w:t xml:space="preserve">does not </w:t>
      </w:r>
      <w:r w:rsidR="001779B8">
        <w:rPr>
          <w:rFonts w:cstheme="minorHAnsi"/>
        </w:rPr>
        <w:t>change</w:t>
      </w:r>
      <w:r w:rsidR="003E62EF">
        <w:rPr>
          <w:rFonts w:cstheme="minorHAnsi"/>
        </w:rPr>
        <w:t xml:space="preserve"> his</w:t>
      </w:r>
      <w:r w:rsidR="001779B8">
        <w:rPr>
          <w:rFonts w:cstheme="minorHAnsi"/>
        </w:rPr>
        <w:t xml:space="preserve"> mind</w:t>
      </w:r>
      <w:r w:rsidR="008034F8" w:rsidRPr="001F52A8">
        <w:rPr>
          <w:rFonts w:cstheme="minorHAnsi"/>
        </w:rPr>
        <w:t>.</w:t>
      </w:r>
      <w:r w:rsidR="00B8672E" w:rsidRPr="001F52A8">
        <w:rPr>
          <w:rFonts w:cstheme="minorHAnsi"/>
        </w:rPr>
        <w:t xml:space="preserve"> It would imply inconsistency or </w:t>
      </w:r>
      <w:r w:rsidR="00086CB3" w:rsidRPr="001F52A8">
        <w:rPr>
          <w:rFonts w:cstheme="minorHAnsi"/>
        </w:rPr>
        <w:t xml:space="preserve">a recognition that one had made a mistake. When Samuel speaks </w:t>
      </w:r>
      <w:r w:rsidR="00795429" w:rsidRPr="001F52A8">
        <w:rPr>
          <w:rFonts w:cstheme="minorHAnsi"/>
        </w:rPr>
        <w:t>thus</w:t>
      </w:r>
      <w:r w:rsidR="00086CB3" w:rsidRPr="001F52A8">
        <w:rPr>
          <w:rFonts w:cstheme="minorHAnsi"/>
        </w:rPr>
        <w:t xml:space="preserve">, then, </w:t>
      </w:r>
      <w:r w:rsidR="00CD1E00" w:rsidRPr="001F52A8">
        <w:rPr>
          <w:rFonts w:cstheme="minorHAnsi"/>
        </w:rPr>
        <w:t xml:space="preserve">he </w:t>
      </w:r>
      <w:r w:rsidR="00FD60FD" w:rsidRPr="001F52A8">
        <w:rPr>
          <w:rFonts w:cstheme="minorHAnsi"/>
        </w:rPr>
        <w:t>is us</w:t>
      </w:r>
      <w:r w:rsidR="00CD1E00" w:rsidRPr="001F52A8">
        <w:rPr>
          <w:rFonts w:cstheme="minorHAnsi"/>
        </w:rPr>
        <w:t>ing</w:t>
      </w:r>
      <w:r w:rsidR="00FD60FD" w:rsidRPr="001F52A8">
        <w:rPr>
          <w:rFonts w:cstheme="minorHAnsi"/>
        </w:rPr>
        <w:t xml:space="preserve"> a</w:t>
      </w:r>
      <w:r w:rsidR="007A3C7B" w:rsidRPr="001F52A8">
        <w:rPr>
          <w:rFonts w:cstheme="minorHAnsi"/>
        </w:rPr>
        <w:t>nthropo</w:t>
      </w:r>
      <w:r w:rsidR="00314746" w:rsidRPr="001F52A8">
        <w:rPr>
          <w:rFonts w:cstheme="minorHAnsi"/>
        </w:rPr>
        <w:t>pathic</w:t>
      </w:r>
      <w:r w:rsidR="00FD60FD" w:rsidRPr="001F52A8">
        <w:rPr>
          <w:rFonts w:cstheme="minorHAnsi"/>
        </w:rPr>
        <w:t xml:space="preserve"> language</w:t>
      </w:r>
      <w:r w:rsidR="00CD1E00" w:rsidRPr="001F52A8">
        <w:rPr>
          <w:rFonts w:cstheme="minorHAnsi"/>
        </w:rPr>
        <w:t>.</w:t>
      </w:r>
      <w:r w:rsidR="00314746" w:rsidRPr="001F52A8">
        <w:rPr>
          <w:rStyle w:val="FootnoteReference"/>
          <w:rFonts w:cstheme="minorHAnsi"/>
        </w:rPr>
        <w:footnoteReference w:id="172"/>
      </w:r>
      <w:r w:rsidR="00FD60FD" w:rsidRPr="001F52A8">
        <w:rPr>
          <w:rFonts w:cstheme="minorHAnsi"/>
        </w:rPr>
        <w:t xml:space="preserve"> </w:t>
      </w:r>
      <w:r w:rsidR="00B54C06">
        <w:rPr>
          <w:rFonts w:cstheme="minorHAnsi"/>
        </w:rPr>
        <w:t>I</w:t>
      </w:r>
      <w:r w:rsidR="00975E7D">
        <w:rPr>
          <w:rFonts w:cstheme="minorHAnsi"/>
        </w:rPr>
        <w:t>t</w:t>
      </w:r>
      <w:r w:rsidR="00CD1E00" w:rsidRPr="001F52A8">
        <w:rPr>
          <w:rFonts w:cstheme="minorHAnsi"/>
        </w:rPr>
        <w:t xml:space="preserve"> </w:t>
      </w:r>
      <w:r w:rsidR="00DC6305">
        <w:rPr>
          <w:rFonts w:cstheme="minorHAnsi"/>
        </w:rPr>
        <w:t>does</w:t>
      </w:r>
      <w:r w:rsidR="00F57E17" w:rsidRPr="001F52A8">
        <w:rPr>
          <w:rFonts w:cstheme="minorHAnsi"/>
        </w:rPr>
        <w:t xml:space="preserve"> involve anthropopathic language, but</w:t>
      </w:r>
      <w:r w:rsidR="00FD60FD" w:rsidRPr="001F52A8">
        <w:rPr>
          <w:rFonts w:cstheme="minorHAnsi"/>
        </w:rPr>
        <w:t xml:space="preserve"> </w:t>
      </w:r>
      <w:r w:rsidR="00975E7D">
        <w:rPr>
          <w:rFonts w:cstheme="minorHAnsi"/>
        </w:rPr>
        <w:t>so does talk</w:t>
      </w:r>
      <w:r w:rsidR="00A912A3" w:rsidRPr="001F52A8">
        <w:rPr>
          <w:rFonts w:cstheme="minorHAnsi"/>
        </w:rPr>
        <w:t xml:space="preserve"> of God having compassion. </w:t>
      </w:r>
      <w:r w:rsidR="00AD49C8" w:rsidRPr="001F52A8">
        <w:rPr>
          <w:rFonts w:cstheme="minorHAnsi"/>
        </w:rPr>
        <w:t>Near</w:t>
      </w:r>
      <w:r w:rsidR="00F57E17" w:rsidRPr="001F52A8">
        <w:rPr>
          <w:rFonts w:cstheme="minorHAnsi"/>
        </w:rPr>
        <w:t>l</w:t>
      </w:r>
      <w:r w:rsidR="00AD49C8" w:rsidRPr="001F52A8">
        <w:rPr>
          <w:rFonts w:cstheme="minorHAnsi"/>
        </w:rPr>
        <w:t>y</w:t>
      </w:r>
      <w:r w:rsidR="00A912A3" w:rsidRPr="001F52A8">
        <w:rPr>
          <w:rFonts w:cstheme="minorHAnsi"/>
        </w:rPr>
        <w:t xml:space="preserve"> all language about God involves </w:t>
      </w:r>
      <w:r w:rsidR="00826982" w:rsidRPr="001F52A8">
        <w:rPr>
          <w:rFonts w:cstheme="minorHAnsi"/>
        </w:rPr>
        <w:t xml:space="preserve">describing God in human terms, </w:t>
      </w:r>
      <w:r w:rsidR="00D7268F" w:rsidRPr="001F52A8">
        <w:rPr>
          <w:rFonts w:cstheme="minorHAnsi"/>
        </w:rPr>
        <w:t xml:space="preserve">which </w:t>
      </w:r>
      <w:r w:rsidR="00795429" w:rsidRPr="001F52A8">
        <w:rPr>
          <w:rFonts w:cstheme="minorHAnsi"/>
        </w:rPr>
        <w:t>i</w:t>
      </w:r>
      <w:r w:rsidR="0010387D" w:rsidRPr="001F52A8">
        <w:rPr>
          <w:rFonts w:cstheme="minorHAnsi"/>
        </w:rPr>
        <w:t>s</w:t>
      </w:r>
      <w:r w:rsidR="00D7268F" w:rsidRPr="001F52A8">
        <w:rPr>
          <w:rFonts w:cstheme="minorHAnsi"/>
        </w:rPr>
        <w:t xml:space="preserve"> the only way we have to </w:t>
      </w:r>
      <w:r w:rsidR="0010387D" w:rsidRPr="001F52A8">
        <w:rPr>
          <w:rFonts w:cstheme="minorHAnsi"/>
        </w:rPr>
        <w:t>think and speak of God</w:t>
      </w:r>
      <w:r w:rsidR="00795429" w:rsidRPr="001F52A8">
        <w:rPr>
          <w:rFonts w:cstheme="minorHAnsi"/>
        </w:rPr>
        <w:t>;</w:t>
      </w:r>
      <w:r w:rsidR="0010387D" w:rsidRPr="001F52A8">
        <w:rPr>
          <w:rFonts w:cstheme="minorHAnsi"/>
        </w:rPr>
        <w:t xml:space="preserve"> </w:t>
      </w:r>
      <w:r w:rsidR="00F602EF">
        <w:rPr>
          <w:rFonts w:cstheme="minorHAnsi"/>
        </w:rPr>
        <w:t>our</w:t>
      </w:r>
      <w:r w:rsidR="0010387D" w:rsidRPr="001F52A8">
        <w:rPr>
          <w:rFonts w:cstheme="minorHAnsi"/>
        </w:rPr>
        <w:t xml:space="preserve"> </w:t>
      </w:r>
      <w:r w:rsidR="009C2997">
        <w:rPr>
          <w:rFonts w:cstheme="minorHAnsi"/>
        </w:rPr>
        <w:t xml:space="preserve">being </w:t>
      </w:r>
      <w:r w:rsidR="0010387D" w:rsidRPr="001F52A8">
        <w:rPr>
          <w:rFonts w:cstheme="minorHAnsi"/>
        </w:rPr>
        <w:t xml:space="preserve">made in God’s image means </w:t>
      </w:r>
      <w:r w:rsidR="00BD1B99" w:rsidRPr="001F52A8">
        <w:rPr>
          <w:rFonts w:cstheme="minorHAnsi"/>
        </w:rPr>
        <w:t xml:space="preserve">we can use human analogies </w:t>
      </w:r>
      <w:r w:rsidR="000852B2">
        <w:rPr>
          <w:rFonts w:cstheme="minorHAnsi"/>
        </w:rPr>
        <w:t>so</w:t>
      </w:r>
      <w:r w:rsidR="00BD1B99" w:rsidRPr="001F52A8">
        <w:rPr>
          <w:rFonts w:cstheme="minorHAnsi"/>
        </w:rPr>
        <w:t xml:space="preserve"> to think and speak of God truthfully. </w:t>
      </w:r>
      <w:r w:rsidR="00EE79FD">
        <w:rPr>
          <w:rFonts w:cstheme="minorHAnsi"/>
        </w:rPr>
        <w:t>The question is wh</w:t>
      </w:r>
      <w:r w:rsidR="00226EBC">
        <w:rPr>
          <w:rFonts w:cstheme="minorHAnsi"/>
        </w:rPr>
        <w:t>at</w:t>
      </w:r>
      <w:r w:rsidR="00EE79FD">
        <w:rPr>
          <w:rFonts w:cstheme="minorHAnsi"/>
        </w:rPr>
        <w:t xml:space="preserve"> this example of anthro</w:t>
      </w:r>
      <w:r w:rsidR="00226EBC">
        <w:rPr>
          <w:rFonts w:cstheme="minorHAnsi"/>
        </w:rPr>
        <w:t>po</w:t>
      </w:r>
      <w:r w:rsidR="00EE79FD">
        <w:rPr>
          <w:rFonts w:cstheme="minorHAnsi"/>
        </w:rPr>
        <w:t>pathic language tell</w:t>
      </w:r>
      <w:r w:rsidR="00226EBC">
        <w:rPr>
          <w:rFonts w:cstheme="minorHAnsi"/>
        </w:rPr>
        <w:t>s</w:t>
      </w:r>
      <w:r w:rsidR="00EE79FD">
        <w:rPr>
          <w:rFonts w:cstheme="minorHAnsi"/>
        </w:rPr>
        <w:t xml:space="preserve"> us about God.</w:t>
      </w:r>
    </w:p>
    <w:p w14:paraId="5CD56FA6" w14:textId="221F38B3" w:rsidR="002F2B1B" w:rsidRDefault="00181863" w:rsidP="00477B70">
      <w:pPr>
        <w:rPr>
          <w:rFonts w:cstheme="minorHAnsi"/>
        </w:rPr>
      </w:pPr>
      <w:r>
        <w:rPr>
          <w:rFonts w:cstheme="minorHAnsi"/>
        </w:rPr>
        <w:t>S</w:t>
      </w:r>
      <w:r w:rsidR="004204D2" w:rsidRPr="001F52A8">
        <w:rPr>
          <w:rFonts w:cstheme="minorHAnsi"/>
        </w:rPr>
        <w:t>ometimes relenting</w:t>
      </w:r>
      <w:r w:rsidR="00A434AA" w:rsidRPr="001F52A8">
        <w:rPr>
          <w:rFonts w:cstheme="minorHAnsi"/>
        </w:rPr>
        <w:t xml:space="preserve"> </w:t>
      </w:r>
      <w:r w:rsidR="00F8711E" w:rsidRPr="001F52A8">
        <w:rPr>
          <w:rFonts w:cstheme="minorHAnsi"/>
        </w:rPr>
        <w:t xml:space="preserve">is an aspect of the dynamic relationship between God and </w:t>
      </w:r>
      <w:r w:rsidR="002E72D2" w:rsidRPr="001F52A8">
        <w:rPr>
          <w:rFonts w:cstheme="minorHAnsi"/>
        </w:rPr>
        <w:t>humanity</w:t>
      </w:r>
      <w:r w:rsidR="004303F3" w:rsidRPr="001F52A8">
        <w:rPr>
          <w:rFonts w:cstheme="minorHAnsi"/>
        </w:rPr>
        <w:t>.</w:t>
      </w:r>
      <w:r w:rsidR="004303F3" w:rsidRPr="001F52A8">
        <w:rPr>
          <w:rStyle w:val="FootnoteReference"/>
          <w:rFonts w:cstheme="minorHAnsi"/>
        </w:rPr>
        <w:footnoteReference w:id="173"/>
      </w:r>
      <w:r w:rsidR="006E2577" w:rsidRPr="001F52A8">
        <w:rPr>
          <w:rFonts w:cstheme="minorHAnsi"/>
        </w:rPr>
        <w:t xml:space="preserve"> God is not locked into the alleged inflexibility of a </w:t>
      </w:r>
      <w:r w:rsidR="00CB6203" w:rsidRPr="001F52A8">
        <w:rPr>
          <w:rFonts w:cstheme="minorHAnsi"/>
        </w:rPr>
        <w:t xml:space="preserve">Median or </w:t>
      </w:r>
      <w:r w:rsidR="006E2577" w:rsidRPr="001F52A8">
        <w:rPr>
          <w:rFonts w:cstheme="minorHAnsi"/>
        </w:rPr>
        <w:t>Persian</w:t>
      </w:r>
      <w:r w:rsidR="00CB6203" w:rsidRPr="001F52A8">
        <w:rPr>
          <w:rFonts w:cstheme="minorHAnsi"/>
        </w:rPr>
        <w:t xml:space="preserve"> </w:t>
      </w:r>
      <w:r w:rsidR="006E2577" w:rsidRPr="001F52A8">
        <w:rPr>
          <w:rFonts w:cstheme="minorHAnsi"/>
        </w:rPr>
        <w:t>kin</w:t>
      </w:r>
      <w:r w:rsidR="00C1117D" w:rsidRPr="001F52A8">
        <w:rPr>
          <w:rFonts w:cstheme="minorHAnsi"/>
        </w:rPr>
        <w:t xml:space="preserve">g </w:t>
      </w:r>
      <w:r w:rsidR="009C06A7" w:rsidRPr="001F52A8">
        <w:rPr>
          <w:rFonts w:cstheme="minorHAnsi"/>
        </w:rPr>
        <w:t>(Dan 6:8</w:t>
      </w:r>
      <w:r w:rsidR="00125B68" w:rsidRPr="001F52A8">
        <w:rPr>
          <w:rFonts w:cstheme="minorHAnsi"/>
        </w:rPr>
        <w:t xml:space="preserve"> [9</w:t>
      </w:r>
      <w:r w:rsidR="00CB6203" w:rsidRPr="001F52A8">
        <w:rPr>
          <w:rFonts w:cstheme="minorHAnsi"/>
        </w:rPr>
        <w:t>]</w:t>
      </w:r>
      <w:r w:rsidR="009C06A7" w:rsidRPr="001F52A8">
        <w:rPr>
          <w:rFonts w:cstheme="minorHAnsi"/>
        </w:rPr>
        <w:t>)</w:t>
      </w:r>
      <w:r w:rsidR="003638C9" w:rsidRPr="001F52A8">
        <w:rPr>
          <w:rFonts w:cstheme="minorHAnsi"/>
        </w:rPr>
        <w:t xml:space="preserve">. </w:t>
      </w:r>
      <w:r w:rsidR="00DE59FB" w:rsidRPr="001F52A8">
        <w:rPr>
          <w:rFonts w:cstheme="minorHAnsi"/>
        </w:rPr>
        <w:t xml:space="preserve">But God relents for reasons and not </w:t>
      </w:r>
      <w:r w:rsidR="00494B7A" w:rsidRPr="001F52A8">
        <w:rPr>
          <w:rFonts w:cstheme="minorHAnsi"/>
        </w:rPr>
        <w:t>randomly</w:t>
      </w:r>
      <w:r w:rsidR="00E45FE5" w:rsidRPr="001F52A8">
        <w:rPr>
          <w:rFonts w:cstheme="minorHAnsi"/>
        </w:rPr>
        <w:t xml:space="preserve"> in the way that a human being might</w:t>
      </w:r>
      <w:r w:rsidR="00B443C7" w:rsidRPr="001F52A8">
        <w:rPr>
          <w:rFonts w:cstheme="minorHAnsi"/>
        </w:rPr>
        <w:t xml:space="preserve"> (</w:t>
      </w:r>
      <w:r w:rsidR="00564313" w:rsidRPr="001F52A8">
        <w:rPr>
          <w:rFonts w:cstheme="minorHAnsi"/>
        </w:rPr>
        <w:t xml:space="preserve">1 Sam </w:t>
      </w:r>
      <w:r w:rsidR="00B443C7" w:rsidRPr="001F52A8">
        <w:rPr>
          <w:rFonts w:cstheme="minorHAnsi"/>
        </w:rPr>
        <w:t>15:29</w:t>
      </w:r>
      <w:r w:rsidR="006A329B" w:rsidRPr="001F52A8">
        <w:rPr>
          <w:rFonts w:cstheme="minorHAnsi"/>
        </w:rPr>
        <w:t xml:space="preserve">; cf. Num </w:t>
      </w:r>
      <w:r w:rsidR="007324E7" w:rsidRPr="001F52A8">
        <w:rPr>
          <w:rFonts w:cstheme="minorHAnsi"/>
        </w:rPr>
        <w:t>23:19</w:t>
      </w:r>
      <w:r w:rsidR="00B443C7" w:rsidRPr="001F52A8">
        <w:rPr>
          <w:rFonts w:cstheme="minorHAnsi"/>
        </w:rPr>
        <w:t>). Jeremiah 18:</w:t>
      </w:r>
      <w:r w:rsidR="00C67693" w:rsidRPr="001F52A8">
        <w:rPr>
          <w:rFonts w:cstheme="minorHAnsi"/>
        </w:rPr>
        <w:t xml:space="preserve">1-11 </w:t>
      </w:r>
      <w:r w:rsidR="00B86712" w:rsidRPr="001F52A8">
        <w:rPr>
          <w:rFonts w:cstheme="minorHAnsi"/>
        </w:rPr>
        <w:t>speaks of a</w:t>
      </w:r>
      <w:r w:rsidR="00C67693" w:rsidRPr="001F52A8">
        <w:rPr>
          <w:rFonts w:cstheme="minorHAnsi"/>
        </w:rPr>
        <w:t xml:space="preserve"> </w:t>
      </w:r>
      <w:r w:rsidR="00B443C7" w:rsidRPr="001F52A8">
        <w:rPr>
          <w:rFonts w:cstheme="minorHAnsi"/>
        </w:rPr>
        <w:t>principle</w:t>
      </w:r>
      <w:r w:rsidR="003F0D9B" w:rsidRPr="001F52A8">
        <w:rPr>
          <w:rFonts w:cstheme="minorHAnsi"/>
        </w:rPr>
        <w:t>d</w:t>
      </w:r>
      <w:r w:rsidR="00B443C7" w:rsidRPr="001F52A8">
        <w:rPr>
          <w:rFonts w:cstheme="minorHAnsi"/>
        </w:rPr>
        <w:t xml:space="preserve"> basis for his relenting</w:t>
      </w:r>
      <w:r w:rsidR="006145C2">
        <w:rPr>
          <w:rFonts w:cstheme="minorHAnsi"/>
        </w:rPr>
        <w:t xml:space="preserve">, both from </w:t>
      </w:r>
      <w:r w:rsidR="00B07AF1">
        <w:rPr>
          <w:rFonts w:cstheme="minorHAnsi"/>
        </w:rPr>
        <w:t>promises and from threats. T</w:t>
      </w:r>
      <w:r w:rsidR="007E6C5C" w:rsidRPr="001F52A8">
        <w:rPr>
          <w:rFonts w:cstheme="minorHAnsi"/>
        </w:rPr>
        <w:t xml:space="preserve">urning from wrongdoing can </w:t>
      </w:r>
      <w:r w:rsidR="00E605E3" w:rsidRPr="001F52A8">
        <w:rPr>
          <w:rFonts w:cstheme="minorHAnsi"/>
        </w:rPr>
        <w:t xml:space="preserve">cause Yahweh to cancel his declaration of intent, as the Jonah story </w:t>
      </w:r>
      <w:r w:rsidR="006F624B">
        <w:rPr>
          <w:rFonts w:cstheme="minorHAnsi"/>
        </w:rPr>
        <w:t xml:space="preserve">indeed </w:t>
      </w:r>
      <w:r w:rsidR="00E605E3" w:rsidRPr="001F52A8">
        <w:rPr>
          <w:rFonts w:cstheme="minorHAnsi"/>
        </w:rPr>
        <w:t>shows.</w:t>
      </w:r>
      <w:r w:rsidR="006F624B">
        <w:rPr>
          <w:rFonts w:cstheme="minorHAnsi"/>
        </w:rPr>
        <w:t xml:space="preserve"> </w:t>
      </w:r>
    </w:p>
    <w:p w14:paraId="645EE878" w14:textId="6010F1C0" w:rsidR="000116B5" w:rsidRPr="001F52A8" w:rsidRDefault="007C7F19" w:rsidP="00477B70">
      <w:pPr>
        <w:rPr>
          <w:rFonts w:cstheme="minorHAnsi"/>
        </w:rPr>
      </w:pPr>
      <w:r w:rsidRPr="001F52A8">
        <w:rPr>
          <w:rFonts w:cstheme="minorHAnsi"/>
        </w:rPr>
        <w:t>Does Saul</w:t>
      </w:r>
      <w:r w:rsidR="00A41832" w:rsidRPr="001F52A8">
        <w:rPr>
          <w:rFonts w:cstheme="minorHAnsi"/>
        </w:rPr>
        <w:t xml:space="preserve">’s acknowledgment of wrongdoing </w:t>
      </w:r>
      <w:r w:rsidR="00357D03" w:rsidRPr="001F52A8">
        <w:rPr>
          <w:rFonts w:cstheme="minorHAnsi"/>
        </w:rPr>
        <w:t xml:space="preserve">not </w:t>
      </w:r>
      <w:r w:rsidR="00A41832" w:rsidRPr="001F52A8">
        <w:rPr>
          <w:rFonts w:cstheme="minorHAnsi"/>
        </w:rPr>
        <w:t>count</w:t>
      </w:r>
      <w:r w:rsidR="00357D03" w:rsidRPr="001F52A8">
        <w:rPr>
          <w:rFonts w:cstheme="minorHAnsi"/>
        </w:rPr>
        <w:t xml:space="preserve"> as such a turning</w:t>
      </w:r>
      <w:r w:rsidR="00A41832" w:rsidRPr="001F52A8">
        <w:rPr>
          <w:rFonts w:cstheme="minorHAnsi"/>
        </w:rPr>
        <w:t>?</w:t>
      </w:r>
      <w:r w:rsidR="00DE4EC6" w:rsidRPr="001F52A8">
        <w:rPr>
          <w:rFonts w:cstheme="minorHAnsi"/>
        </w:rPr>
        <w:t xml:space="preserve"> </w:t>
      </w:r>
      <w:r w:rsidR="004D4F79" w:rsidRPr="001F52A8">
        <w:rPr>
          <w:rFonts w:cstheme="minorHAnsi"/>
        </w:rPr>
        <w:t xml:space="preserve">It contains no expression of regret, though that feature does not have the importance </w:t>
      </w:r>
      <w:r w:rsidR="00CD336A" w:rsidRPr="001F52A8">
        <w:rPr>
          <w:rFonts w:cstheme="minorHAnsi"/>
        </w:rPr>
        <w:t>i</w:t>
      </w:r>
      <w:r w:rsidR="004D4F79" w:rsidRPr="001F52A8">
        <w:rPr>
          <w:rFonts w:cstheme="minorHAnsi"/>
        </w:rPr>
        <w:t xml:space="preserve">n the Scriptures that it has in Christian spirituality. But neither does it </w:t>
      </w:r>
      <w:r w:rsidR="002F2B1B">
        <w:rPr>
          <w:rFonts w:cstheme="minorHAnsi"/>
        </w:rPr>
        <w:t>explicitly</w:t>
      </w:r>
      <w:r w:rsidR="00CD336A" w:rsidRPr="001F52A8">
        <w:rPr>
          <w:rFonts w:cstheme="minorHAnsi"/>
        </w:rPr>
        <w:t xml:space="preserve"> </w:t>
      </w:r>
      <w:r w:rsidR="004D4F79" w:rsidRPr="001F52A8">
        <w:rPr>
          <w:rFonts w:cstheme="minorHAnsi"/>
        </w:rPr>
        <w:t>refer to turning, which is the essence of repentance in the Scriptures. And it is accompanied by the making of excuses, which always undermines an apology. Further</w:t>
      </w:r>
      <w:r w:rsidR="007964C3" w:rsidRPr="001F52A8">
        <w:rPr>
          <w:rFonts w:cstheme="minorHAnsi"/>
        </w:rPr>
        <w:t>,</w:t>
      </w:r>
      <w:r w:rsidR="004D4F79" w:rsidRPr="001F52A8">
        <w:rPr>
          <w:rFonts w:cstheme="minorHAnsi"/>
        </w:rPr>
        <w:t xml:space="preserve"> Saul oddly asks for Samuel’s forgiveness, not Yahweh’s. So Saul’s equivocation or shiftiness could give Yahweh or Samuel a basis for declaring that Saul’s confession does not count.</w:t>
      </w:r>
      <w:r w:rsidR="00C14924" w:rsidRPr="001F52A8">
        <w:rPr>
          <w:rFonts w:cstheme="minorHAnsi"/>
        </w:rPr>
        <w:t xml:space="preserve"> </w:t>
      </w:r>
      <w:r w:rsidR="00D81827" w:rsidRPr="001F52A8">
        <w:rPr>
          <w:rFonts w:cstheme="minorHAnsi"/>
        </w:rPr>
        <w:t xml:space="preserve">After being confronted </w:t>
      </w:r>
      <w:r w:rsidR="00951DC2" w:rsidRPr="001F52A8">
        <w:rPr>
          <w:rFonts w:cstheme="minorHAnsi"/>
        </w:rPr>
        <w:t xml:space="preserve">over </w:t>
      </w:r>
      <w:r w:rsidR="00D81827" w:rsidRPr="001F52A8">
        <w:rPr>
          <w:rFonts w:cstheme="minorHAnsi"/>
        </w:rPr>
        <w:t xml:space="preserve">wrongdoing that </w:t>
      </w:r>
      <w:r w:rsidR="00EA2F94">
        <w:rPr>
          <w:rFonts w:cstheme="minorHAnsi"/>
        </w:rPr>
        <w:t>looks</w:t>
      </w:r>
      <w:r w:rsidR="00D81827" w:rsidRPr="001F52A8">
        <w:rPr>
          <w:rFonts w:cstheme="minorHAnsi"/>
        </w:rPr>
        <w:t xml:space="preserve"> much more reprehensible than Saul’s, </w:t>
      </w:r>
      <w:r w:rsidR="00B67E50" w:rsidRPr="001F52A8">
        <w:rPr>
          <w:rFonts w:cstheme="minorHAnsi"/>
        </w:rPr>
        <w:t>David will us</w:t>
      </w:r>
      <w:r w:rsidR="008474A5" w:rsidRPr="001F52A8">
        <w:rPr>
          <w:rFonts w:cstheme="minorHAnsi"/>
        </w:rPr>
        <w:t>e</w:t>
      </w:r>
      <w:r w:rsidR="00B67E50" w:rsidRPr="001F52A8">
        <w:rPr>
          <w:rFonts w:cstheme="minorHAnsi"/>
        </w:rPr>
        <w:t xml:space="preserve"> the same expression</w:t>
      </w:r>
      <w:r w:rsidR="008474A5" w:rsidRPr="001F52A8">
        <w:rPr>
          <w:rFonts w:cstheme="minorHAnsi"/>
        </w:rPr>
        <w:t xml:space="preserve"> as Saul</w:t>
      </w:r>
      <w:r w:rsidR="00B67E50" w:rsidRPr="001F52A8">
        <w:rPr>
          <w:rFonts w:cstheme="minorHAnsi"/>
        </w:rPr>
        <w:t xml:space="preserve">, </w:t>
      </w:r>
      <w:r w:rsidR="00A77DD3" w:rsidRPr="001F52A8">
        <w:rPr>
          <w:rFonts w:cstheme="minorHAnsi"/>
        </w:rPr>
        <w:t>“I did wrong</w:t>
      </w:r>
      <w:r w:rsidR="00EE51E7" w:rsidRPr="001F52A8">
        <w:rPr>
          <w:rFonts w:cstheme="minorHAnsi"/>
        </w:rPr>
        <w:t>” (</w:t>
      </w:r>
      <w:r w:rsidR="00EE51E7" w:rsidRPr="001F52A8">
        <w:rPr>
          <w:rFonts w:cstheme="minorHAnsi"/>
          <w:i/>
          <w:iCs/>
        </w:rPr>
        <w:t>ḥāṭā’tî</w:t>
      </w:r>
      <w:r w:rsidR="009D5EB8" w:rsidRPr="001F52A8">
        <w:rPr>
          <w:rFonts w:cstheme="minorHAnsi"/>
        </w:rPr>
        <w:t xml:space="preserve">, </w:t>
      </w:r>
      <w:r w:rsidR="00EE51E7" w:rsidRPr="001F52A8">
        <w:rPr>
          <w:rFonts w:cstheme="minorHAnsi"/>
        </w:rPr>
        <w:t xml:space="preserve">15:24; </w:t>
      </w:r>
      <w:r w:rsidR="009D5EB8" w:rsidRPr="001F52A8">
        <w:rPr>
          <w:rFonts w:cstheme="minorHAnsi"/>
        </w:rPr>
        <w:t xml:space="preserve">cf. </w:t>
      </w:r>
      <w:r w:rsidR="00EE51E7" w:rsidRPr="001F52A8">
        <w:rPr>
          <w:rFonts w:cstheme="minorHAnsi"/>
        </w:rPr>
        <w:t>2 Sam 12:13)</w:t>
      </w:r>
      <w:r w:rsidR="00E23001">
        <w:rPr>
          <w:rFonts w:cstheme="minorHAnsi"/>
        </w:rPr>
        <w:t>, and</w:t>
      </w:r>
      <w:r w:rsidR="004E3E83">
        <w:rPr>
          <w:rFonts w:cstheme="minorHAnsi"/>
        </w:rPr>
        <w:t xml:space="preserve"> </w:t>
      </w:r>
      <w:r w:rsidR="00B820D8" w:rsidRPr="001F52A8">
        <w:rPr>
          <w:rFonts w:cstheme="minorHAnsi"/>
        </w:rPr>
        <w:t>his prophet</w:t>
      </w:r>
      <w:r w:rsidR="004E3E83">
        <w:rPr>
          <w:rFonts w:cstheme="minorHAnsi"/>
        </w:rPr>
        <w:t>’s</w:t>
      </w:r>
      <w:r w:rsidR="009B7355" w:rsidRPr="001F52A8">
        <w:rPr>
          <w:rFonts w:cstheme="minorHAnsi"/>
        </w:rPr>
        <w:t xml:space="preserve"> response</w:t>
      </w:r>
      <w:r w:rsidR="004E3E83">
        <w:rPr>
          <w:rFonts w:cstheme="minorHAnsi"/>
        </w:rPr>
        <w:t xml:space="preserve"> </w:t>
      </w:r>
      <w:r w:rsidR="00E23001">
        <w:rPr>
          <w:rFonts w:cstheme="minorHAnsi"/>
        </w:rPr>
        <w:t>will be</w:t>
      </w:r>
      <w:r w:rsidR="004E3E83">
        <w:rPr>
          <w:rFonts w:cstheme="minorHAnsi"/>
        </w:rPr>
        <w:t xml:space="preserve"> </w:t>
      </w:r>
      <w:r w:rsidR="00EF6414">
        <w:rPr>
          <w:rFonts w:cstheme="minorHAnsi"/>
        </w:rPr>
        <w:t xml:space="preserve">enigmatic, </w:t>
      </w:r>
      <w:r w:rsidR="00E23001">
        <w:rPr>
          <w:rFonts w:cstheme="minorHAnsi"/>
        </w:rPr>
        <w:t>but</w:t>
      </w:r>
      <w:r w:rsidR="00EF6414">
        <w:rPr>
          <w:rFonts w:cstheme="minorHAnsi"/>
        </w:rPr>
        <w:t xml:space="preserve"> </w:t>
      </w:r>
      <w:r w:rsidR="009B7355" w:rsidRPr="001F52A8">
        <w:rPr>
          <w:rFonts w:cstheme="minorHAnsi"/>
        </w:rPr>
        <w:t>less negative</w:t>
      </w:r>
      <w:r w:rsidR="00230511" w:rsidRPr="001F52A8">
        <w:rPr>
          <w:rFonts w:cstheme="minorHAnsi"/>
        </w:rPr>
        <w:t xml:space="preserve"> than Samuel’s to Saul</w:t>
      </w:r>
      <w:r w:rsidR="00E23001">
        <w:rPr>
          <w:rFonts w:cstheme="minorHAnsi"/>
        </w:rPr>
        <w:t>. Samuel</w:t>
      </w:r>
      <w:r w:rsidR="00C14924" w:rsidRPr="001F52A8">
        <w:rPr>
          <w:rFonts w:cstheme="minorHAnsi"/>
        </w:rPr>
        <w:t xml:space="preserve"> </w:t>
      </w:r>
      <w:r w:rsidR="001C166B" w:rsidRPr="001F52A8">
        <w:rPr>
          <w:rFonts w:cstheme="minorHAnsi"/>
        </w:rPr>
        <w:t xml:space="preserve">reiterates that Saul has rebuffed </w:t>
      </w:r>
      <w:r w:rsidR="00C76504" w:rsidRPr="001F52A8">
        <w:rPr>
          <w:rFonts w:cstheme="minorHAnsi"/>
        </w:rPr>
        <w:t xml:space="preserve">Yahweh’s word, and </w:t>
      </w:r>
      <w:r w:rsidR="0042437F" w:rsidRPr="001F52A8">
        <w:rPr>
          <w:rFonts w:cstheme="minorHAnsi"/>
        </w:rPr>
        <w:t xml:space="preserve">that </w:t>
      </w:r>
      <w:r w:rsidR="00C76504" w:rsidRPr="001F52A8">
        <w:rPr>
          <w:rFonts w:cstheme="minorHAnsi"/>
        </w:rPr>
        <w:t>consequently Yahweh has rebuffed him as king</w:t>
      </w:r>
      <w:r w:rsidR="00017A09" w:rsidRPr="001F52A8">
        <w:rPr>
          <w:rFonts w:cstheme="minorHAnsi"/>
        </w:rPr>
        <w:t xml:space="preserve">. </w:t>
      </w:r>
      <w:r w:rsidR="002C5D56" w:rsidRPr="001F52A8">
        <w:rPr>
          <w:rFonts w:cstheme="minorHAnsi"/>
        </w:rPr>
        <w:t xml:space="preserve">Apparently </w:t>
      </w:r>
      <w:r w:rsidR="0042437F" w:rsidRPr="001F52A8">
        <w:rPr>
          <w:rFonts w:cstheme="minorHAnsi"/>
        </w:rPr>
        <w:t>Saul’s</w:t>
      </w:r>
      <w:r w:rsidR="00017A09" w:rsidRPr="001F52A8">
        <w:rPr>
          <w:rFonts w:cstheme="minorHAnsi"/>
        </w:rPr>
        <w:t xml:space="preserve"> confession does not undo his repudiation of Yahweh’s word nor </w:t>
      </w:r>
      <w:r w:rsidR="002C5D56" w:rsidRPr="001F52A8">
        <w:rPr>
          <w:rFonts w:cstheme="minorHAnsi"/>
        </w:rPr>
        <w:t xml:space="preserve">does it </w:t>
      </w:r>
      <w:r w:rsidR="00017A09" w:rsidRPr="001F52A8">
        <w:rPr>
          <w:rFonts w:cstheme="minorHAnsi"/>
        </w:rPr>
        <w:t>cause Yahweh to reverse his repudiation of Saul as king.</w:t>
      </w:r>
      <w:r w:rsidR="0033353E" w:rsidRPr="001F52A8">
        <w:rPr>
          <w:rFonts w:cstheme="minorHAnsi"/>
        </w:rPr>
        <w:t xml:space="preserve"> </w:t>
      </w:r>
      <w:r w:rsidR="00F34391">
        <w:rPr>
          <w:rFonts w:cstheme="minorHAnsi"/>
        </w:rPr>
        <w:t xml:space="preserve">But </w:t>
      </w:r>
      <w:r w:rsidR="00BF75F5" w:rsidRPr="001F52A8">
        <w:rPr>
          <w:rFonts w:cstheme="minorHAnsi"/>
        </w:rPr>
        <w:t xml:space="preserve">Samuel then </w:t>
      </w:r>
      <w:r w:rsidR="00CC2498" w:rsidRPr="001F52A8">
        <w:rPr>
          <w:rFonts w:cstheme="minorHAnsi"/>
        </w:rPr>
        <w:t>seems to add an explanation</w:t>
      </w:r>
      <w:r w:rsidR="00AC6717" w:rsidRPr="001F52A8">
        <w:rPr>
          <w:rFonts w:cstheme="minorHAnsi"/>
        </w:rPr>
        <w:t xml:space="preserve">: </w:t>
      </w:r>
      <w:r w:rsidR="00BF75F5" w:rsidRPr="001F52A8">
        <w:rPr>
          <w:rFonts w:cstheme="minorHAnsi"/>
        </w:rPr>
        <w:t xml:space="preserve">Yahweh does not </w:t>
      </w:r>
      <w:r w:rsidR="00DE6AB8" w:rsidRPr="001F52A8">
        <w:rPr>
          <w:rFonts w:cstheme="minorHAnsi"/>
        </w:rPr>
        <w:t>act falsely</w:t>
      </w:r>
      <w:r w:rsidR="00BF75F5" w:rsidRPr="001F52A8">
        <w:rPr>
          <w:rFonts w:cstheme="minorHAnsi"/>
        </w:rPr>
        <w:t xml:space="preserve"> </w:t>
      </w:r>
      <w:r w:rsidR="00AC169B" w:rsidRPr="001F52A8">
        <w:rPr>
          <w:rFonts w:cstheme="minorHAnsi"/>
        </w:rPr>
        <w:t>and does not</w:t>
      </w:r>
      <w:r w:rsidR="00BF75F5" w:rsidRPr="001F52A8">
        <w:rPr>
          <w:rFonts w:cstheme="minorHAnsi"/>
        </w:rPr>
        <w:t xml:space="preserve"> relent</w:t>
      </w:r>
      <w:r w:rsidR="00AC6717" w:rsidRPr="001F52A8">
        <w:rPr>
          <w:rFonts w:cstheme="minorHAnsi"/>
        </w:rPr>
        <w:t xml:space="preserve">. </w:t>
      </w:r>
      <w:r w:rsidR="001C46FD" w:rsidRPr="001F52A8">
        <w:rPr>
          <w:rFonts w:cstheme="minorHAnsi"/>
        </w:rPr>
        <w:t>Both are odd statements, the first because its relevance is not immediately obvious, the second</w:t>
      </w:r>
      <w:r w:rsidR="00157402" w:rsidRPr="001F52A8">
        <w:rPr>
          <w:rFonts w:cstheme="minorHAnsi"/>
        </w:rPr>
        <w:t xml:space="preserve"> because</w:t>
      </w:r>
      <w:r w:rsidR="00AC169B" w:rsidRPr="001F52A8">
        <w:rPr>
          <w:rFonts w:cstheme="minorHAnsi"/>
        </w:rPr>
        <w:t xml:space="preserve"> </w:t>
      </w:r>
      <w:r w:rsidR="00674528" w:rsidRPr="001F52A8">
        <w:rPr>
          <w:rFonts w:cstheme="minorHAnsi"/>
        </w:rPr>
        <w:t xml:space="preserve">Yahweh has told </w:t>
      </w:r>
      <w:r w:rsidR="00157402" w:rsidRPr="001F52A8">
        <w:rPr>
          <w:rFonts w:cstheme="minorHAnsi"/>
        </w:rPr>
        <w:t>Samuel</w:t>
      </w:r>
      <w:r w:rsidR="00674528" w:rsidRPr="001F52A8">
        <w:rPr>
          <w:rFonts w:cstheme="minorHAnsi"/>
        </w:rPr>
        <w:t xml:space="preserve"> that he </w:t>
      </w:r>
      <w:r w:rsidR="00157402" w:rsidRPr="0081470C">
        <w:rPr>
          <w:rFonts w:cstheme="minorHAnsi"/>
          <w:i/>
          <w:iCs/>
        </w:rPr>
        <w:t>has</w:t>
      </w:r>
      <w:r w:rsidR="00157402" w:rsidRPr="001F52A8">
        <w:rPr>
          <w:rFonts w:cstheme="minorHAnsi"/>
        </w:rPr>
        <w:t xml:space="preserve"> </w:t>
      </w:r>
      <w:r w:rsidR="00674528" w:rsidRPr="001F52A8">
        <w:rPr>
          <w:rFonts w:cstheme="minorHAnsi"/>
        </w:rPr>
        <w:t>relented</w:t>
      </w:r>
      <w:r w:rsidR="0081470C">
        <w:rPr>
          <w:rFonts w:cstheme="minorHAnsi"/>
        </w:rPr>
        <w:t>,</w:t>
      </w:r>
      <w:r w:rsidR="00674528" w:rsidRPr="001F52A8">
        <w:rPr>
          <w:rFonts w:cstheme="minorHAnsi"/>
        </w:rPr>
        <w:t xml:space="preserve"> of making Saul king (15:11</w:t>
      </w:r>
      <w:r w:rsidR="00E97A71" w:rsidRPr="001F52A8">
        <w:rPr>
          <w:rFonts w:cstheme="minorHAnsi"/>
        </w:rPr>
        <w:t>)</w:t>
      </w:r>
      <w:r w:rsidR="00E4794E" w:rsidRPr="001F52A8">
        <w:rPr>
          <w:rFonts w:cstheme="minorHAnsi"/>
        </w:rPr>
        <w:t xml:space="preserve">; </w:t>
      </w:r>
      <w:r w:rsidR="00E86867" w:rsidRPr="001F52A8">
        <w:rPr>
          <w:rFonts w:cstheme="minorHAnsi"/>
        </w:rPr>
        <w:t>the narrator will repeat the point momentarily (15:</w:t>
      </w:r>
      <w:r w:rsidR="00E4794E" w:rsidRPr="001F52A8">
        <w:rPr>
          <w:rFonts w:cstheme="minorHAnsi"/>
        </w:rPr>
        <w:t xml:space="preserve"> 35</w:t>
      </w:r>
      <w:r w:rsidR="00674528" w:rsidRPr="001F52A8">
        <w:rPr>
          <w:rFonts w:cstheme="minorHAnsi"/>
        </w:rPr>
        <w:t>)</w:t>
      </w:r>
      <w:r w:rsidR="00E86867" w:rsidRPr="001F52A8">
        <w:rPr>
          <w:rFonts w:cstheme="minorHAnsi"/>
        </w:rPr>
        <w:t xml:space="preserve">. </w:t>
      </w:r>
    </w:p>
    <w:p w14:paraId="06113DF1" w14:textId="79F47E03" w:rsidR="00F06AC1" w:rsidRPr="001F52A8" w:rsidRDefault="00C952BF" w:rsidP="00477B70">
      <w:pPr>
        <w:rPr>
          <w:rFonts w:cstheme="minorHAnsi"/>
        </w:rPr>
      </w:pPr>
      <w:r>
        <w:rPr>
          <w:rFonts w:cstheme="minorHAnsi"/>
        </w:rPr>
        <w:lastRenderedPageBreak/>
        <w:t>S</w:t>
      </w:r>
      <w:r w:rsidR="000116B5" w:rsidRPr="001F52A8">
        <w:rPr>
          <w:rFonts w:cstheme="minorHAnsi"/>
        </w:rPr>
        <w:t xml:space="preserve">ometimes </w:t>
      </w:r>
      <w:r w:rsidR="00BC7677" w:rsidRPr="001F52A8">
        <w:rPr>
          <w:rFonts w:cstheme="minorHAnsi"/>
        </w:rPr>
        <w:t xml:space="preserve">contradictory </w:t>
      </w:r>
      <w:r w:rsidR="000116B5" w:rsidRPr="001F52A8">
        <w:rPr>
          <w:rFonts w:cstheme="minorHAnsi"/>
        </w:rPr>
        <w:t xml:space="preserve">statements in the Scriptures </w:t>
      </w:r>
      <w:r w:rsidR="00BC7677" w:rsidRPr="001F52A8">
        <w:rPr>
          <w:rFonts w:cstheme="minorHAnsi"/>
        </w:rPr>
        <w:t>have to be allowed to stand</w:t>
      </w:r>
      <w:r w:rsidR="00D80BFB" w:rsidRPr="001F52A8">
        <w:rPr>
          <w:rFonts w:cstheme="minorHAnsi"/>
        </w:rPr>
        <w:t xml:space="preserve"> and be in dialog and tension; </w:t>
      </w:r>
      <w:r w:rsidR="001F100C" w:rsidRPr="001F52A8">
        <w:rPr>
          <w:rFonts w:cstheme="minorHAnsi"/>
        </w:rPr>
        <w:t xml:space="preserve">it is a characteristic of Qohelet. Yahweh </w:t>
      </w:r>
      <w:r w:rsidR="00506374" w:rsidRPr="001F52A8">
        <w:rPr>
          <w:rFonts w:cstheme="minorHAnsi"/>
        </w:rPr>
        <w:t>does not relent; Yahweh has relented</w:t>
      </w:r>
      <w:r w:rsidR="00FE018E">
        <w:rPr>
          <w:rFonts w:cstheme="minorHAnsi"/>
        </w:rPr>
        <w:t xml:space="preserve"> could simply mean that t</w:t>
      </w:r>
      <w:r w:rsidR="00FD6508" w:rsidRPr="001F52A8">
        <w:rPr>
          <w:rFonts w:cstheme="minorHAnsi"/>
        </w:rPr>
        <w:t>here is no predictable, calculable link between human turning and divine turning.</w:t>
      </w:r>
      <w:r w:rsidR="00FD6508" w:rsidRPr="001F52A8">
        <w:rPr>
          <w:rStyle w:val="FootnoteReference"/>
          <w:rFonts w:cstheme="minorHAnsi"/>
        </w:rPr>
        <w:footnoteReference w:id="174"/>
      </w:r>
      <w:r w:rsidR="00FD6508" w:rsidRPr="001F52A8">
        <w:rPr>
          <w:rFonts w:cstheme="minorHAnsi"/>
        </w:rPr>
        <w:t xml:space="preserve"> Whether or not God turns or relents is an aspect of </w:t>
      </w:r>
      <w:r w:rsidR="00AA0175">
        <w:rPr>
          <w:rFonts w:cstheme="minorHAnsi"/>
        </w:rPr>
        <w:t>God’s</w:t>
      </w:r>
      <w:r w:rsidR="00FD6508" w:rsidRPr="001F52A8">
        <w:rPr>
          <w:rFonts w:cstheme="minorHAnsi"/>
        </w:rPr>
        <w:t xml:space="preserve"> freedom, an aspect of “I will be what I will be” (Exod 3:14).</w:t>
      </w:r>
      <w:r w:rsidR="00FD6508" w:rsidRPr="001F52A8">
        <w:rPr>
          <w:rStyle w:val="FootnoteReference"/>
          <w:rFonts w:cstheme="minorHAnsi"/>
        </w:rPr>
        <w:footnoteReference w:id="175"/>
      </w:r>
      <w:r w:rsidR="00FD6508" w:rsidRPr="001F52A8">
        <w:rPr>
          <w:rFonts w:cstheme="minorHAnsi"/>
        </w:rPr>
        <w:t xml:space="preserve"> We may trust that there are reasons </w:t>
      </w:r>
      <w:r w:rsidR="00EA4CE0" w:rsidRPr="001F52A8">
        <w:rPr>
          <w:rFonts w:cstheme="minorHAnsi"/>
        </w:rPr>
        <w:t xml:space="preserve">for his acting in one way on one occasion and on the other way on another occasion, but we may not know what the reasons are. </w:t>
      </w:r>
    </w:p>
    <w:p w14:paraId="0BF4B144" w14:textId="5CAFE1FC" w:rsidR="0083049E" w:rsidRPr="001F52A8" w:rsidRDefault="00694855" w:rsidP="00477B70">
      <w:pPr>
        <w:rPr>
          <w:rFonts w:cstheme="minorHAnsi"/>
        </w:rPr>
      </w:pPr>
      <w:r>
        <w:rPr>
          <w:rFonts w:cstheme="minorHAnsi"/>
        </w:rPr>
        <w:t>Here</w:t>
      </w:r>
      <w:r w:rsidR="001F100C" w:rsidRPr="001F52A8">
        <w:rPr>
          <w:rFonts w:cstheme="minorHAnsi"/>
        </w:rPr>
        <w:t xml:space="preserve">, </w:t>
      </w:r>
      <w:r w:rsidR="00F06AC1" w:rsidRPr="001F52A8">
        <w:rPr>
          <w:rFonts w:cstheme="minorHAnsi"/>
        </w:rPr>
        <w:t xml:space="preserve">however, </w:t>
      </w:r>
      <w:r w:rsidR="008E6621">
        <w:rPr>
          <w:rFonts w:cstheme="minorHAnsi"/>
        </w:rPr>
        <w:t xml:space="preserve">Samuel offers </w:t>
      </w:r>
      <w:r w:rsidR="00136F47">
        <w:rPr>
          <w:rFonts w:cstheme="minorHAnsi"/>
        </w:rPr>
        <w:t>some</w:t>
      </w:r>
      <w:r w:rsidR="00CA1BD5" w:rsidRPr="001F52A8">
        <w:rPr>
          <w:rFonts w:cstheme="minorHAnsi"/>
        </w:rPr>
        <w:t xml:space="preserve"> explanation</w:t>
      </w:r>
      <w:r w:rsidR="00646000">
        <w:rPr>
          <w:rFonts w:cstheme="minorHAnsi"/>
        </w:rPr>
        <w:t>:</w:t>
      </w:r>
      <w:r w:rsidR="00205F1B" w:rsidRPr="001F52A8">
        <w:rPr>
          <w:rFonts w:cstheme="minorHAnsi"/>
        </w:rPr>
        <w:t xml:space="preserve"> </w:t>
      </w:r>
      <w:r w:rsidR="0040358D">
        <w:rPr>
          <w:rFonts w:cstheme="minorHAnsi"/>
        </w:rPr>
        <w:t xml:space="preserve">God </w:t>
      </w:r>
      <w:r w:rsidR="00785B64" w:rsidRPr="001F52A8">
        <w:rPr>
          <w:rFonts w:cstheme="minorHAnsi"/>
        </w:rPr>
        <w:t>“</w:t>
      </w:r>
      <w:r w:rsidR="0040358D">
        <w:rPr>
          <w:rFonts w:cstheme="minorHAnsi"/>
        </w:rPr>
        <w:t>will</w:t>
      </w:r>
      <w:r w:rsidR="00646000">
        <w:rPr>
          <w:rFonts w:cstheme="minorHAnsi"/>
        </w:rPr>
        <w:t xml:space="preserve"> not </w:t>
      </w:r>
      <w:r w:rsidR="0040358D">
        <w:rPr>
          <w:rFonts w:cstheme="minorHAnsi"/>
        </w:rPr>
        <w:t>act falsely</w:t>
      </w:r>
      <w:r w:rsidR="00FF4D0D">
        <w:rPr>
          <w:rFonts w:cstheme="minorHAnsi"/>
        </w:rPr>
        <w:t xml:space="preserve"> </w:t>
      </w:r>
      <w:r w:rsidR="00514CB6">
        <w:rPr>
          <w:rFonts w:cstheme="minorHAnsi"/>
        </w:rPr>
        <w:t>and will not</w:t>
      </w:r>
      <w:r w:rsidR="00FF4D0D">
        <w:rPr>
          <w:rFonts w:cstheme="minorHAnsi"/>
        </w:rPr>
        <w:t xml:space="preserve"> relent, because </w:t>
      </w:r>
      <w:r w:rsidR="00785B64" w:rsidRPr="001F52A8">
        <w:rPr>
          <w:rFonts w:cstheme="minorHAnsi"/>
        </w:rPr>
        <w:t>he is no</w:t>
      </w:r>
      <w:r w:rsidR="007E1734" w:rsidRPr="001F52A8">
        <w:rPr>
          <w:rFonts w:cstheme="minorHAnsi"/>
        </w:rPr>
        <w:t>t</w:t>
      </w:r>
      <w:r w:rsidR="00785B64" w:rsidRPr="001F52A8">
        <w:rPr>
          <w:rFonts w:cstheme="minorHAnsi"/>
        </w:rPr>
        <w:t xml:space="preserve"> a human being</w:t>
      </w:r>
      <w:r w:rsidR="00894672">
        <w:rPr>
          <w:rFonts w:cstheme="minorHAnsi"/>
        </w:rPr>
        <w:t xml:space="preserve">, </w:t>
      </w:r>
      <w:r w:rsidR="00730163" w:rsidRPr="001F52A8">
        <w:rPr>
          <w:rFonts w:cstheme="minorHAnsi"/>
        </w:rPr>
        <w:t>to relent</w:t>
      </w:r>
      <w:r w:rsidR="006E266C" w:rsidRPr="001F52A8">
        <w:rPr>
          <w:rFonts w:cstheme="minorHAnsi"/>
        </w:rPr>
        <w:t xml:space="preserve">” </w:t>
      </w:r>
      <w:r w:rsidR="00654D5D">
        <w:rPr>
          <w:rFonts w:cstheme="minorHAnsi"/>
        </w:rPr>
        <w:t xml:space="preserve">(15:29). </w:t>
      </w:r>
      <w:r w:rsidR="00EE7871">
        <w:rPr>
          <w:rFonts w:cstheme="minorHAnsi"/>
        </w:rPr>
        <w:t>One</w:t>
      </w:r>
      <w:r w:rsidR="00CF2729" w:rsidRPr="001F52A8">
        <w:rPr>
          <w:rFonts w:cstheme="minorHAnsi"/>
        </w:rPr>
        <w:t xml:space="preserve"> implication might be that Yahweh does not relent without reason</w:t>
      </w:r>
      <w:r w:rsidR="00EE7871">
        <w:rPr>
          <w:rFonts w:cstheme="minorHAnsi"/>
        </w:rPr>
        <w:t>, as a human being may</w:t>
      </w:r>
      <w:r w:rsidR="00CF2729" w:rsidRPr="001F52A8">
        <w:rPr>
          <w:rFonts w:cstheme="minorHAnsi"/>
        </w:rPr>
        <w:t xml:space="preserve">. </w:t>
      </w:r>
      <w:r w:rsidR="00CF09B1" w:rsidRPr="001F52A8">
        <w:rPr>
          <w:rFonts w:cstheme="minorHAnsi"/>
        </w:rPr>
        <w:t xml:space="preserve">Christian </w:t>
      </w:r>
      <w:r w:rsidR="004D2F69">
        <w:rPr>
          <w:rFonts w:cstheme="minorHAnsi"/>
        </w:rPr>
        <w:t>unease over</w:t>
      </w:r>
      <w:r w:rsidR="00CF09B1" w:rsidRPr="001F52A8">
        <w:rPr>
          <w:rFonts w:cstheme="minorHAnsi"/>
        </w:rPr>
        <w:t xml:space="preserve"> the notion of God relenting </w:t>
      </w:r>
      <w:r w:rsidR="001A1D46" w:rsidRPr="001F52A8">
        <w:rPr>
          <w:rFonts w:cstheme="minorHAnsi"/>
        </w:rPr>
        <w:t xml:space="preserve">has this concern. </w:t>
      </w:r>
      <w:r w:rsidR="008B309F">
        <w:rPr>
          <w:rFonts w:cstheme="minorHAnsi"/>
        </w:rPr>
        <w:t>And</w:t>
      </w:r>
      <w:r w:rsidR="004D2F69">
        <w:rPr>
          <w:rFonts w:cstheme="minorHAnsi"/>
        </w:rPr>
        <w:t xml:space="preserve"> </w:t>
      </w:r>
      <w:r w:rsidR="001A1D46" w:rsidRPr="001F52A8">
        <w:rPr>
          <w:rFonts w:cstheme="minorHAnsi"/>
        </w:rPr>
        <w:t xml:space="preserve">Yahweh’s capacity for relenting does not mean he is fickle. </w:t>
      </w:r>
      <w:r w:rsidR="004D2F69">
        <w:rPr>
          <w:rFonts w:cstheme="minorHAnsi"/>
        </w:rPr>
        <w:t>H</w:t>
      </w:r>
      <w:r w:rsidR="00EF320E" w:rsidRPr="001F52A8">
        <w:rPr>
          <w:rFonts w:cstheme="minorHAnsi"/>
        </w:rPr>
        <w:t>ere</w:t>
      </w:r>
      <w:r w:rsidR="004D2F69">
        <w:rPr>
          <w:rFonts w:cstheme="minorHAnsi"/>
        </w:rPr>
        <w:t>, however,</w:t>
      </w:r>
      <w:r w:rsidR="00EF320E" w:rsidRPr="001F52A8">
        <w:rPr>
          <w:rFonts w:cstheme="minorHAnsi"/>
        </w:rPr>
        <w:t xml:space="preserve"> the comment about not </w:t>
      </w:r>
      <w:r w:rsidR="00525E95" w:rsidRPr="001F52A8">
        <w:rPr>
          <w:rFonts w:cstheme="minorHAnsi"/>
        </w:rPr>
        <w:t xml:space="preserve">relenting follows up the comment about not </w:t>
      </w:r>
      <w:r w:rsidR="00D64BC8" w:rsidRPr="001F52A8">
        <w:rPr>
          <w:rFonts w:cstheme="minorHAnsi"/>
        </w:rPr>
        <w:t>acting falsely</w:t>
      </w:r>
      <w:r w:rsidR="004133B3">
        <w:rPr>
          <w:rFonts w:cstheme="minorHAnsi"/>
        </w:rPr>
        <w:t>, and the</w:t>
      </w:r>
      <w:r w:rsidR="004100ED" w:rsidRPr="001F52A8">
        <w:rPr>
          <w:rFonts w:cstheme="minorHAnsi"/>
        </w:rPr>
        <w:t xml:space="preserve"> double statement </w:t>
      </w:r>
      <w:r w:rsidR="004133B3">
        <w:rPr>
          <w:rFonts w:cstheme="minorHAnsi"/>
        </w:rPr>
        <w:t>follows</w:t>
      </w:r>
      <w:r w:rsidR="004100ED" w:rsidRPr="001F52A8">
        <w:rPr>
          <w:rFonts w:cstheme="minorHAnsi"/>
        </w:rPr>
        <w:t xml:space="preserve"> the declaration</w:t>
      </w:r>
      <w:r w:rsidR="005A6081" w:rsidRPr="001F52A8">
        <w:rPr>
          <w:rFonts w:cstheme="minorHAnsi"/>
        </w:rPr>
        <w:t xml:space="preserve"> that “Yahweh</w:t>
      </w:r>
      <w:r w:rsidR="005B2F0D" w:rsidRPr="001F52A8">
        <w:rPr>
          <w:rFonts w:cstheme="minorHAnsi"/>
        </w:rPr>
        <w:t xml:space="preserve"> has torn </w:t>
      </w:r>
      <w:r w:rsidR="00FB5BB9" w:rsidRPr="001F52A8">
        <w:rPr>
          <w:rFonts w:cstheme="minorHAnsi"/>
        </w:rPr>
        <w:t xml:space="preserve">Israel’s kingship from you </w:t>
      </w:r>
      <w:r w:rsidR="00873C84" w:rsidRPr="001F52A8">
        <w:rPr>
          <w:rFonts w:cstheme="minorHAnsi"/>
        </w:rPr>
        <w:t>today and given it to your neighbo</w:t>
      </w:r>
      <w:r w:rsidR="00CB5F01">
        <w:rPr>
          <w:rFonts w:cstheme="minorHAnsi"/>
        </w:rPr>
        <w:t>r</w:t>
      </w:r>
      <w:r w:rsidR="001242E1">
        <w:rPr>
          <w:rFonts w:cstheme="minorHAnsi"/>
        </w:rPr>
        <w:t>"</w:t>
      </w:r>
      <w:r w:rsidR="00B05D4A" w:rsidRPr="001F52A8">
        <w:rPr>
          <w:rFonts w:cstheme="minorHAnsi"/>
        </w:rPr>
        <w:t xml:space="preserve"> (15:</w:t>
      </w:r>
      <w:r w:rsidR="00594A53" w:rsidRPr="001F52A8">
        <w:rPr>
          <w:rFonts w:cstheme="minorHAnsi"/>
        </w:rPr>
        <w:t xml:space="preserve">28). </w:t>
      </w:r>
      <w:r w:rsidR="0025648D">
        <w:rPr>
          <w:rFonts w:cstheme="minorHAnsi"/>
        </w:rPr>
        <w:t xml:space="preserve">As </w:t>
      </w:r>
      <w:r w:rsidR="006C110A" w:rsidRPr="001F52A8">
        <w:rPr>
          <w:rFonts w:cstheme="minorHAnsi"/>
        </w:rPr>
        <w:t xml:space="preserve">Samuel </w:t>
      </w:r>
      <w:r w:rsidR="007A479D">
        <w:rPr>
          <w:rFonts w:cstheme="minorHAnsi"/>
        </w:rPr>
        <w:t>p</w:t>
      </w:r>
      <w:r w:rsidR="0025648D">
        <w:rPr>
          <w:rFonts w:cstheme="minorHAnsi"/>
        </w:rPr>
        <w:t>ut it</w:t>
      </w:r>
      <w:r w:rsidR="006C110A" w:rsidRPr="001F52A8">
        <w:rPr>
          <w:rFonts w:cstheme="minorHAnsi"/>
        </w:rPr>
        <w:t xml:space="preserve"> ear</w:t>
      </w:r>
      <w:r w:rsidR="00067659" w:rsidRPr="001F52A8">
        <w:rPr>
          <w:rFonts w:cstheme="minorHAnsi"/>
        </w:rPr>
        <w:t>l</w:t>
      </w:r>
      <w:r w:rsidR="006C110A" w:rsidRPr="001F52A8">
        <w:rPr>
          <w:rFonts w:cstheme="minorHAnsi"/>
        </w:rPr>
        <w:t>ier</w:t>
      </w:r>
      <w:r w:rsidR="0025648D">
        <w:rPr>
          <w:rFonts w:cstheme="minorHAnsi"/>
        </w:rPr>
        <w:t>,</w:t>
      </w:r>
      <w:r w:rsidR="00067659" w:rsidRPr="001F52A8">
        <w:rPr>
          <w:rFonts w:cstheme="minorHAnsi"/>
        </w:rPr>
        <w:t xml:space="preserve"> </w:t>
      </w:r>
      <w:r w:rsidR="00A3220D" w:rsidRPr="001F52A8">
        <w:rPr>
          <w:rFonts w:cstheme="minorHAnsi"/>
        </w:rPr>
        <w:t>“Yahweh has sought for himself an individual in accordance with his mind. Yahweh has ordered him to be commandant over Israel” (13:</w:t>
      </w:r>
      <w:r w:rsidR="008858CE" w:rsidRPr="001F52A8">
        <w:rPr>
          <w:rFonts w:cstheme="minorHAnsi"/>
        </w:rPr>
        <w:t xml:space="preserve">14). </w:t>
      </w:r>
      <w:r w:rsidR="00EB1E34">
        <w:rPr>
          <w:rFonts w:cstheme="minorHAnsi"/>
        </w:rPr>
        <w:t xml:space="preserve">Chronologically, </w:t>
      </w:r>
      <w:r w:rsidR="008C716C">
        <w:rPr>
          <w:rFonts w:cstheme="minorHAnsi"/>
        </w:rPr>
        <w:t xml:space="preserve">the commission </w:t>
      </w:r>
      <w:r w:rsidR="00F61297" w:rsidRPr="001F52A8">
        <w:rPr>
          <w:rFonts w:cstheme="minorHAnsi"/>
        </w:rPr>
        <w:t>has not yet happened</w:t>
      </w:r>
      <w:r w:rsidR="008C716C">
        <w:rPr>
          <w:rFonts w:cstheme="minorHAnsi"/>
        </w:rPr>
        <w:t>, b</w:t>
      </w:r>
      <w:r w:rsidR="00AC0ED3" w:rsidRPr="001F52A8">
        <w:rPr>
          <w:rFonts w:cstheme="minorHAnsi"/>
        </w:rPr>
        <w:t xml:space="preserve">ut within the frame of this </w:t>
      </w:r>
      <w:r w:rsidR="008C716C">
        <w:rPr>
          <w:rFonts w:cstheme="minorHAnsi"/>
        </w:rPr>
        <w:t>narrative</w:t>
      </w:r>
      <w:r w:rsidR="00AC0ED3" w:rsidRPr="001F52A8">
        <w:rPr>
          <w:rFonts w:cstheme="minorHAnsi"/>
        </w:rPr>
        <w:t xml:space="preserve"> </w:t>
      </w:r>
      <w:r w:rsidR="00D26A3B">
        <w:rPr>
          <w:rFonts w:cstheme="minorHAnsi"/>
        </w:rPr>
        <w:t>it has happened</w:t>
      </w:r>
      <w:r w:rsidR="0055435C" w:rsidRPr="001F52A8">
        <w:rPr>
          <w:rFonts w:cstheme="minorHAnsi"/>
        </w:rPr>
        <w:t xml:space="preserve"> and Yahweh is not going back on it. To do so would </w:t>
      </w:r>
      <w:r w:rsidR="009D5701" w:rsidRPr="001F52A8">
        <w:rPr>
          <w:rFonts w:cstheme="minorHAnsi"/>
        </w:rPr>
        <w:t xml:space="preserve">mean </w:t>
      </w:r>
      <w:r w:rsidR="00D26A3B">
        <w:rPr>
          <w:rFonts w:cstheme="minorHAnsi"/>
        </w:rPr>
        <w:t>breaking</w:t>
      </w:r>
      <w:r w:rsidR="009D5701" w:rsidRPr="001F52A8">
        <w:rPr>
          <w:rFonts w:cstheme="minorHAnsi"/>
        </w:rPr>
        <w:t xml:space="preserve"> a promise, which Yahweh would not do</w:t>
      </w:r>
      <w:r w:rsidR="0059579C" w:rsidRPr="001F52A8">
        <w:rPr>
          <w:rFonts w:cstheme="minorHAnsi"/>
        </w:rPr>
        <w:t>.</w:t>
      </w:r>
      <w:r w:rsidR="00D76EF5" w:rsidRPr="001F52A8">
        <w:rPr>
          <w:rStyle w:val="FootnoteReference"/>
          <w:rFonts w:cstheme="minorHAnsi"/>
        </w:rPr>
        <w:footnoteReference w:id="176"/>
      </w:r>
      <w:r w:rsidR="0059579C" w:rsidRPr="001F52A8">
        <w:rPr>
          <w:rFonts w:cstheme="minorHAnsi"/>
        </w:rPr>
        <w:t xml:space="preserve"> </w:t>
      </w:r>
      <w:r w:rsidR="009D5701" w:rsidRPr="001F52A8">
        <w:rPr>
          <w:rFonts w:cstheme="minorHAnsi"/>
        </w:rPr>
        <w:t xml:space="preserve">The logic in 1 Samuel 15 parallels </w:t>
      </w:r>
      <w:r w:rsidR="00F26968" w:rsidRPr="001F52A8">
        <w:rPr>
          <w:rFonts w:cstheme="minorHAnsi"/>
        </w:rPr>
        <w:t>Balaam’s</w:t>
      </w:r>
      <w:r w:rsidR="009D5701" w:rsidRPr="001F52A8">
        <w:rPr>
          <w:rFonts w:cstheme="minorHAnsi"/>
        </w:rPr>
        <w:t xml:space="preserve"> more exp</w:t>
      </w:r>
      <w:r w:rsidR="00F26968" w:rsidRPr="001F52A8">
        <w:rPr>
          <w:rFonts w:cstheme="minorHAnsi"/>
        </w:rPr>
        <w:t>licit statement in</w:t>
      </w:r>
      <w:r w:rsidR="00D739B2" w:rsidRPr="001F52A8">
        <w:rPr>
          <w:rFonts w:cstheme="minorHAnsi"/>
        </w:rPr>
        <w:t xml:space="preserve"> the other passage </w:t>
      </w:r>
      <w:r w:rsidR="00F62671">
        <w:rPr>
          <w:rFonts w:cstheme="minorHAnsi"/>
        </w:rPr>
        <w:t xml:space="preserve">about </w:t>
      </w:r>
      <w:r w:rsidR="00D739B2" w:rsidRPr="001F52A8">
        <w:rPr>
          <w:rFonts w:cstheme="minorHAnsi"/>
        </w:rPr>
        <w:t>Yahweh not relent</w:t>
      </w:r>
      <w:r w:rsidR="00F62671">
        <w:rPr>
          <w:rFonts w:cstheme="minorHAnsi"/>
        </w:rPr>
        <w:t>ing</w:t>
      </w:r>
      <w:r w:rsidR="008935C3" w:rsidRPr="001F52A8">
        <w:rPr>
          <w:rFonts w:cstheme="minorHAnsi"/>
        </w:rPr>
        <w:t xml:space="preserve"> (though using the hitpael rather than the niphal</w:t>
      </w:r>
      <w:r w:rsidR="00AE3139" w:rsidRPr="001F52A8">
        <w:rPr>
          <w:rFonts w:cstheme="minorHAnsi"/>
        </w:rPr>
        <w:t>)</w:t>
      </w:r>
      <w:r w:rsidR="002D5A7F">
        <w:rPr>
          <w:rFonts w:cstheme="minorHAnsi"/>
        </w:rPr>
        <w:t>:</w:t>
      </w:r>
    </w:p>
    <w:p w14:paraId="511A5511" w14:textId="7A3E4776" w:rsidR="003B0E65" w:rsidRPr="001F52A8" w:rsidRDefault="003B0E65" w:rsidP="00477B70">
      <w:pPr>
        <w:rPr>
          <w:rFonts w:cstheme="minorHAnsi"/>
        </w:rPr>
      </w:pPr>
    </w:p>
    <w:p w14:paraId="42487559" w14:textId="7DDCA848" w:rsidR="003B0E65" w:rsidRPr="001F52A8" w:rsidRDefault="00476FB7" w:rsidP="00477B70">
      <w:pPr>
        <w:rPr>
          <w:rFonts w:cstheme="minorHAnsi"/>
        </w:rPr>
      </w:pPr>
      <w:r w:rsidRPr="001F52A8">
        <w:rPr>
          <w:rFonts w:cstheme="minorHAnsi"/>
        </w:rPr>
        <w:t>God is a not a person so he lies,</w:t>
      </w:r>
    </w:p>
    <w:p w14:paraId="1530E0AC" w14:textId="3CB73A1D" w:rsidR="00476FB7" w:rsidRPr="001F52A8" w:rsidRDefault="00476FB7" w:rsidP="00477B70">
      <w:pPr>
        <w:rPr>
          <w:rFonts w:cstheme="minorHAnsi"/>
        </w:rPr>
      </w:pPr>
      <w:r w:rsidRPr="001F52A8">
        <w:rPr>
          <w:rFonts w:cstheme="minorHAnsi"/>
        </w:rPr>
        <w:tab/>
      </w:r>
      <w:r w:rsidR="00A753D0" w:rsidRPr="001F52A8">
        <w:rPr>
          <w:rFonts w:cstheme="minorHAnsi"/>
        </w:rPr>
        <w:t>a</w:t>
      </w:r>
      <w:r w:rsidRPr="001F52A8">
        <w:rPr>
          <w:rFonts w:cstheme="minorHAnsi"/>
        </w:rPr>
        <w:t xml:space="preserve"> human being so he re</w:t>
      </w:r>
      <w:r w:rsidR="004B6D72" w:rsidRPr="001F52A8">
        <w:rPr>
          <w:rFonts w:cstheme="minorHAnsi"/>
        </w:rPr>
        <w:t>l</w:t>
      </w:r>
      <w:r w:rsidRPr="001F52A8">
        <w:rPr>
          <w:rFonts w:cstheme="minorHAnsi"/>
        </w:rPr>
        <w:t>ents</w:t>
      </w:r>
      <w:r w:rsidR="00A753D0" w:rsidRPr="001F52A8">
        <w:rPr>
          <w:rFonts w:cstheme="minorHAnsi"/>
        </w:rPr>
        <w:t>.</w:t>
      </w:r>
    </w:p>
    <w:p w14:paraId="5BC6635F" w14:textId="7262FA92" w:rsidR="004B6D72" w:rsidRPr="001F52A8" w:rsidRDefault="004B6D72" w:rsidP="00477B70">
      <w:pPr>
        <w:rPr>
          <w:rFonts w:cstheme="minorHAnsi"/>
        </w:rPr>
      </w:pPr>
      <w:r w:rsidRPr="001F52A8">
        <w:rPr>
          <w:rFonts w:cstheme="minorHAnsi"/>
        </w:rPr>
        <w:t xml:space="preserve">Would he </w:t>
      </w:r>
      <w:r w:rsidR="00060238" w:rsidRPr="001F52A8">
        <w:rPr>
          <w:rFonts w:cstheme="minorHAnsi"/>
        </w:rPr>
        <w:t xml:space="preserve">have </w:t>
      </w:r>
      <w:r w:rsidRPr="001F52A8">
        <w:rPr>
          <w:rFonts w:cstheme="minorHAnsi"/>
        </w:rPr>
        <w:t>s</w:t>
      </w:r>
      <w:r w:rsidR="00060238" w:rsidRPr="001F52A8">
        <w:rPr>
          <w:rFonts w:cstheme="minorHAnsi"/>
        </w:rPr>
        <w:t>aid</w:t>
      </w:r>
      <w:r w:rsidRPr="001F52A8">
        <w:rPr>
          <w:rFonts w:cstheme="minorHAnsi"/>
        </w:rPr>
        <w:t xml:space="preserve"> and </w:t>
      </w:r>
      <w:r w:rsidR="00060238" w:rsidRPr="001F52A8">
        <w:rPr>
          <w:rFonts w:cstheme="minorHAnsi"/>
        </w:rPr>
        <w:t xml:space="preserve">will he </w:t>
      </w:r>
      <w:r w:rsidRPr="001F52A8">
        <w:rPr>
          <w:rFonts w:cstheme="minorHAnsi"/>
        </w:rPr>
        <w:t>not act,</w:t>
      </w:r>
    </w:p>
    <w:p w14:paraId="33A207AD" w14:textId="0C8AFF70" w:rsidR="004B6D72" w:rsidRPr="001F52A8" w:rsidRDefault="004B6D72" w:rsidP="00477B70">
      <w:pPr>
        <w:rPr>
          <w:rFonts w:cstheme="minorHAnsi"/>
        </w:rPr>
      </w:pPr>
      <w:r w:rsidRPr="001F52A8">
        <w:rPr>
          <w:rFonts w:cstheme="minorHAnsi"/>
        </w:rPr>
        <w:tab/>
      </w:r>
      <w:r w:rsidR="00A753D0" w:rsidRPr="001F52A8">
        <w:rPr>
          <w:rFonts w:cstheme="minorHAnsi"/>
        </w:rPr>
        <w:t>sp</w:t>
      </w:r>
      <w:r w:rsidR="00060238" w:rsidRPr="001F52A8">
        <w:rPr>
          <w:rFonts w:cstheme="minorHAnsi"/>
        </w:rPr>
        <w:t>oken</w:t>
      </w:r>
      <w:r w:rsidR="00A753D0" w:rsidRPr="001F52A8">
        <w:rPr>
          <w:rFonts w:cstheme="minorHAnsi"/>
        </w:rPr>
        <w:t xml:space="preserve"> and </w:t>
      </w:r>
      <w:r w:rsidR="00060238" w:rsidRPr="001F52A8">
        <w:rPr>
          <w:rFonts w:cstheme="minorHAnsi"/>
        </w:rPr>
        <w:t xml:space="preserve">will he </w:t>
      </w:r>
      <w:r w:rsidR="00A753D0" w:rsidRPr="001F52A8">
        <w:rPr>
          <w:rFonts w:cstheme="minorHAnsi"/>
        </w:rPr>
        <w:t>not implement it?</w:t>
      </w:r>
      <w:r w:rsidR="009B03CA">
        <w:rPr>
          <w:rFonts w:cstheme="minorHAnsi"/>
        </w:rPr>
        <w:t xml:space="preserve"> (Num 23:19)</w:t>
      </w:r>
    </w:p>
    <w:p w14:paraId="2CF59FE5" w14:textId="77777777" w:rsidR="003B0E65" w:rsidRPr="001F52A8" w:rsidRDefault="003B0E65" w:rsidP="00477B70">
      <w:pPr>
        <w:rPr>
          <w:rFonts w:cstheme="minorHAnsi"/>
        </w:rPr>
      </w:pPr>
    </w:p>
    <w:p w14:paraId="74A7225D" w14:textId="44705EBA" w:rsidR="00BD261A" w:rsidRPr="001F52A8" w:rsidRDefault="005415D1" w:rsidP="00E60541">
      <w:pPr>
        <w:rPr>
          <w:rFonts w:cstheme="minorHAnsi"/>
        </w:rPr>
      </w:pPr>
      <w:r w:rsidRPr="001F52A8">
        <w:rPr>
          <w:rFonts w:cstheme="minorHAnsi"/>
        </w:rPr>
        <w:t>S</w:t>
      </w:r>
      <w:r w:rsidR="00973FD8" w:rsidRPr="001F52A8">
        <w:rPr>
          <w:rFonts w:cstheme="minorHAnsi"/>
        </w:rPr>
        <w:t>ometimes God makes a definitive decision that he will not go back on, as another of Jesus’s parables illustrates (Luke 16:19-31).</w:t>
      </w:r>
      <w:r w:rsidRPr="001F52A8">
        <w:rPr>
          <w:rFonts w:cstheme="minorHAnsi"/>
        </w:rPr>
        <w:t xml:space="preserve"> </w:t>
      </w:r>
      <w:r w:rsidR="00C421DA">
        <w:rPr>
          <w:rFonts w:cstheme="minorHAnsi"/>
        </w:rPr>
        <w:t>I</w:t>
      </w:r>
      <w:r w:rsidRPr="001F52A8">
        <w:rPr>
          <w:rFonts w:cstheme="minorHAnsi"/>
        </w:rPr>
        <w:t>n this story it’s too late for Saul to repent, because</w:t>
      </w:r>
      <w:r w:rsidR="002E5353" w:rsidRPr="001F52A8">
        <w:rPr>
          <w:rFonts w:cstheme="minorHAnsi"/>
        </w:rPr>
        <w:t xml:space="preserve"> Yahweh has already made a promise to David.</w:t>
      </w:r>
      <w:r w:rsidR="00BE3A7E" w:rsidRPr="001F52A8">
        <w:rPr>
          <w:rFonts w:cstheme="minorHAnsi"/>
        </w:rPr>
        <w:t xml:space="preserve"> </w:t>
      </w:r>
      <w:r w:rsidR="00E160B2" w:rsidRPr="001F52A8">
        <w:rPr>
          <w:rFonts w:cstheme="minorHAnsi"/>
        </w:rPr>
        <w:t>“</w:t>
      </w:r>
      <w:r w:rsidR="00A22B34" w:rsidRPr="001F52A8">
        <w:rPr>
          <w:rFonts w:cstheme="minorHAnsi"/>
        </w:rPr>
        <w:t>Samuel's former warning in 13.13-14 becomes a divinely decreed</w:t>
      </w:r>
      <w:r w:rsidR="00E160B2" w:rsidRPr="001F52A8">
        <w:rPr>
          <w:rFonts w:cstheme="minorHAnsi"/>
        </w:rPr>
        <w:t xml:space="preserve"> r</w:t>
      </w:r>
      <w:r w:rsidR="00A22B34" w:rsidRPr="001F52A8">
        <w:rPr>
          <w:rFonts w:cstheme="minorHAnsi"/>
        </w:rPr>
        <w:t>eality</w:t>
      </w:r>
      <w:r w:rsidR="00E160B2" w:rsidRPr="001F52A8">
        <w:rPr>
          <w:rFonts w:cstheme="minorHAnsi"/>
        </w:rPr>
        <w:t>.”</w:t>
      </w:r>
      <w:r w:rsidR="00E160B2" w:rsidRPr="001F52A8">
        <w:rPr>
          <w:rStyle w:val="FootnoteReference"/>
          <w:rFonts w:cstheme="minorHAnsi"/>
        </w:rPr>
        <w:footnoteReference w:id="177"/>
      </w:r>
      <w:r w:rsidR="00E60541">
        <w:rPr>
          <w:rFonts w:cstheme="minorHAnsi"/>
        </w:rPr>
        <w:t xml:space="preserve"> </w:t>
      </w:r>
      <w:r w:rsidR="00BD261A" w:rsidRPr="001F52A8">
        <w:t xml:space="preserve">Yahweh has decided to appoint someone else as commandant </w:t>
      </w:r>
      <w:r w:rsidR="00BD261A" w:rsidRPr="001F52A8">
        <w:rPr>
          <w:rFonts w:cstheme="minorHAnsi"/>
        </w:rPr>
        <w:t xml:space="preserve">over Israel, someone who is good compared with Saul (15:28). Good compared with Saul? A deserter, a usurper, a calculator, a womanizer, a traitor, an outlaw, a mercenary, a murderer? </w:t>
      </w:r>
      <w:r w:rsidR="00BD261A">
        <w:rPr>
          <w:rFonts w:cstheme="minorHAnsi"/>
        </w:rPr>
        <w:t>If</w:t>
      </w:r>
      <w:r w:rsidR="00BD261A" w:rsidRPr="001F52A8">
        <w:rPr>
          <w:rFonts w:cstheme="minorHAnsi"/>
        </w:rPr>
        <w:t xml:space="preserve"> the bad thing about Saul was his laxness in relation to the Amalekites (15:19), </w:t>
      </w:r>
      <w:r w:rsidR="00BD261A">
        <w:rPr>
          <w:rFonts w:cstheme="minorHAnsi"/>
        </w:rPr>
        <w:t xml:space="preserve">is </w:t>
      </w:r>
      <w:r w:rsidR="00BD261A" w:rsidRPr="001F52A8">
        <w:rPr>
          <w:rFonts w:cstheme="minorHAnsi"/>
        </w:rPr>
        <w:t xml:space="preserve">David better because he </w:t>
      </w:r>
      <w:r w:rsidR="00BD261A">
        <w:rPr>
          <w:rFonts w:cstheme="minorHAnsi"/>
        </w:rPr>
        <w:t>is</w:t>
      </w:r>
      <w:r w:rsidR="00BD261A" w:rsidRPr="001F52A8">
        <w:rPr>
          <w:rFonts w:cstheme="minorHAnsi"/>
        </w:rPr>
        <w:t xml:space="preserve"> more ruthless</w:t>
      </w:r>
      <w:r w:rsidR="00BD261A">
        <w:rPr>
          <w:rFonts w:cstheme="minorHAnsi"/>
        </w:rPr>
        <w:t>? A</w:t>
      </w:r>
      <w:r w:rsidR="00BD261A" w:rsidRPr="001F52A8">
        <w:rPr>
          <w:rFonts w:cstheme="minorHAnsi"/>
        </w:rPr>
        <w:t>fter 16:12, the only other “good” person in 1 Samuel is Abigail in 25:3, who is good in understanding.</w:t>
      </w:r>
      <w:r w:rsidR="00BD261A">
        <w:rPr>
          <w:rFonts w:cstheme="minorHAnsi"/>
        </w:rPr>
        <w:t xml:space="preserve"> Perhaps “good” simply means “good in Yahweh’s eyes,” </w:t>
      </w:r>
      <w:r w:rsidR="00BD261A" w:rsidRPr="001F52A8">
        <w:rPr>
          <w:rFonts w:cstheme="minorHAnsi"/>
        </w:rPr>
        <w:t>someone his mind has set upon (13:14)</w:t>
      </w:r>
      <w:r w:rsidR="00BD261A">
        <w:rPr>
          <w:rFonts w:cstheme="minorHAnsi"/>
        </w:rPr>
        <w:t xml:space="preserve">. </w:t>
      </w:r>
    </w:p>
    <w:p w14:paraId="2BD9A61A" w14:textId="3AAB0B9A" w:rsidR="00A93180" w:rsidRPr="001F52A8" w:rsidRDefault="00125234" w:rsidP="000B0A0F">
      <w:pPr>
        <w:pStyle w:val="Heading2"/>
      </w:pPr>
      <w:r w:rsidRPr="001F52A8">
        <w:t xml:space="preserve">One </w:t>
      </w:r>
      <w:r w:rsidR="00EB41DF" w:rsidRPr="001F52A8">
        <w:t xml:space="preserve">King </w:t>
      </w:r>
      <w:r w:rsidR="002645F6" w:rsidRPr="001F52A8">
        <w:t>Anointed</w:t>
      </w:r>
      <w:r w:rsidR="00B40172" w:rsidRPr="001F52A8">
        <w:t xml:space="preserve">, </w:t>
      </w:r>
      <w:r w:rsidR="00C70523" w:rsidRPr="001F52A8">
        <w:t xml:space="preserve">One </w:t>
      </w:r>
      <w:r w:rsidR="00EB41DF" w:rsidRPr="001F52A8">
        <w:t xml:space="preserve">King </w:t>
      </w:r>
      <w:r w:rsidR="00C70523" w:rsidRPr="001F52A8">
        <w:t>Assailed</w:t>
      </w:r>
    </w:p>
    <w:p w14:paraId="2434AEA8" w14:textId="361AF4D0" w:rsidR="006D67FA" w:rsidRPr="00576691" w:rsidRDefault="00954D9A" w:rsidP="00576691">
      <w:pPr>
        <w:rPr>
          <w:rFonts w:cstheme="minorHAnsi"/>
        </w:rPr>
      </w:pPr>
      <w:r w:rsidRPr="001F52A8">
        <w:rPr>
          <w:rFonts w:cstheme="minorHAnsi"/>
        </w:rPr>
        <w:t xml:space="preserve">Sent without explanation </w:t>
      </w:r>
      <w:r w:rsidR="00FE37BF" w:rsidRPr="001F52A8">
        <w:rPr>
          <w:rFonts w:cstheme="minorHAnsi"/>
        </w:rPr>
        <w:t xml:space="preserve">but with danger </w:t>
      </w:r>
      <w:r w:rsidRPr="001F52A8">
        <w:rPr>
          <w:rFonts w:cstheme="minorHAnsi"/>
        </w:rPr>
        <w:t xml:space="preserve">to anoint a son </w:t>
      </w:r>
      <w:r w:rsidR="00FE37BF" w:rsidRPr="001F52A8">
        <w:rPr>
          <w:rFonts w:cstheme="minorHAnsi"/>
        </w:rPr>
        <w:t xml:space="preserve">of Jesse in Bethlehem, </w:t>
      </w:r>
      <w:r w:rsidR="00BC130B" w:rsidRPr="001F52A8">
        <w:rPr>
          <w:rFonts w:cstheme="minorHAnsi"/>
        </w:rPr>
        <w:t xml:space="preserve">Samuel sees </w:t>
      </w:r>
      <w:r w:rsidR="0058648E" w:rsidRPr="001F52A8">
        <w:rPr>
          <w:rFonts w:cstheme="minorHAnsi"/>
        </w:rPr>
        <w:t>Eliab</w:t>
      </w:r>
      <w:r w:rsidR="0013343F">
        <w:rPr>
          <w:rFonts w:cstheme="minorHAnsi"/>
        </w:rPr>
        <w:t xml:space="preserve">, </w:t>
      </w:r>
      <w:r w:rsidR="00A37AB0" w:rsidRPr="001F52A8">
        <w:rPr>
          <w:rFonts w:cstheme="minorHAnsi"/>
        </w:rPr>
        <w:t xml:space="preserve">Jesse’s eldest, </w:t>
      </w:r>
      <w:r w:rsidR="004F3F95" w:rsidRPr="001F52A8">
        <w:rPr>
          <w:rFonts w:cstheme="minorHAnsi"/>
        </w:rPr>
        <w:t>as</w:t>
      </w:r>
      <w:r w:rsidR="00A37AB0" w:rsidRPr="001F52A8">
        <w:rPr>
          <w:rFonts w:cstheme="minorHAnsi"/>
        </w:rPr>
        <w:t xml:space="preserve"> is perhaps assumed here</w:t>
      </w:r>
      <w:r w:rsidR="0013343F">
        <w:rPr>
          <w:rFonts w:cstheme="minorHAnsi"/>
        </w:rPr>
        <w:t xml:space="preserve"> (</w:t>
      </w:r>
      <w:r w:rsidR="00932BA4">
        <w:rPr>
          <w:rFonts w:cstheme="minorHAnsi"/>
        </w:rPr>
        <w:t>16:6</w:t>
      </w:r>
      <w:r w:rsidR="00A37AB0" w:rsidRPr="001F52A8">
        <w:rPr>
          <w:rFonts w:cstheme="minorHAnsi"/>
        </w:rPr>
        <w:t>)</w:t>
      </w:r>
      <w:r w:rsidR="0088487B">
        <w:rPr>
          <w:rFonts w:cstheme="minorHAnsi"/>
        </w:rPr>
        <w:t>.</w:t>
      </w:r>
      <w:r w:rsidR="0058648E" w:rsidRPr="001F52A8">
        <w:rPr>
          <w:rFonts w:cstheme="minorHAnsi"/>
        </w:rPr>
        <w:t xml:space="preserve"> </w:t>
      </w:r>
      <w:r w:rsidR="00932BA4">
        <w:rPr>
          <w:rFonts w:cstheme="minorHAnsi"/>
        </w:rPr>
        <w:t>H</w:t>
      </w:r>
      <w:r w:rsidR="0088487B">
        <w:rPr>
          <w:rFonts w:cstheme="minorHAnsi"/>
        </w:rPr>
        <w:t>e ha</w:t>
      </w:r>
      <w:r w:rsidR="00932BA4">
        <w:rPr>
          <w:rFonts w:cstheme="minorHAnsi"/>
        </w:rPr>
        <w:t>s</w:t>
      </w:r>
      <w:r w:rsidR="0088487B">
        <w:rPr>
          <w:rFonts w:cstheme="minorHAnsi"/>
        </w:rPr>
        <w:t xml:space="preserve"> the appearance and height that had been </w:t>
      </w:r>
      <w:r w:rsidR="0088487B">
        <w:rPr>
          <w:rFonts w:cstheme="minorHAnsi"/>
        </w:rPr>
        <w:lastRenderedPageBreak/>
        <w:t>important when Yahweh chose Saul.</w:t>
      </w:r>
      <w:r w:rsidR="0088487B">
        <w:rPr>
          <w:rStyle w:val="FootnoteReference"/>
          <w:rFonts w:cstheme="minorHAnsi"/>
        </w:rPr>
        <w:footnoteReference w:id="178"/>
      </w:r>
      <w:r w:rsidR="0088487B">
        <w:rPr>
          <w:rFonts w:cstheme="minorHAnsi"/>
        </w:rPr>
        <w:t xml:space="preserve"> B</w:t>
      </w:r>
      <w:r w:rsidR="00103EA9" w:rsidRPr="001F52A8">
        <w:rPr>
          <w:rFonts w:cstheme="minorHAnsi"/>
        </w:rPr>
        <w:t>ut</w:t>
      </w:r>
      <w:r w:rsidR="0088487B">
        <w:rPr>
          <w:rFonts w:cstheme="minorHAnsi"/>
        </w:rPr>
        <w:t xml:space="preserve"> </w:t>
      </w:r>
      <w:r w:rsidR="00367C2E" w:rsidRPr="001F52A8">
        <w:rPr>
          <w:rFonts w:cstheme="minorHAnsi"/>
        </w:rPr>
        <w:t xml:space="preserve">Yahweh </w:t>
      </w:r>
      <w:r w:rsidR="0084656B" w:rsidRPr="001F52A8">
        <w:rPr>
          <w:rFonts w:cstheme="minorHAnsi"/>
        </w:rPr>
        <w:t>doesn</w:t>
      </w:r>
      <w:r w:rsidR="00722F9C">
        <w:rPr>
          <w:rFonts w:cstheme="minorHAnsi"/>
        </w:rPr>
        <w:t>’</w:t>
      </w:r>
      <w:r w:rsidR="0084656B" w:rsidRPr="001F52A8">
        <w:rPr>
          <w:rFonts w:cstheme="minorHAnsi"/>
        </w:rPr>
        <w:t xml:space="preserve">t look at things </w:t>
      </w:r>
      <w:r w:rsidR="00722F9C">
        <w:rPr>
          <w:rFonts w:cstheme="minorHAnsi"/>
        </w:rPr>
        <w:t>as</w:t>
      </w:r>
      <w:r w:rsidR="0084656B" w:rsidRPr="001F52A8">
        <w:rPr>
          <w:rFonts w:cstheme="minorHAnsi"/>
        </w:rPr>
        <w:t xml:space="preserve"> human beings do (cf. Isa 55:8</w:t>
      </w:r>
      <w:r w:rsidR="00C82274" w:rsidRPr="001F52A8">
        <w:rPr>
          <w:rFonts w:cstheme="minorHAnsi"/>
        </w:rPr>
        <w:t>)</w:t>
      </w:r>
      <w:r w:rsidR="000950B3" w:rsidRPr="001F52A8">
        <w:rPr>
          <w:rFonts w:cstheme="minorHAnsi"/>
        </w:rPr>
        <w:t>.</w:t>
      </w:r>
      <w:r w:rsidR="00C82274" w:rsidRPr="001F52A8">
        <w:rPr>
          <w:rStyle w:val="FootnoteReference"/>
          <w:rFonts w:cstheme="minorHAnsi"/>
        </w:rPr>
        <w:footnoteReference w:id="179"/>
      </w:r>
      <w:r w:rsidR="000950B3" w:rsidRPr="001F52A8">
        <w:rPr>
          <w:rFonts w:cstheme="minorHAnsi"/>
        </w:rPr>
        <w:t xml:space="preserve"> </w:t>
      </w:r>
      <w:r w:rsidR="000F6E61" w:rsidRPr="001F52A8">
        <w:rPr>
          <w:rFonts w:cstheme="minorHAnsi"/>
        </w:rPr>
        <w:t>Yahweh</w:t>
      </w:r>
      <w:r w:rsidR="000950B3" w:rsidRPr="001F52A8">
        <w:rPr>
          <w:rFonts w:cstheme="minorHAnsi"/>
        </w:rPr>
        <w:t xml:space="preserve"> </w:t>
      </w:r>
      <w:r w:rsidR="00367C2E" w:rsidRPr="001F52A8">
        <w:rPr>
          <w:rFonts w:cstheme="minorHAnsi"/>
        </w:rPr>
        <w:t xml:space="preserve">has looked at </w:t>
      </w:r>
      <w:r w:rsidR="000F6E61" w:rsidRPr="001F52A8">
        <w:rPr>
          <w:rFonts w:cstheme="minorHAnsi"/>
        </w:rPr>
        <w:t>Eliab’s</w:t>
      </w:r>
      <w:r w:rsidR="00367C2E" w:rsidRPr="001F52A8">
        <w:rPr>
          <w:rFonts w:cstheme="minorHAnsi"/>
        </w:rPr>
        <w:t xml:space="preserve"> </w:t>
      </w:r>
      <w:r w:rsidR="00CE102D" w:rsidRPr="001F52A8">
        <w:rPr>
          <w:rFonts w:cstheme="minorHAnsi"/>
        </w:rPr>
        <w:t xml:space="preserve">mind or thinking or inner attitude. </w:t>
      </w:r>
      <w:r w:rsidR="00BA2435" w:rsidRPr="001F52A8">
        <w:rPr>
          <w:rFonts w:cstheme="minorHAnsi"/>
        </w:rPr>
        <w:t xml:space="preserve">The significance of this comment </w:t>
      </w:r>
      <w:r w:rsidR="00072063" w:rsidRPr="001F52A8">
        <w:rPr>
          <w:rFonts w:cstheme="minorHAnsi"/>
        </w:rPr>
        <w:t xml:space="preserve">may emerge when Eliab gets angry </w:t>
      </w:r>
      <w:r w:rsidR="00CD2761" w:rsidRPr="001F52A8">
        <w:rPr>
          <w:rFonts w:cstheme="minorHAnsi"/>
        </w:rPr>
        <w:t>and disdainful to David later (1</w:t>
      </w:r>
      <w:r w:rsidR="00FE6EE6" w:rsidRPr="001F52A8">
        <w:rPr>
          <w:rFonts w:cstheme="minorHAnsi"/>
        </w:rPr>
        <w:t>7:28).</w:t>
      </w:r>
      <w:r w:rsidR="0088487B">
        <w:rPr>
          <w:rStyle w:val="FootnoteReference"/>
          <w:rFonts w:cstheme="minorHAnsi"/>
        </w:rPr>
        <w:footnoteReference w:id="180"/>
      </w:r>
      <w:r w:rsidR="00FE6EE6" w:rsidRPr="001F52A8">
        <w:rPr>
          <w:rFonts w:cstheme="minorHAnsi"/>
        </w:rPr>
        <w:t xml:space="preserve"> </w:t>
      </w:r>
      <w:r w:rsidR="004C58E6" w:rsidRPr="001F52A8">
        <w:rPr>
          <w:rFonts w:cstheme="minorHAnsi"/>
        </w:rPr>
        <w:t xml:space="preserve">The person Yahweh has chosen </w:t>
      </w:r>
      <w:r w:rsidR="00E43CEB" w:rsidRPr="001F52A8">
        <w:rPr>
          <w:rFonts w:cstheme="minorHAnsi"/>
        </w:rPr>
        <w:t xml:space="preserve">will not be </w:t>
      </w:r>
      <w:r w:rsidR="00C8257E" w:rsidRPr="001F52A8">
        <w:rPr>
          <w:rFonts w:cstheme="minorHAnsi"/>
        </w:rPr>
        <w:t xml:space="preserve">qualified by </w:t>
      </w:r>
      <w:r w:rsidR="004C58E6" w:rsidRPr="001F52A8">
        <w:rPr>
          <w:rFonts w:cstheme="minorHAnsi"/>
        </w:rPr>
        <w:t>seniority</w:t>
      </w:r>
      <w:r w:rsidR="00C55722">
        <w:rPr>
          <w:rFonts w:cstheme="minorHAnsi"/>
        </w:rPr>
        <w:t>,</w:t>
      </w:r>
      <w:r w:rsidR="004C58E6" w:rsidRPr="001F52A8">
        <w:rPr>
          <w:rFonts w:cstheme="minorHAnsi"/>
        </w:rPr>
        <w:t xml:space="preserve"> </w:t>
      </w:r>
      <w:r w:rsidR="00C8257E" w:rsidRPr="001F52A8">
        <w:rPr>
          <w:rFonts w:cstheme="minorHAnsi"/>
        </w:rPr>
        <w:t>appearance</w:t>
      </w:r>
      <w:r w:rsidR="00C55722">
        <w:rPr>
          <w:rFonts w:cstheme="minorHAnsi"/>
        </w:rPr>
        <w:t>,</w:t>
      </w:r>
      <w:r w:rsidR="00C8257E" w:rsidRPr="001F52A8">
        <w:rPr>
          <w:rFonts w:cstheme="minorHAnsi"/>
        </w:rPr>
        <w:t xml:space="preserve"> or height </w:t>
      </w:r>
      <w:r w:rsidR="00645FFF" w:rsidRPr="001F52A8">
        <w:rPr>
          <w:rFonts w:cstheme="minorHAnsi"/>
        </w:rPr>
        <w:t xml:space="preserve">but by </w:t>
      </w:r>
      <w:r w:rsidR="00EF7AAC" w:rsidRPr="001F52A8">
        <w:rPr>
          <w:rFonts w:cstheme="minorHAnsi"/>
        </w:rPr>
        <w:t xml:space="preserve">thinking and attitudes. </w:t>
      </w:r>
      <w:r w:rsidR="00F80FD9" w:rsidRPr="001F52A8">
        <w:rPr>
          <w:rFonts w:cstheme="minorHAnsi"/>
        </w:rPr>
        <w:t xml:space="preserve">The “not </w:t>
      </w:r>
      <w:r w:rsidR="00033EB8" w:rsidRPr="001F52A8">
        <w:rPr>
          <w:rFonts w:cstheme="minorHAnsi"/>
        </w:rPr>
        <w:t xml:space="preserve">this </w:t>
      </w:r>
      <w:r w:rsidR="00F80FD9" w:rsidRPr="001F52A8">
        <w:rPr>
          <w:rFonts w:cstheme="minorHAnsi"/>
        </w:rPr>
        <w:t>but</w:t>
      </w:r>
      <w:r w:rsidR="00033EB8" w:rsidRPr="001F52A8">
        <w:rPr>
          <w:rFonts w:cstheme="minorHAnsi"/>
        </w:rPr>
        <w:t xml:space="preserve"> that</w:t>
      </w:r>
      <w:r w:rsidR="00F80FD9" w:rsidRPr="001F52A8">
        <w:rPr>
          <w:rFonts w:cstheme="minorHAnsi"/>
        </w:rPr>
        <w:t xml:space="preserve">” </w:t>
      </w:r>
      <w:r w:rsidR="00736016" w:rsidRPr="001F52A8">
        <w:rPr>
          <w:rFonts w:cstheme="minorHAnsi"/>
        </w:rPr>
        <w:t>should not be misunderstood</w:t>
      </w:r>
      <w:r w:rsidR="00033EB8" w:rsidRPr="001F52A8">
        <w:rPr>
          <w:rFonts w:cstheme="minorHAnsi"/>
        </w:rPr>
        <w:t xml:space="preserve">: it evidently means “not so much this as that” or “less this </w:t>
      </w:r>
      <w:r w:rsidR="0086580D" w:rsidRPr="001F52A8">
        <w:rPr>
          <w:rFonts w:cstheme="minorHAnsi"/>
        </w:rPr>
        <w:t xml:space="preserve">than that,” because </w:t>
      </w:r>
      <w:r w:rsidR="00372593" w:rsidRPr="001F52A8">
        <w:rPr>
          <w:rFonts w:cstheme="minorHAnsi"/>
        </w:rPr>
        <w:t>t</w:t>
      </w:r>
      <w:r w:rsidR="0086580D" w:rsidRPr="001F52A8">
        <w:rPr>
          <w:rFonts w:cstheme="minorHAnsi"/>
        </w:rPr>
        <w:t xml:space="preserve">he one Yahweh has his eye on </w:t>
      </w:r>
      <w:r w:rsidR="00F44EB4" w:rsidRPr="001F52A8">
        <w:rPr>
          <w:rFonts w:cstheme="minorHAnsi"/>
        </w:rPr>
        <w:t>a</w:t>
      </w:r>
      <w:r w:rsidR="00BA525F" w:rsidRPr="001F52A8">
        <w:rPr>
          <w:rFonts w:cstheme="minorHAnsi"/>
        </w:rPr>
        <w:t>ctually</w:t>
      </w:r>
      <w:r w:rsidR="00F44EB4" w:rsidRPr="001F52A8">
        <w:rPr>
          <w:rFonts w:cstheme="minorHAnsi"/>
        </w:rPr>
        <w:t xml:space="preserve"> is </w:t>
      </w:r>
      <w:r w:rsidR="00BA525F" w:rsidRPr="001F52A8">
        <w:rPr>
          <w:rFonts w:cstheme="minorHAnsi"/>
        </w:rPr>
        <w:t>a tanned, brown-eyed handsome young man</w:t>
      </w:r>
      <w:r w:rsidR="00F17FB8" w:rsidRPr="001F52A8">
        <w:rPr>
          <w:rFonts w:cstheme="minorHAnsi"/>
        </w:rPr>
        <w:t xml:space="preserve"> (16:12)</w:t>
      </w:r>
      <w:r w:rsidR="00F47628" w:rsidRPr="001F52A8">
        <w:rPr>
          <w:rFonts w:cstheme="minorHAnsi"/>
        </w:rPr>
        <w:t>.</w:t>
      </w:r>
      <w:r w:rsidR="005627CD" w:rsidRPr="001F52A8">
        <w:rPr>
          <w:rFonts w:cstheme="minorHAnsi"/>
        </w:rPr>
        <w:t xml:space="preserve"> </w:t>
      </w:r>
      <w:r w:rsidR="00C54EAE">
        <w:rPr>
          <w:rFonts w:cstheme="minorHAnsi"/>
        </w:rPr>
        <w:t>Yet</w:t>
      </w:r>
      <w:r w:rsidR="004D2A66">
        <w:rPr>
          <w:rFonts w:cstheme="minorHAnsi"/>
        </w:rPr>
        <w:t xml:space="preserve"> </w:t>
      </w:r>
      <w:r w:rsidR="00C54EAE">
        <w:rPr>
          <w:rFonts w:cstheme="minorHAnsi"/>
        </w:rPr>
        <w:t>a</w:t>
      </w:r>
      <w:r w:rsidR="00372593" w:rsidRPr="001F52A8">
        <w:rPr>
          <w:rFonts w:cstheme="minorHAnsi"/>
        </w:rPr>
        <w:t xml:space="preserve">pparently Yahweh can see something in </w:t>
      </w:r>
      <w:r w:rsidR="00951630" w:rsidRPr="001F52A8">
        <w:rPr>
          <w:rFonts w:cstheme="minorHAnsi"/>
        </w:rPr>
        <w:t>David’s</w:t>
      </w:r>
      <w:r w:rsidR="00372593" w:rsidRPr="001F52A8">
        <w:rPr>
          <w:rFonts w:cstheme="minorHAnsi"/>
        </w:rPr>
        <w:t xml:space="preserve"> attitude that he could not see in Eliab.</w:t>
      </w:r>
      <w:r w:rsidR="00764854" w:rsidRPr="001F52A8">
        <w:rPr>
          <w:rFonts w:cstheme="minorHAnsi"/>
        </w:rPr>
        <w:t xml:space="preserve"> </w:t>
      </w:r>
      <w:r w:rsidR="00904E56" w:rsidRPr="001F52A8">
        <w:rPr>
          <w:rFonts w:cstheme="minorHAnsi"/>
        </w:rPr>
        <w:t xml:space="preserve">On the other hand, </w:t>
      </w:r>
      <w:r w:rsidR="00D42791" w:rsidRPr="001F52A8">
        <w:rPr>
          <w:rFonts w:cstheme="minorHAnsi"/>
        </w:rPr>
        <w:t xml:space="preserve">when Eliab says </w:t>
      </w:r>
      <w:r w:rsidR="00EF490E" w:rsidRPr="001F52A8">
        <w:rPr>
          <w:rFonts w:cstheme="minorHAnsi"/>
        </w:rPr>
        <w:t>those</w:t>
      </w:r>
      <w:r w:rsidR="00D42791" w:rsidRPr="001F52A8">
        <w:rPr>
          <w:rFonts w:cstheme="minorHAnsi"/>
        </w:rPr>
        <w:t xml:space="preserve"> tough things about </w:t>
      </w:r>
      <w:r w:rsidR="00A04320" w:rsidRPr="001F52A8">
        <w:rPr>
          <w:rFonts w:cstheme="minorHAnsi"/>
        </w:rPr>
        <w:t>David’s impudence and the</w:t>
      </w:r>
      <w:r w:rsidR="00186CF1" w:rsidRPr="001F52A8">
        <w:rPr>
          <w:rFonts w:cstheme="minorHAnsi"/>
        </w:rPr>
        <w:t xml:space="preserve"> ambitiousness of </w:t>
      </w:r>
      <w:r w:rsidR="00A04320" w:rsidRPr="001F52A8">
        <w:rPr>
          <w:rFonts w:cstheme="minorHAnsi"/>
        </w:rPr>
        <w:t>hi</w:t>
      </w:r>
      <w:r w:rsidR="00D42791" w:rsidRPr="001F52A8">
        <w:rPr>
          <w:rFonts w:cstheme="minorHAnsi"/>
        </w:rPr>
        <w:t xml:space="preserve">s thinking and attitude </w:t>
      </w:r>
      <w:r w:rsidR="002C2007" w:rsidRPr="001F52A8">
        <w:rPr>
          <w:rFonts w:cstheme="minorHAnsi"/>
        </w:rPr>
        <w:t>(17:28), he is not far wrong</w:t>
      </w:r>
      <w:r w:rsidR="000D2AA3">
        <w:rPr>
          <w:rFonts w:cstheme="minorHAnsi"/>
        </w:rPr>
        <w:t>.</w:t>
      </w:r>
      <w:r w:rsidR="00186CF1" w:rsidRPr="001F52A8">
        <w:rPr>
          <w:rStyle w:val="FootnoteReference"/>
          <w:rFonts w:cstheme="minorHAnsi"/>
        </w:rPr>
        <w:footnoteReference w:id="181"/>
      </w:r>
      <w:r w:rsidR="000D2AA3">
        <w:rPr>
          <w:rFonts w:cstheme="minorHAnsi"/>
        </w:rPr>
        <w:t xml:space="preserve"> </w:t>
      </w:r>
      <w:r w:rsidR="00576691" w:rsidRPr="006D67FA">
        <w:rPr>
          <w:rFonts w:cstheme="minorHAnsi"/>
        </w:rPr>
        <w:t>“From the moment David first speaks (</w:t>
      </w:r>
      <w:r w:rsidR="00576691" w:rsidRPr="006D67FA">
        <w:rPr>
          <w:rFonts w:cstheme="minorHAnsi"/>
          <w:sz w:val="20"/>
          <w:szCs w:val="20"/>
        </w:rPr>
        <w:t xml:space="preserve">17:26), </w:t>
      </w:r>
      <w:r w:rsidR="00576691" w:rsidRPr="006D67FA">
        <w:rPr>
          <w:rFonts w:cstheme="minorHAnsi"/>
        </w:rPr>
        <w:t>he seems to manifest a distinctive spark of ambition</w:t>
      </w:r>
      <w:r w:rsidR="00576691">
        <w:rPr>
          <w:rFonts w:cstheme="minorHAnsi"/>
        </w:rPr>
        <w:t>.”</w:t>
      </w:r>
      <w:r w:rsidR="00576691" w:rsidRPr="001F52A8">
        <w:rPr>
          <w:rStyle w:val="FootnoteReference"/>
          <w:rFonts w:ascii="Calibri" w:hAnsi="Calibri" w:cs="Calibri"/>
        </w:rPr>
        <w:footnoteReference w:id="182"/>
      </w:r>
      <w:r w:rsidR="00576691">
        <w:rPr>
          <w:rFonts w:cstheme="minorHAnsi"/>
        </w:rPr>
        <w:t xml:space="preserve"> </w:t>
      </w:r>
      <w:r w:rsidR="000D2AA3">
        <w:rPr>
          <w:rFonts w:cstheme="minorHAnsi"/>
        </w:rPr>
        <w:t>“</w:t>
      </w:r>
      <w:r w:rsidR="000D2AA3" w:rsidRPr="000D2AA3">
        <w:rPr>
          <w:rFonts w:ascii="Calibri" w:hAnsi="Calibri" w:cs="Calibri"/>
        </w:rPr>
        <w:t>Even before 2 Samuel 11, ominous signs appear throughout the story and foreshadow David’s moral demise</w:t>
      </w:r>
      <w:r w:rsidR="000D2AA3">
        <w:rPr>
          <w:rFonts w:ascii="Calibri" w:hAnsi="Calibri" w:cs="Calibri"/>
        </w:rPr>
        <w:t>.”</w:t>
      </w:r>
      <w:r w:rsidR="0052767A">
        <w:rPr>
          <w:rStyle w:val="FootnoteReference"/>
          <w:rFonts w:ascii="Calibri" w:hAnsi="Calibri" w:cs="Calibri"/>
        </w:rPr>
        <w:footnoteReference w:id="183"/>
      </w:r>
    </w:p>
    <w:p w14:paraId="4AEB36B8" w14:textId="771B2AD8" w:rsidR="0056571F" w:rsidRDefault="005627CD" w:rsidP="0056571F">
      <w:pPr>
        <w:rPr>
          <w:rFonts w:cstheme="minorHAnsi"/>
        </w:rPr>
      </w:pPr>
      <w:r w:rsidRPr="001F52A8">
        <w:rPr>
          <w:rFonts w:cstheme="minorHAnsi"/>
        </w:rPr>
        <w:t xml:space="preserve">Samuel anoints </w:t>
      </w:r>
      <w:r w:rsidR="00890BA6">
        <w:rPr>
          <w:rFonts w:cstheme="minorHAnsi"/>
        </w:rPr>
        <w:t>David</w:t>
      </w:r>
      <w:r w:rsidR="008743A2" w:rsidRPr="001F52A8">
        <w:rPr>
          <w:rFonts w:cstheme="minorHAnsi"/>
        </w:rPr>
        <w:t xml:space="preserve">, and </w:t>
      </w:r>
      <w:r w:rsidR="00FE2B61" w:rsidRPr="001F52A8">
        <w:rPr>
          <w:rFonts w:cstheme="minorHAnsi"/>
        </w:rPr>
        <w:t xml:space="preserve">Yahweh’s </w:t>
      </w:r>
      <w:r w:rsidR="00825AFE" w:rsidRPr="001F52A8">
        <w:rPr>
          <w:rFonts w:cstheme="minorHAnsi"/>
        </w:rPr>
        <w:t xml:space="preserve">wind or breath or </w:t>
      </w:r>
      <w:r w:rsidR="00FE2B61" w:rsidRPr="001F52A8">
        <w:rPr>
          <w:rFonts w:cstheme="minorHAnsi"/>
        </w:rPr>
        <w:t>spirit</w:t>
      </w:r>
      <w:r w:rsidR="00825AFE" w:rsidRPr="001F52A8">
        <w:rPr>
          <w:rFonts w:cstheme="minorHAnsi"/>
        </w:rPr>
        <w:t xml:space="preserve"> overwhelms him, as it did Saul</w:t>
      </w:r>
      <w:r w:rsidR="004C130E" w:rsidRPr="001F52A8">
        <w:rPr>
          <w:rFonts w:cstheme="minorHAnsi"/>
        </w:rPr>
        <w:t xml:space="preserve"> (16:7, 1</w:t>
      </w:r>
      <w:r w:rsidR="00FE7507" w:rsidRPr="001F52A8">
        <w:rPr>
          <w:rFonts w:cstheme="minorHAnsi"/>
        </w:rPr>
        <w:t>2-13).</w:t>
      </w:r>
      <w:r w:rsidR="00B6582C" w:rsidRPr="001F52A8">
        <w:rPr>
          <w:rFonts w:cstheme="minorHAnsi"/>
        </w:rPr>
        <w:t xml:space="preserve"> </w:t>
      </w:r>
      <w:r w:rsidR="00257B0D" w:rsidRPr="001F52A8">
        <w:rPr>
          <w:rFonts w:cstheme="minorHAnsi"/>
        </w:rPr>
        <w:t>Th</w:t>
      </w:r>
      <w:r w:rsidR="00B6582C" w:rsidRPr="001F52A8">
        <w:rPr>
          <w:rFonts w:cstheme="minorHAnsi"/>
        </w:rPr>
        <w:t>e</w:t>
      </w:r>
      <w:r w:rsidR="00257B0D" w:rsidRPr="001F52A8">
        <w:rPr>
          <w:rFonts w:cstheme="minorHAnsi"/>
        </w:rPr>
        <w:t xml:space="preserve"> anointing is a family</w:t>
      </w:r>
      <w:r w:rsidR="003D240C" w:rsidRPr="001F52A8">
        <w:rPr>
          <w:rFonts w:cstheme="minorHAnsi"/>
        </w:rPr>
        <w:t xml:space="preserve"> event not a public one, and </w:t>
      </w:r>
      <w:r w:rsidR="00431AAA" w:rsidRPr="001F52A8">
        <w:rPr>
          <w:rFonts w:cstheme="minorHAnsi"/>
        </w:rPr>
        <w:t xml:space="preserve">while </w:t>
      </w:r>
      <w:r w:rsidR="00063CC6" w:rsidRPr="001F52A8">
        <w:rPr>
          <w:rFonts w:cstheme="minorHAnsi"/>
        </w:rPr>
        <w:t>Samuel knows what it meant</w:t>
      </w:r>
      <w:r w:rsidR="00014332" w:rsidRPr="001F52A8">
        <w:rPr>
          <w:rFonts w:cstheme="minorHAnsi"/>
        </w:rPr>
        <w:t xml:space="preserve"> and the audience of the story knows</w:t>
      </w:r>
      <w:r w:rsidR="00431AAA" w:rsidRPr="001F52A8">
        <w:rPr>
          <w:rFonts w:cstheme="minorHAnsi"/>
        </w:rPr>
        <w:t>,</w:t>
      </w:r>
      <w:r w:rsidR="006F6D82" w:rsidRPr="001F52A8">
        <w:rPr>
          <w:rFonts w:cstheme="minorHAnsi"/>
        </w:rPr>
        <w:t xml:space="preserve"> </w:t>
      </w:r>
      <w:r w:rsidR="003D240C" w:rsidRPr="001F52A8">
        <w:rPr>
          <w:rFonts w:cstheme="minorHAnsi"/>
        </w:rPr>
        <w:t xml:space="preserve">who </w:t>
      </w:r>
      <w:r w:rsidR="004D41A6" w:rsidRPr="001F52A8">
        <w:rPr>
          <w:rFonts w:cstheme="minorHAnsi"/>
        </w:rPr>
        <w:t>can tell</w:t>
      </w:r>
      <w:r w:rsidR="003D240C" w:rsidRPr="001F52A8">
        <w:rPr>
          <w:rFonts w:cstheme="minorHAnsi"/>
        </w:rPr>
        <w:t xml:space="preserve"> what </w:t>
      </w:r>
      <w:r w:rsidR="002D2FD3" w:rsidRPr="001F52A8">
        <w:rPr>
          <w:rFonts w:cstheme="minorHAnsi"/>
        </w:rPr>
        <w:t>the famil</w:t>
      </w:r>
      <w:r w:rsidR="00063CC6" w:rsidRPr="001F52A8">
        <w:rPr>
          <w:rFonts w:cstheme="minorHAnsi"/>
        </w:rPr>
        <w:t>y</w:t>
      </w:r>
      <w:r w:rsidR="003D240C" w:rsidRPr="001F52A8">
        <w:rPr>
          <w:rFonts w:cstheme="minorHAnsi"/>
        </w:rPr>
        <w:t xml:space="preserve"> </w:t>
      </w:r>
      <w:r w:rsidR="008C6E84" w:rsidRPr="001F52A8">
        <w:rPr>
          <w:rFonts w:cstheme="minorHAnsi"/>
        </w:rPr>
        <w:t xml:space="preserve">would have </w:t>
      </w:r>
      <w:r w:rsidR="003D240C" w:rsidRPr="001F52A8">
        <w:rPr>
          <w:rFonts w:cstheme="minorHAnsi"/>
        </w:rPr>
        <w:t xml:space="preserve">thought </w:t>
      </w:r>
      <w:r w:rsidR="00014332" w:rsidRPr="001F52A8">
        <w:rPr>
          <w:rFonts w:cstheme="minorHAnsi"/>
        </w:rPr>
        <w:t>at the time</w:t>
      </w:r>
      <w:r w:rsidR="003D240C" w:rsidRPr="001F52A8">
        <w:rPr>
          <w:rFonts w:cstheme="minorHAnsi"/>
        </w:rPr>
        <w:t>?</w:t>
      </w:r>
      <w:r w:rsidR="00063CC6" w:rsidRPr="001F52A8">
        <w:rPr>
          <w:rFonts w:cstheme="minorHAnsi"/>
        </w:rPr>
        <w:t xml:space="preserve"> </w:t>
      </w:r>
      <w:r w:rsidR="000A6496" w:rsidRPr="001F52A8">
        <w:rPr>
          <w:rFonts w:cstheme="minorHAnsi"/>
        </w:rPr>
        <w:t xml:space="preserve">Samuel </w:t>
      </w:r>
      <w:r w:rsidR="000D2F18" w:rsidRPr="001F52A8">
        <w:rPr>
          <w:rFonts w:cstheme="minorHAnsi"/>
        </w:rPr>
        <w:t xml:space="preserve">had </w:t>
      </w:r>
      <w:r w:rsidR="000A6496" w:rsidRPr="001F52A8">
        <w:rPr>
          <w:rFonts w:cstheme="minorHAnsi"/>
        </w:rPr>
        <w:t xml:space="preserve">anointed Saul </w:t>
      </w:r>
      <w:r w:rsidR="00AE0DAA" w:rsidRPr="001F52A8">
        <w:rPr>
          <w:rFonts w:cstheme="minorHAnsi"/>
        </w:rPr>
        <w:t xml:space="preserve">without anyone </w:t>
      </w:r>
      <w:r w:rsidR="00DC66B9" w:rsidRPr="001F52A8">
        <w:rPr>
          <w:rFonts w:cstheme="minorHAnsi"/>
        </w:rPr>
        <w:t>else</w:t>
      </w:r>
      <w:r w:rsidR="00AE0DAA" w:rsidRPr="001F52A8">
        <w:rPr>
          <w:rFonts w:cstheme="minorHAnsi"/>
        </w:rPr>
        <w:t xml:space="preserve"> knowing what it signified, </w:t>
      </w:r>
      <w:r w:rsidR="000A6496" w:rsidRPr="001F52A8">
        <w:rPr>
          <w:rFonts w:cstheme="minorHAnsi"/>
        </w:rPr>
        <w:t xml:space="preserve">and God’s spirit </w:t>
      </w:r>
      <w:r w:rsidR="00AE0DAA" w:rsidRPr="001F52A8">
        <w:rPr>
          <w:rFonts w:cstheme="minorHAnsi"/>
        </w:rPr>
        <w:t xml:space="preserve">had </w:t>
      </w:r>
      <w:r w:rsidR="000A6496" w:rsidRPr="001F52A8">
        <w:rPr>
          <w:rFonts w:cstheme="minorHAnsi"/>
        </w:rPr>
        <w:t>c</w:t>
      </w:r>
      <w:r w:rsidR="00AE0DAA" w:rsidRPr="001F52A8">
        <w:rPr>
          <w:rFonts w:cstheme="minorHAnsi"/>
        </w:rPr>
        <w:t>o</w:t>
      </w:r>
      <w:r w:rsidR="000A6496" w:rsidRPr="001F52A8">
        <w:rPr>
          <w:rFonts w:cstheme="minorHAnsi"/>
        </w:rPr>
        <w:t>me on him</w:t>
      </w:r>
      <w:r w:rsidR="00263922" w:rsidRPr="001F52A8">
        <w:rPr>
          <w:rFonts w:cstheme="minorHAnsi"/>
        </w:rPr>
        <w:t xml:space="preserve"> and he had prophesied</w:t>
      </w:r>
      <w:r w:rsidR="00CD56E2" w:rsidRPr="001F52A8">
        <w:rPr>
          <w:rFonts w:cstheme="minorHAnsi"/>
        </w:rPr>
        <w:t xml:space="preserve">. </w:t>
      </w:r>
      <w:r w:rsidR="000A6496" w:rsidRPr="001F52A8">
        <w:rPr>
          <w:rFonts w:cstheme="minorHAnsi"/>
        </w:rPr>
        <w:t xml:space="preserve">Is David to be a </w:t>
      </w:r>
      <w:r w:rsidR="00CD56E2" w:rsidRPr="001F52A8">
        <w:rPr>
          <w:rFonts w:cstheme="minorHAnsi"/>
        </w:rPr>
        <w:t xml:space="preserve">prophet? Or a </w:t>
      </w:r>
      <w:r w:rsidR="000A6496" w:rsidRPr="001F52A8">
        <w:rPr>
          <w:rFonts w:cstheme="minorHAnsi"/>
        </w:rPr>
        <w:t>priest?</w:t>
      </w:r>
      <w:r w:rsidR="00263922" w:rsidRPr="001F52A8">
        <w:rPr>
          <w:rFonts w:cstheme="minorHAnsi"/>
        </w:rPr>
        <w:t xml:space="preserve"> – priests are </w:t>
      </w:r>
      <w:r w:rsidR="00743A31" w:rsidRPr="001F52A8">
        <w:rPr>
          <w:rFonts w:cstheme="minorHAnsi"/>
        </w:rPr>
        <w:t xml:space="preserve">also </w:t>
      </w:r>
      <w:r w:rsidR="00263922" w:rsidRPr="001F52A8">
        <w:rPr>
          <w:rFonts w:cstheme="minorHAnsi"/>
        </w:rPr>
        <w:t>anointed.</w:t>
      </w:r>
      <w:r w:rsidR="000A6496" w:rsidRPr="001F52A8">
        <w:rPr>
          <w:rFonts w:cstheme="minorHAnsi"/>
        </w:rPr>
        <w:t xml:space="preserve"> </w:t>
      </w:r>
    </w:p>
    <w:p w14:paraId="34D5076B" w14:textId="03419F80" w:rsidR="00BB0B6D" w:rsidRPr="001F52A8" w:rsidRDefault="00BB0B6D" w:rsidP="00BB0B6D">
      <w:pPr>
        <w:rPr>
          <w:rFonts w:cstheme="minorHAnsi"/>
        </w:rPr>
      </w:pPr>
      <w:r w:rsidRPr="001F52A8">
        <w:rPr>
          <w:rFonts w:cstheme="minorHAnsi"/>
        </w:rPr>
        <w:t>As happened after Samuel anointed Saul and God’s spirit came on him, life then goes on as normal for a while. But alongside God’s spirit’s overwhelming David is its leaving Saul</w:t>
      </w:r>
      <w:r>
        <w:rPr>
          <w:rFonts w:cstheme="minorHAnsi"/>
        </w:rPr>
        <w:t xml:space="preserve"> (16:14)</w:t>
      </w:r>
      <w:r w:rsidRPr="001F52A8">
        <w:rPr>
          <w:rFonts w:cstheme="minorHAnsi"/>
        </w:rPr>
        <w:t>. The implication is not the one that could apply i</w:t>
      </w:r>
      <w:r>
        <w:rPr>
          <w:rFonts w:cstheme="minorHAnsi"/>
        </w:rPr>
        <w:t xml:space="preserve">n </w:t>
      </w:r>
      <w:r w:rsidRPr="001F52A8">
        <w:rPr>
          <w:rFonts w:cstheme="minorHAnsi"/>
        </w:rPr>
        <w:t>Christian language usage, where the Holy Spirit</w:t>
      </w:r>
      <w:r>
        <w:rPr>
          <w:rFonts w:cstheme="minorHAnsi"/>
        </w:rPr>
        <w:t>’s departure</w:t>
      </w:r>
      <w:r w:rsidRPr="001F52A8">
        <w:rPr>
          <w:rFonts w:cstheme="minorHAnsi"/>
        </w:rPr>
        <w:t xml:space="preserve"> would imply los</w:t>
      </w:r>
      <w:r>
        <w:rPr>
          <w:rFonts w:cstheme="minorHAnsi"/>
        </w:rPr>
        <w:t>ing</w:t>
      </w:r>
      <w:r w:rsidRPr="001F52A8">
        <w:rPr>
          <w:rFonts w:cstheme="minorHAnsi"/>
        </w:rPr>
        <w:t xml:space="preserve"> one’s relationship with God. Saul is not being cast off as a person or cut off from Israel. The narrative is talking about the coming and departure of Yahweh’s spirit in connection with appointment as king</w:t>
      </w:r>
      <w:r>
        <w:rPr>
          <w:rFonts w:cstheme="minorHAnsi"/>
        </w:rPr>
        <w:t xml:space="preserve"> and resourcing for that role.</w:t>
      </w:r>
      <w:r w:rsidRPr="001F52A8">
        <w:rPr>
          <w:rFonts w:cstheme="minorHAnsi"/>
        </w:rPr>
        <w:t xml:space="preserve"> Saul is being fired from being king, or being given notice of his firing, and the withdrawing of Yahweh’s spirit is tied up with Yahweh’s giving up on Saul as king. On the other hand, the coming of Yahweh’s spirit on David and Yahweh’s being with him do not issue from deserve on his part. He is simply the person God chose. Maybe Yahweh had reasons, but the narrator doesn’t tell us what they might have been</w:t>
      </w:r>
      <w:r w:rsidR="00976E64">
        <w:rPr>
          <w:rFonts w:cstheme="minorHAnsi"/>
        </w:rPr>
        <w:t>, beyond the comment about attitude.</w:t>
      </w:r>
    </w:p>
    <w:p w14:paraId="634A402D" w14:textId="1EAD9525" w:rsidR="00D95CBF" w:rsidRPr="00C67A83" w:rsidRDefault="00D95CBF" w:rsidP="00C67A83">
      <w:pPr>
        <w:rPr>
          <w:rFonts w:ascii="Calibri" w:hAnsi="Calibri" w:cs="Calibri"/>
          <w:color w:val="222222"/>
          <w:sz w:val="20"/>
          <w:szCs w:val="20"/>
        </w:rPr>
      </w:pPr>
      <w:r w:rsidRPr="001F52A8">
        <w:rPr>
          <w:rFonts w:cstheme="minorHAnsi"/>
        </w:rPr>
        <w:t>Whereas Yahweh ha</w:t>
      </w:r>
      <w:r w:rsidR="00A25B64">
        <w:rPr>
          <w:rFonts w:cstheme="minorHAnsi"/>
        </w:rPr>
        <w:t>s</w:t>
      </w:r>
      <w:r w:rsidRPr="001F52A8">
        <w:rPr>
          <w:rFonts w:cstheme="minorHAnsi"/>
        </w:rPr>
        <w:t xml:space="preserve"> left Saul, David has great success in battle and great popularity</w:t>
      </w:r>
      <w:r w:rsidR="00DB46AB">
        <w:rPr>
          <w:rFonts w:cstheme="minorHAnsi"/>
        </w:rPr>
        <w:t xml:space="preserve">. </w:t>
      </w:r>
      <w:r w:rsidR="00380C67">
        <w:rPr>
          <w:rFonts w:cstheme="minorHAnsi"/>
        </w:rPr>
        <w:t>His</w:t>
      </w:r>
      <w:r w:rsidR="00380C67" w:rsidRPr="001F52A8">
        <w:rPr>
          <w:rFonts w:cstheme="minorHAnsi"/>
        </w:rPr>
        <w:t xml:space="preserve"> appointment as commander-in-chief “was good in the eyes of the entire people and also in the eyes of Saul’s servants” (18:5). </w:t>
      </w:r>
      <w:r w:rsidRPr="001F52A8">
        <w:rPr>
          <w:rFonts w:cstheme="minorHAnsi"/>
        </w:rPr>
        <w:t>“He was successful . . . successful . . .</w:t>
      </w:r>
      <w:r w:rsidR="00ED4F7B">
        <w:rPr>
          <w:rFonts w:cstheme="minorHAnsi"/>
        </w:rPr>
        <w:t xml:space="preserve"> </w:t>
      </w:r>
      <w:r w:rsidRPr="001F52A8">
        <w:rPr>
          <w:rFonts w:cstheme="minorHAnsi"/>
        </w:rPr>
        <w:t>successful . . .</w:t>
      </w:r>
      <w:r w:rsidR="00ED4F7B">
        <w:rPr>
          <w:rFonts w:cstheme="minorHAnsi"/>
        </w:rPr>
        <w:t xml:space="preserve"> </w:t>
      </w:r>
      <w:r w:rsidRPr="001F52A8">
        <w:rPr>
          <w:rFonts w:cstheme="minorHAnsi"/>
        </w:rPr>
        <w:t xml:space="preserve">successful” (18:5, 14, 15, 30). People “loved him . . . loved him . . . loved David </w:t>
      </w:r>
      <w:r w:rsidR="00E232D3">
        <w:rPr>
          <w:rFonts w:cstheme="minorHAnsi"/>
        </w:rPr>
        <w:t>. . .</w:t>
      </w:r>
      <w:r w:rsidRPr="001F52A8">
        <w:rPr>
          <w:rFonts w:cstheme="minorHAnsi"/>
        </w:rPr>
        <w:t xml:space="preserve"> loved David </w:t>
      </w:r>
      <w:r w:rsidR="00E232D3">
        <w:rPr>
          <w:rFonts w:cstheme="minorHAnsi"/>
        </w:rPr>
        <w:t>. . .</w:t>
      </w:r>
      <w:r w:rsidRPr="001F52A8">
        <w:rPr>
          <w:rFonts w:cstheme="minorHAnsi"/>
        </w:rPr>
        <w:t xml:space="preserve"> love you . . . loved him” (18:1, 3, 16, 20, 22, 28).</w:t>
      </w:r>
      <w:r w:rsidRPr="001F52A8">
        <w:rPr>
          <w:rStyle w:val="FootnoteReference"/>
          <w:rFonts w:cstheme="minorHAnsi"/>
        </w:rPr>
        <w:footnoteReference w:id="184"/>
      </w:r>
      <w:r w:rsidR="00C67A83" w:rsidRPr="001F52A8">
        <w:rPr>
          <w:rFonts w:cstheme="minorHAnsi"/>
        </w:rPr>
        <w:t xml:space="preserve"> </w:t>
      </w:r>
      <w:r w:rsidR="00C67A83" w:rsidRPr="001F52A8">
        <w:rPr>
          <w:rFonts w:ascii="Calibri" w:hAnsi="Calibri" w:cs="Calibri"/>
          <w:sz w:val="20"/>
          <w:szCs w:val="20"/>
        </w:rPr>
        <w:t>“</w:t>
      </w:r>
      <w:r w:rsidR="00C67A83" w:rsidRPr="001F52A8">
        <w:rPr>
          <w:rFonts w:ascii="Calibri" w:hAnsi="Calibri" w:cs="Calibri"/>
          <w:color w:val="222222"/>
        </w:rPr>
        <w:t>Love seems to come to him as gift and destiny</w:t>
      </w:r>
      <w:r w:rsidR="00C67A83" w:rsidRPr="001F52A8">
        <w:rPr>
          <w:rFonts w:ascii="Calibri" w:hAnsi="Calibri" w:cs="Calibri"/>
          <w:color w:val="222222"/>
          <w:sz w:val="20"/>
          <w:szCs w:val="20"/>
        </w:rPr>
        <w:t>.”</w:t>
      </w:r>
      <w:r w:rsidR="00C67A83" w:rsidRPr="001F52A8">
        <w:rPr>
          <w:rStyle w:val="FootnoteReference"/>
          <w:rFonts w:ascii="Calibri" w:hAnsi="Calibri" w:cs="Calibri"/>
          <w:color w:val="222222"/>
          <w:sz w:val="20"/>
          <w:szCs w:val="20"/>
        </w:rPr>
        <w:footnoteReference w:id="185"/>
      </w:r>
      <w:r w:rsidR="00C67A83">
        <w:rPr>
          <w:rFonts w:ascii="Calibri" w:hAnsi="Calibri" w:cs="Calibri"/>
          <w:color w:val="222222"/>
          <w:sz w:val="20"/>
          <w:szCs w:val="20"/>
        </w:rPr>
        <w:t xml:space="preserve"> </w:t>
      </w:r>
      <w:r w:rsidRPr="001F52A8">
        <w:rPr>
          <w:rFonts w:cstheme="minorHAnsi"/>
        </w:rPr>
        <w:t xml:space="preserve">“Yahweh </w:t>
      </w:r>
      <w:r w:rsidR="0074659B">
        <w:rPr>
          <w:rFonts w:cstheme="minorHAnsi"/>
        </w:rPr>
        <w:t>was</w:t>
      </w:r>
      <w:r w:rsidRPr="001F52A8">
        <w:rPr>
          <w:rFonts w:cstheme="minorHAnsi"/>
        </w:rPr>
        <w:t xml:space="preserve"> with him</w:t>
      </w:r>
      <w:r w:rsidR="0074659B">
        <w:rPr>
          <w:rFonts w:cstheme="minorHAnsi"/>
        </w:rPr>
        <w:t xml:space="preserve"> . . . with him . . .</w:t>
      </w:r>
      <w:r w:rsidR="008905D5">
        <w:rPr>
          <w:rFonts w:cstheme="minorHAnsi"/>
        </w:rPr>
        <w:t xml:space="preserve"> </w:t>
      </w:r>
      <w:r w:rsidR="008905D5">
        <w:rPr>
          <w:rFonts w:cstheme="minorHAnsi"/>
        </w:rPr>
        <w:lastRenderedPageBreak/>
        <w:t>with him</w:t>
      </w:r>
      <w:r w:rsidRPr="001F52A8">
        <w:rPr>
          <w:rFonts w:cstheme="minorHAnsi"/>
        </w:rPr>
        <w:t>” (</w:t>
      </w:r>
      <w:r w:rsidR="002C4F4D" w:rsidRPr="001F52A8">
        <w:rPr>
          <w:rFonts w:cstheme="minorHAnsi"/>
        </w:rPr>
        <w:t>18:12, 14, 28</w:t>
      </w:r>
      <w:r w:rsidRPr="001F52A8">
        <w:rPr>
          <w:rFonts w:cstheme="minorHAnsi"/>
        </w:rPr>
        <w:t>). Wh</w:t>
      </w:r>
      <w:r w:rsidR="00F5777E">
        <w:rPr>
          <w:rFonts w:cstheme="minorHAnsi"/>
        </w:rPr>
        <w:t>ile</w:t>
      </w:r>
      <w:r w:rsidRPr="001F52A8">
        <w:rPr>
          <w:rFonts w:cstheme="minorHAnsi"/>
        </w:rPr>
        <w:t xml:space="preserve"> there will be no other references to the Spirit of God being involved with David (the exception in 2 Sam 23:2 proves the rule), th</w:t>
      </w:r>
      <w:r>
        <w:rPr>
          <w:rFonts w:cstheme="minorHAnsi"/>
        </w:rPr>
        <w:t>is</w:t>
      </w:r>
      <w:r w:rsidRPr="001F52A8">
        <w:rPr>
          <w:rFonts w:cstheme="minorHAnsi"/>
        </w:rPr>
        <w:t xml:space="preserve"> phrase recurs (cf. </w:t>
      </w:r>
      <w:r w:rsidR="005F4007">
        <w:rPr>
          <w:rFonts w:cstheme="minorHAnsi"/>
        </w:rPr>
        <w:t xml:space="preserve">16:18; </w:t>
      </w:r>
      <w:r w:rsidRPr="001F52A8">
        <w:rPr>
          <w:rFonts w:cstheme="minorHAnsi"/>
        </w:rPr>
        <w:t xml:space="preserve">17:37; 2 Sam 5:10). It is another way of making the same point. </w:t>
      </w:r>
      <w:r w:rsidR="002340EF">
        <w:rPr>
          <w:rFonts w:cstheme="minorHAnsi"/>
        </w:rPr>
        <w:t>S</w:t>
      </w:r>
      <w:r w:rsidRPr="001F52A8">
        <w:rPr>
          <w:rFonts w:cstheme="minorHAnsi"/>
        </w:rPr>
        <w:t>ay</w:t>
      </w:r>
      <w:r w:rsidR="002340EF">
        <w:rPr>
          <w:rFonts w:cstheme="minorHAnsi"/>
        </w:rPr>
        <w:t>ing</w:t>
      </w:r>
      <w:r w:rsidRPr="001F52A8">
        <w:rPr>
          <w:rFonts w:cstheme="minorHAnsi"/>
        </w:rPr>
        <w:t xml:space="preserve"> that Yahweh’s spirit came on David make</w:t>
      </w:r>
      <w:r w:rsidR="002340EF">
        <w:rPr>
          <w:rFonts w:cstheme="minorHAnsi"/>
        </w:rPr>
        <w:t>s</w:t>
      </w:r>
      <w:r w:rsidRPr="001F52A8">
        <w:rPr>
          <w:rFonts w:cstheme="minorHAnsi"/>
        </w:rPr>
        <w:t xml:space="preserve"> a link with the Saul story, but Yahweh’s being with </w:t>
      </w:r>
      <w:r w:rsidR="002340EF">
        <w:rPr>
          <w:rFonts w:cstheme="minorHAnsi"/>
        </w:rPr>
        <w:t>David</w:t>
      </w:r>
      <w:r w:rsidRPr="001F52A8">
        <w:rPr>
          <w:rFonts w:cstheme="minorHAnsi"/>
        </w:rPr>
        <w:t xml:space="preserve"> is more intrinsic to and characteristic of </w:t>
      </w:r>
      <w:r w:rsidR="00475AFB">
        <w:rPr>
          <w:rFonts w:cstheme="minorHAnsi"/>
        </w:rPr>
        <w:t>his</w:t>
      </w:r>
      <w:r w:rsidRPr="001F52A8">
        <w:rPr>
          <w:rFonts w:cstheme="minorHAnsi"/>
        </w:rPr>
        <w:t xml:space="preserve"> story. </w:t>
      </w:r>
      <w:r w:rsidR="00475AFB">
        <w:rPr>
          <w:rFonts w:cstheme="minorHAnsi"/>
        </w:rPr>
        <w:t>It</w:t>
      </w:r>
      <w:r w:rsidRPr="001F52A8">
        <w:rPr>
          <w:rFonts w:cstheme="minorHAnsi"/>
        </w:rPr>
        <w:t xml:space="preserve"> meant he defeated Goliath and had other victories and achievements, which were soon worrying Saul. In Christian usage, God being with you suggests </w:t>
      </w:r>
      <w:r w:rsidR="008A612E">
        <w:rPr>
          <w:rFonts w:cstheme="minorHAnsi"/>
        </w:rPr>
        <w:t>having</w:t>
      </w:r>
      <w:r w:rsidRPr="001F52A8">
        <w:rPr>
          <w:rFonts w:cstheme="minorHAnsi"/>
        </w:rPr>
        <w:t xml:space="preserve"> a sense of God’s presence. In the Scriptures, it suggests an objective fact with visible implications (cf. </w:t>
      </w:r>
      <w:r w:rsidR="0027779E">
        <w:rPr>
          <w:rFonts w:cstheme="minorHAnsi"/>
        </w:rPr>
        <w:t xml:space="preserve">1 Sam </w:t>
      </w:r>
      <w:r w:rsidRPr="001F52A8">
        <w:rPr>
          <w:rFonts w:cstheme="minorHAnsi"/>
        </w:rPr>
        <w:t>10:7; 20:13; 2 Sam 7:3, 9; cf. Matt 28:20; Lk 1:28).</w:t>
      </w:r>
    </w:p>
    <w:p w14:paraId="60708056" w14:textId="1F0605FA" w:rsidR="00FD3077" w:rsidRDefault="00294C6E" w:rsidP="00CC7F4D">
      <w:pPr>
        <w:rPr>
          <w:rFonts w:cstheme="minorHAnsi"/>
        </w:rPr>
      </w:pPr>
      <w:r>
        <w:rPr>
          <w:rFonts w:cstheme="minorHAnsi"/>
        </w:rPr>
        <w:t>F</w:t>
      </w:r>
      <w:r w:rsidR="004876BD" w:rsidRPr="001F52A8">
        <w:rPr>
          <w:rFonts w:cstheme="minorHAnsi"/>
        </w:rPr>
        <w:t xml:space="preserve">or Saul, </w:t>
      </w:r>
      <w:r w:rsidR="00A651BA" w:rsidRPr="001F52A8">
        <w:rPr>
          <w:rFonts w:cstheme="minorHAnsi"/>
        </w:rPr>
        <w:t>in addition</w:t>
      </w:r>
      <w:r w:rsidR="00C10071" w:rsidRPr="001F52A8">
        <w:rPr>
          <w:rFonts w:cstheme="minorHAnsi"/>
        </w:rPr>
        <w:t>,</w:t>
      </w:r>
      <w:r w:rsidR="002616F5" w:rsidRPr="001F52A8">
        <w:rPr>
          <w:rFonts w:cstheme="minorHAnsi"/>
        </w:rPr>
        <w:t xml:space="preserve"> “a bad spirit </w:t>
      </w:r>
      <w:r w:rsidR="00383C70" w:rsidRPr="001F52A8">
        <w:rPr>
          <w:rFonts w:cstheme="minorHAnsi"/>
        </w:rPr>
        <w:t>from Yahweh</w:t>
      </w:r>
      <w:r w:rsidR="00C60EEB" w:rsidRPr="001F52A8">
        <w:rPr>
          <w:rFonts w:cstheme="minorHAnsi"/>
        </w:rPr>
        <w:t xml:space="preserve"> assailed him</w:t>
      </w:r>
      <w:r w:rsidR="00C97350" w:rsidRPr="001F52A8">
        <w:rPr>
          <w:rFonts w:cstheme="minorHAnsi"/>
        </w:rPr>
        <w:t>” (</w:t>
      </w:r>
      <w:r w:rsidR="007A782D">
        <w:rPr>
          <w:rFonts w:cstheme="minorHAnsi"/>
        </w:rPr>
        <w:t xml:space="preserve">1 Sam </w:t>
      </w:r>
      <w:r w:rsidR="00C97350" w:rsidRPr="001F52A8">
        <w:rPr>
          <w:rFonts w:cstheme="minorHAnsi"/>
        </w:rPr>
        <w:t>16:</w:t>
      </w:r>
      <w:r w:rsidR="00B6457F" w:rsidRPr="001F52A8">
        <w:rPr>
          <w:rFonts w:cstheme="minorHAnsi"/>
        </w:rPr>
        <w:t xml:space="preserve">14). </w:t>
      </w:r>
      <w:r w:rsidR="0095178D" w:rsidRPr="001F52A8">
        <w:rPr>
          <w:rFonts w:cstheme="minorHAnsi"/>
        </w:rPr>
        <w:t xml:space="preserve">The translation “evil spirit” is misleading: while the </w:t>
      </w:r>
      <w:r w:rsidR="0090706E">
        <w:rPr>
          <w:rFonts w:cstheme="minorHAnsi"/>
        </w:rPr>
        <w:t>adjective</w:t>
      </w:r>
      <w:r w:rsidR="0095178D" w:rsidRPr="001F52A8">
        <w:rPr>
          <w:rFonts w:cstheme="minorHAnsi"/>
        </w:rPr>
        <w:t xml:space="preserve"> (</w:t>
      </w:r>
      <w:r w:rsidR="0095178D" w:rsidRPr="001F52A8">
        <w:rPr>
          <w:rFonts w:cstheme="minorHAnsi"/>
          <w:i/>
          <w:iCs/>
        </w:rPr>
        <w:t>ra‘</w:t>
      </w:r>
      <w:r w:rsidR="0095178D" w:rsidRPr="001F52A8">
        <w:rPr>
          <w:rFonts w:cstheme="minorHAnsi"/>
        </w:rPr>
        <w:t>) can mean something morally or religiously bad (15:9), it can also denote something painful and tragic (10:19), which is the implication when God is doing the sending (e.g., Isa 45:7). Reference</w:t>
      </w:r>
      <w:r w:rsidR="00B5709D" w:rsidRPr="001F52A8">
        <w:rPr>
          <w:rFonts w:cstheme="minorHAnsi"/>
        </w:rPr>
        <w:t>s</w:t>
      </w:r>
      <w:r w:rsidR="0095178D" w:rsidRPr="001F52A8">
        <w:rPr>
          <w:rFonts w:cstheme="minorHAnsi"/>
        </w:rPr>
        <w:t xml:space="preserve"> to a bad spirit cluster uniquely in 1 Samuel (16:14, 15, 16, 23; 18:10; 19:9). </w:t>
      </w:r>
      <w:r w:rsidR="00B42593">
        <w:rPr>
          <w:rFonts w:cstheme="minorHAnsi"/>
        </w:rPr>
        <w:t>“E</w:t>
      </w:r>
      <w:r w:rsidR="0039644C" w:rsidRPr="001F52A8">
        <w:rPr>
          <w:rFonts w:cstheme="minorHAnsi"/>
        </w:rPr>
        <w:t xml:space="preserve">vil/bad spirit” </w:t>
      </w:r>
      <w:r w:rsidR="00B42593">
        <w:rPr>
          <w:rFonts w:cstheme="minorHAnsi"/>
        </w:rPr>
        <w:t>is hardly</w:t>
      </w:r>
      <w:r w:rsidR="0039644C" w:rsidRPr="001F52A8">
        <w:rPr>
          <w:rFonts w:cstheme="minorHAnsi"/>
        </w:rPr>
        <w:t xml:space="preserve"> a way of describing mental disturbance; </w:t>
      </w:r>
      <w:r w:rsidR="0039644C">
        <w:rPr>
          <w:rFonts w:cstheme="minorHAnsi"/>
        </w:rPr>
        <w:t>the Scriptures</w:t>
      </w:r>
      <w:r w:rsidR="0039644C" w:rsidRPr="001F52A8">
        <w:rPr>
          <w:rFonts w:cstheme="minorHAnsi"/>
        </w:rPr>
        <w:t xml:space="preserve"> have other </w:t>
      </w:r>
      <w:r w:rsidR="006E678C">
        <w:rPr>
          <w:rFonts w:cstheme="minorHAnsi"/>
        </w:rPr>
        <w:t>terms for</w:t>
      </w:r>
      <w:r w:rsidR="0039644C" w:rsidRPr="001F52A8">
        <w:rPr>
          <w:rFonts w:cstheme="minorHAnsi"/>
        </w:rPr>
        <w:t xml:space="preserve"> what Western thinking might call depression or mania.</w:t>
      </w:r>
      <w:r w:rsidR="0039644C">
        <w:rPr>
          <w:rFonts w:cstheme="minorHAnsi"/>
        </w:rPr>
        <w:t xml:space="preserve"> And t</w:t>
      </w:r>
      <w:r w:rsidR="0095178D" w:rsidRPr="001F52A8">
        <w:rPr>
          <w:rFonts w:cstheme="minorHAnsi"/>
        </w:rPr>
        <w:t>he “bad spirit” between Abimelech and the Shechemites (Judg 9:23) seems different</w:t>
      </w:r>
      <w:r w:rsidR="0039644C">
        <w:rPr>
          <w:rFonts w:cstheme="minorHAnsi"/>
        </w:rPr>
        <w:t xml:space="preserve"> from this bad spirit</w:t>
      </w:r>
      <w:r w:rsidR="0095178D" w:rsidRPr="001F52A8">
        <w:rPr>
          <w:rFonts w:cstheme="minorHAnsi"/>
        </w:rPr>
        <w:t xml:space="preserve">, as do the deceptive spirit in 1 Kings 22 and the jealous spirit in Numbers 5. </w:t>
      </w:r>
    </w:p>
    <w:p w14:paraId="339EA295" w14:textId="1B05BDDC" w:rsidR="00514A05" w:rsidRPr="001F52A8" w:rsidRDefault="0095178D" w:rsidP="00CC7F4D">
      <w:pPr>
        <w:rPr>
          <w:rFonts w:cstheme="minorHAnsi"/>
        </w:rPr>
      </w:pPr>
      <w:r w:rsidRPr="001F52A8">
        <w:rPr>
          <w:rFonts w:cstheme="minorHAnsi"/>
        </w:rPr>
        <w:t>Paradoxically, there may be more comparison with the wise spirit of Exod 28:3 and Deut 34:9, in that both relate to someone’s work for Yahweh. So whereas the regular spirit of Yahweh b</w:t>
      </w:r>
      <w:r w:rsidR="006A007D">
        <w:rPr>
          <w:rFonts w:cstheme="minorHAnsi"/>
        </w:rPr>
        <w:t>rought</w:t>
      </w:r>
      <w:r w:rsidRPr="001F52A8">
        <w:rPr>
          <w:rFonts w:cstheme="minorHAnsi"/>
        </w:rPr>
        <w:t xml:space="preserve"> a positive energy that enable</w:t>
      </w:r>
      <w:r w:rsidR="006A007D">
        <w:rPr>
          <w:rFonts w:cstheme="minorHAnsi"/>
        </w:rPr>
        <w:t>d Saul</w:t>
      </w:r>
      <w:r w:rsidRPr="001F52A8">
        <w:rPr>
          <w:rFonts w:cstheme="minorHAnsi"/>
        </w:rPr>
        <w:t xml:space="preserve"> to function as king, </w:t>
      </w:r>
      <w:r w:rsidR="006A007D">
        <w:rPr>
          <w:rFonts w:cstheme="minorHAnsi"/>
        </w:rPr>
        <w:t>hi</w:t>
      </w:r>
      <w:r w:rsidRPr="001F52A8">
        <w:rPr>
          <w:rFonts w:cstheme="minorHAnsi"/>
        </w:rPr>
        <w:t xml:space="preserve">s bad spirit from Yahweh </w:t>
      </w:r>
      <w:r w:rsidR="003D0FC5">
        <w:rPr>
          <w:rFonts w:cstheme="minorHAnsi"/>
        </w:rPr>
        <w:t>wa</w:t>
      </w:r>
      <w:r w:rsidRPr="001F52A8">
        <w:rPr>
          <w:rFonts w:cstheme="minorHAnsi"/>
        </w:rPr>
        <w:t xml:space="preserve">s a negative energy that </w:t>
      </w:r>
      <w:r w:rsidR="00AC3B48">
        <w:rPr>
          <w:rFonts w:cstheme="minorHAnsi"/>
        </w:rPr>
        <w:t>hinder</w:t>
      </w:r>
      <w:r w:rsidR="003D0FC5">
        <w:rPr>
          <w:rFonts w:cstheme="minorHAnsi"/>
        </w:rPr>
        <w:t>ed</w:t>
      </w:r>
      <w:r w:rsidR="00AC3B48">
        <w:rPr>
          <w:rFonts w:cstheme="minorHAnsi"/>
        </w:rPr>
        <w:t xml:space="preserve"> his</w:t>
      </w:r>
      <w:r w:rsidRPr="001F52A8">
        <w:rPr>
          <w:rFonts w:cstheme="minorHAnsi"/>
        </w:rPr>
        <w:t xml:space="preserve"> function</w:t>
      </w:r>
      <w:r w:rsidR="00AC3B48">
        <w:rPr>
          <w:rFonts w:cstheme="minorHAnsi"/>
        </w:rPr>
        <w:t>ing</w:t>
      </w:r>
      <w:r w:rsidRPr="001F52A8">
        <w:rPr>
          <w:rFonts w:cstheme="minorHAnsi"/>
        </w:rPr>
        <w:t xml:space="preserve">. </w:t>
      </w:r>
      <w:r w:rsidR="00F95786" w:rsidRPr="001F52A8">
        <w:rPr>
          <w:rFonts w:cstheme="minorHAnsi"/>
        </w:rPr>
        <w:t>T</w:t>
      </w:r>
      <w:r w:rsidR="00BA17E7" w:rsidRPr="001F52A8">
        <w:rPr>
          <w:rFonts w:cstheme="minorHAnsi"/>
        </w:rPr>
        <w:t>he</w:t>
      </w:r>
      <w:r w:rsidR="002E5067" w:rsidRPr="001F52A8">
        <w:rPr>
          <w:rFonts w:cstheme="minorHAnsi"/>
        </w:rPr>
        <w:t xml:space="preserve"> </w:t>
      </w:r>
      <w:r w:rsidR="00F95786" w:rsidRPr="001F52A8">
        <w:rPr>
          <w:rFonts w:cstheme="minorHAnsi"/>
        </w:rPr>
        <w:t xml:space="preserve">implications of </w:t>
      </w:r>
      <w:r w:rsidR="005C5EDB">
        <w:rPr>
          <w:rFonts w:cstheme="minorHAnsi"/>
        </w:rPr>
        <w:t>“</w:t>
      </w:r>
      <w:r w:rsidR="00B27FC7" w:rsidRPr="001F52A8">
        <w:rPr>
          <w:rFonts w:cstheme="minorHAnsi"/>
        </w:rPr>
        <w:t>assail</w:t>
      </w:r>
      <w:r w:rsidR="005C5EDB">
        <w:rPr>
          <w:rFonts w:cstheme="minorHAnsi"/>
        </w:rPr>
        <w:t>”</w:t>
      </w:r>
      <w:r w:rsidR="002E5067" w:rsidRPr="001F52A8">
        <w:rPr>
          <w:rFonts w:cstheme="minorHAnsi"/>
        </w:rPr>
        <w:t xml:space="preserve"> (</w:t>
      </w:r>
      <w:r w:rsidR="000376CC" w:rsidRPr="001F52A8">
        <w:rPr>
          <w:rFonts w:cstheme="minorHAnsi"/>
          <w:i/>
          <w:iCs/>
        </w:rPr>
        <w:t>bā‘at</w:t>
      </w:r>
      <w:r w:rsidR="000376CC" w:rsidRPr="001F52A8">
        <w:rPr>
          <w:rFonts w:cstheme="minorHAnsi"/>
        </w:rPr>
        <w:t xml:space="preserve">) </w:t>
      </w:r>
      <w:r w:rsidR="00F95786" w:rsidRPr="001F52A8">
        <w:rPr>
          <w:rFonts w:cstheme="minorHAnsi"/>
        </w:rPr>
        <w:t xml:space="preserve">overlap with those of </w:t>
      </w:r>
      <w:r w:rsidR="005C5EDB">
        <w:rPr>
          <w:rFonts w:cstheme="minorHAnsi"/>
        </w:rPr>
        <w:t>“</w:t>
      </w:r>
      <w:r w:rsidR="00F043C5" w:rsidRPr="001F52A8">
        <w:rPr>
          <w:rFonts w:cstheme="minorHAnsi"/>
        </w:rPr>
        <w:t>overwhelm</w:t>
      </w:r>
      <w:r w:rsidR="005C5EDB">
        <w:rPr>
          <w:rFonts w:cstheme="minorHAnsi"/>
        </w:rPr>
        <w:t>”</w:t>
      </w:r>
      <w:r w:rsidR="00F043C5" w:rsidRPr="001F52A8">
        <w:rPr>
          <w:rFonts w:cstheme="minorHAnsi"/>
        </w:rPr>
        <w:t xml:space="preserve"> </w:t>
      </w:r>
      <w:r w:rsidR="00F043C5" w:rsidRPr="001F52A8">
        <w:rPr>
          <w:rFonts w:cs="Calibri"/>
        </w:rPr>
        <w:t>(</w:t>
      </w:r>
      <w:r w:rsidR="00F043C5" w:rsidRPr="001F52A8">
        <w:rPr>
          <w:rFonts w:cstheme="minorHAnsi"/>
          <w:i/>
          <w:iCs/>
        </w:rPr>
        <w:t>ṣālaḥ</w:t>
      </w:r>
      <w:r w:rsidR="00F043C5" w:rsidRPr="001F52A8">
        <w:rPr>
          <w:rFonts w:cstheme="minorHAnsi"/>
        </w:rPr>
        <w:t>)</w:t>
      </w:r>
      <w:r w:rsidR="006374C0" w:rsidRPr="001F52A8">
        <w:rPr>
          <w:rFonts w:cstheme="minorHAnsi"/>
        </w:rPr>
        <w:t>. T</w:t>
      </w:r>
      <w:r w:rsidR="00D5171B" w:rsidRPr="001F52A8">
        <w:rPr>
          <w:rFonts w:cstheme="minorHAnsi"/>
        </w:rPr>
        <w:t xml:space="preserve">his verb, too, </w:t>
      </w:r>
      <w:r w:rsidR="00BA17E7" w:rsidRPr="001F52A8">
        <w:rPr>
          <w:rFonts w:cstheme="minorHAnsi"/>
        </w:rPr>
        <w:t xml:space="preserve">suggests something </w:t>
      </w:r>
      <w:r w:rsidR="006374C0" w:rsidRPr="001F52A8">
        <w:rPr>
          <w:rFonts w:cstheme="minorHAnsi"/>
        </w:rPr>
        <w:t>taking hold of</w:t>
      </w:r>
      <w:r w:rsidR="0033117D" w:rsidRPr="001F52A8">
        <w:rPr>
          <w:rFonts w:cstheme="minorHAnsi"/>
        </w:rPr>
        <w:t xml:space="preserve"> a person from outside</w:t>
      </w:r>
      <w:r w:rsidR="00B616F5" w:rsidRPr="001F52A8">
        <w:rPr>
          <w:rFonts w:cstheme="minorHAnsi"/>
        </w:rPr>
        <w:t xml:space="preserve">, </w:t>
      </w:r>
      <w:r w:rsidR="00507F91" w:rsidRPr="001F52A8">
        <w:rPr>
          <w:rFonts w:cstheme="minorHAnsi"/>
        </w:rPr>
        <w:t xml:space="preserve">more or less irresistibly, </w:t>
      </w:r>
      <w:r w:rsidR="00B616F5" w:rsidRPr="001F52A8">
        <w:rPr>
          <w:rFonts w:cstheme="minorHAnsi"/>
        </w:rPr>
        <w:t xml:space="preserve">but </w:t>
      </w:r>
      <w:r w:rsidR="00732A21" w:rsidRPr="001F52A8">
        <w:rPr>
          <w:rFonts w:cstheme="minorHAnsi"/>
        </w:rPr>
        <w:t>taking hold</w:t>
      </w:r>
      <w:r w:rsidR="00507F91" w:rsidRPr="001F52A8">
        <w:rPr>
          <w:rFonts w:cstheme="minorHAnsi"/>
        </w:rPr>
        <w:t xml:space="preserve"> in an unequivocally</w:t>
      </w:r>
      <w:r w:rsidR="00B616F5" w:rsidRPr="001F52A8">
        <w:rPr>
          <w:rFonts w:cstheme="minorHAnsi"/>
        </w:rPr>
        <w:t xml:space="preserve"> </w:t>
      </w:r>
      <w:r w:rsidR="00507F91" w:rsidRPr="001F52A8">
        <w:rPr>
          <w:rFonts w:cstheme="minorHAnsi"/>
        </w:rPr>
        <w:t xml:space="preserve">disturbing way. </w:t>
      </w:r>
      <w:r w:rsidR="00AD003D" w:rsidRPr="001F52A8">
        <w:rPr>
          <w:rFonts w:cstheme="minorHAnsi"/>
        </w:rPr>
        <w:t xml:space="preserve">The departure </w:t>
      </w:r>
      <w:r w:rsidR="00D42532" w:rsidRPr="001F52A8">
        <w:rPr>
          <w:rFonts w:cstheme="minorHAnsi"/>
        </w:rPr>
        <w:t xml:space="preserve">of God’s spirit </w:t>
      </w:r>
      <w:r w:rsidR="00AD003D" w:rsidRPr="001F52A8">
        <w:rPr>
          <w:rFonts w:cstheme="minorHAnsi"/>
        </w:rPr>
        <w:t xml:space="preserve">and the arrival of </w:t>
      </w:r>
      <w:r w:rsidR="00D42532" w:rsidRPr="001F52A8">
        <w:rPr>
          <w:rFonts w:cstheme="minorHAnsi"/>
        </w:rPr>
        <w:t>another</w:t>
      </w:r>
      <w:r w:rsidR="00AD003D" w:rsidRPr="001F52A8">
        <w:rPr>
          <w:rFonts w:cstheme="minorHAnsi"/>
        </w:rPr>
        <w:t xml:space="preserve"> spirit </w:t>
      </w:r>
      <w:r w:rsidR="00D42532" w:rsidRPr="001F52A8">
        <w:rPr>
          <w:rFonts w:cstheme="minorHAnsi"/>
        </w:rPr>
        <w:t xml:space="preserve">from God </w:t>
      </w:r>
      <w:r w:rsidR="00AD003D" w:rsidRPr="001F52A8">
        <w:rPr>
          <w:rFonts w:cstheme="minorHAnsi"/>
        </w:rPr>
        <w:t>foreshadow the struggle between David and Saul that will feature prominently in the remainder of 1 Samuel</w:t>
      </w:r>
      <w:r w:rsidR="00351FF5" w:rsidRPr="001F52A8">
        <w:rPr>
          <w:rFonts w:cstheme="minorHAnsi"/>
        </w:rPr>
        <w:t>,</w:t>
      </w:r>
      <w:r w:rsidR="00AD003D" w:rsidRPr="001F52A8">
        <w:rPr>
          <w:rStyle w:val="FootnoteReference"/>
          <w:rFonts w:cstheme="minorHAnsi"/>
        </w:rPr>
        <w:footnoteReference w:id="186"/>
      </w:r>
      <w:r w:rsidR="00457DA8" w:rsidRPr="001F52A8">
        <w:rPr>
          <w:rFonts w:cstheme="minorHAnsi"/>
        </w:rPr>
        <w:t xml:space="preserve"> </w:t>
      </w:r>
      <w:r w:rsidR="00351FF5" w:rsidRPr="001F52A8">
        <w:rPr>
          <w:rFonts w:cstheme="minorHAnsi"/>
        </w:rPr>
        <w:t xml:space="preserve">when </w:t>
      </w:r>
      <w:r w:rsidR="000860A3" w:rsidRPr="001F52A8">
        <w:rPr>
          <w:rFonts w:cstheme="minorHAnsi"/>
        </w:rPr>
        <w:t>“</w:t>
      </w:r>
      <w:r w:rsidR="00351FF5" w:rsidRPr="001F52A8">
        <w:rPr>
          <w:rFonts w:cstheme="minorHAnsi"/>
        </w:rPr>
        <w:t>t</w:t>
      </w:r>
      <w:r w:rsidR="000860A3" w:rsidRPr="001F52A8">
        <w:rPr>
          <w:rFonts w:cstheme="minorHAnsi"/>
        </w:rPr>
        <w:t>he bounty of David’s blessing was matched by the depth of Saul’s misery.”</w:t>
      </w:r>
      <w:r w:rsidR="000860A3" w:rsidRPr="001F52A8">
        <w:rPr>
          <w:rStyle w:val="FootnoteReference"/>
          <w:rFonts w:ascii="Calibri" w:hAnsi="Calibri" w:cs="Calibri"/>
        </w:rPr>
        <w:footnoteReference w:id="187"/>
      </w:r>
      <w:r w:rsidR="00457DA8" w:rsidRPr="001F52A8">
        <w:rPr>
          <w:rFonts w:cstheme="minorHAnsi"/>
        </w:rPr>
        <w:t xml:space="preserve"> </w:t>
      </w:r>
    </w:p>
    <w:p w14:paraId="3E20DFD8" w14:textId="0F6A872E" w:rsidR="00820040" w:rsidRPr="001F52A8" w:rsidRDefault="00A85DFF" w:rsidP="00F01412">
      <w:pPr>
        <w:rPr>
          <w:rFonts w:cstheme="minorHAnsi"/>
        </w:rPr>
      </w:pPr>
      <w:r>
        <w:rPr>
          <w:rFonts w:cstheme="minorHAnsi"/>
        </w:rPr>
        <w:t>The bad spirit</w:t>
      </w:r>
      <w:r w:rsidR="00D64DDC" w:rsidRPr="001F52A8">
        <w:rPr>
          <w:rFonts w:cstheme="minorHAnsi"/>
        </w:rPr>
        <w:t xml:space="preserve"> </w:t>
      </w:r>
      <w:r w:rsidR="00E03DA6" w:rsidRPr="001F52A8">
        <w:rPr>
          <w:rFonts w:cstheme="minorHAnsi"/>
        </w:rPr>
        <w:t xml:space="preserve">arouses Saul’s </w:t>
      </w:r>
      <w:r w:rsidR="00E229C6" w:rsidRPr="001F52A8">
        <w:rPr>
          <w:rFonts w:cstheme="minorHAnsi"/>
        </w:rPr>
        <w:t xml:space="preserve">anger, </w:t>
      </w:r>
      <w:r w:rsidR="00E03DA6" w:rsidRPr="001F52A8">
        <w:rPr>
          <w:rFonts w:cstheme="minorHAnsi"/>
        </w:rPr>
        <w:t>jealousy</w:t>
      </w:r>
      <w:r w:rsidR="00204754">
        <w:rPr>
          <w:rFonts w:cstheme="minorHAnsi"/>
        </w:rPr>
        <w:t>,</w:t>
      </w:r>
      <w:r w:rsidR="00E03DA6" w:rsidRPr="001F52A8">
        <w:rPr>
          <w:rFonts w:cstheme="minorHAnsi"/>
        </w:rPr>
        <w:t xml:space="preserve"> </w:t>
      </w:r>
      <w:r w:rsidR="00C83263" w:rsidRPr="001F52A8">
        <w:rPr>
          <w:rFonts w:cstheme="minorHAnsi"/>
        </w:rPr>
        <w:t>and fear and makes him less and less capable of functioning</w:t>
      </w:r>
      <w:r w:rsidR="005010DC">
        <w:rPr>
          <w:rFonts w:cstheme="minorHAnsi"/>
        </w:rPr>
        <w:t xml:space="preserve">, and “the more jealous </w:t>
      </w:r>
      <w:r w:rsidR="00D56C46">
        <w:rPr>
          <w:rFonts w:cstheme="minorHAnsi"/>
        </w:rPr>
        <w:t xml:space="preserve">and devious </w:t>
      </w:r>
      <w:r w:rsidR="005010DC">
        <w:rPr>
          <w:rFonts w:cstheme="minorHAnsi"/>
        </w:rPr>
        <w:t>he became,</w:t>
      </w:r>
      <w:r w:rsidR="00D56C46">
        <w:rPr>
          <w:rFonts w:cstheme="minorHAnsi"/>
        </w:rPr>
        <w:t xml:space="preserve"> the more successful David was</w:t>
      </w:r>
      <w:r w:rsidR="00C83263" w:rsidRPr="001F52A8">
        <w:rPr>
          <w:rFonts w:cstheme="minorHAnsi"/>
        </w:rPr>
        <w:t>.</w:t>
      </w:r>
      <w:r w:rsidR="00D56C46">
        <w:rPr>
          <w:rFonts w:cstheme="minorHAnsi"/>
        </w:rPr>
        <w:t>”</w:t>
      </w:r>
      <w:r w:rsidR="00BA1A09">
        <w:rPr>
          <w:rStyle w:val="FootnoteReference"/>
          <w:rFonts w:cstheme="minorHAnsi"/>
        </w:rPr>
        <w:footnoteReference w:id="188"/>
      </w:r>
      <w:r w:rsidR="005E1B0A" w:rsidRPr="001F52A8">
        <w:rPr>
          <w:rFonts w:cstheme="minorHAnsi"/>
        </w:rPr>
        <w:t xml:space="preserve"> </w:t>
      </w:r>
      <w:r w:rsidR="003E7C25" w:rsidRPr="001F52A8">
        <w:rPr>
          <w:rFonts w:cstheme="minorHAnsi"/>
        </w:rPr>
        <w:t xml:space="preserve">When he behaves like a maniac, it is because something has come upon him from outside. </w:t>
      </w:r>
      <w:r w:rsidR="002A42A6">
        <w:rPr>
          <w:rFonts w:cstheme="minorHAnsi"/>
        </w:rPr>
        <w:t>But h</w:t>
      </w:r>
      <w:r w:rsidR="006729FB">
        <w:rPr>
          <w:rFonts w:cstheme="minorHAnsi"/>
        </w:rPr>
        <w:t>is</w:t>
      </w:r>
      <w:r w:rsidR="0013430B" w:rsidRPr="001F52A8">
        <w:rPr>
          <w:rFonts w:cstheme="minorHAnsi"/>
        </w:rPr>
        <w:t xml:space="preserve"> fear, resent</w:t>
      </w:r>
      <w:r w:rsidR="006729FB">
        <w:rPr>
          <w:rFonts w:cstheme="minorHAnsi"/>
        </w:rPr>
        <w:t>ment</w:t>
      </w:r>
      <w:r w:rsidR="0013430B" w:rsidRPr="001F52A8">
        <w:rPr>
          <w:rFonts w:cstheme="minorHAnsi"/>
        </w:rPr>
        <w:t>, and jealous</w:t>
      </w:r>
      <w:r w:rsidR="006729FB">
        <w:rPr>
          <w:rFonts w:cstheme="minorHAnsi"/>
        </w:rPr>
        <w:t>y</w:t>
      </w:r>
      <w:r w:rsidR="0013430B" w:rsidRPr="001F52A8">
        <w:rPr>
          <w:rFonts w:cstheme="minorHAnsi"/>
        </w:rPr>
        <w:t xml:space="preserve"> are rational reactions to </w:t>
      </w:r>
      <w:r w:rsidR="00860D8B">
        <w:rPr>
          <w:rFonts w:cstheme="minorHAnsi"/>
        </w:rPr>
        <w:t>events</w:t>
      </w:r>
      <w:r w:rsidR="0013430B" w:rsidRPr="001F52A8">
        <w:rPr>
          <w:rFonts w:cstheme="minorHAnsi"/>
        </w:rPr>
        <w:t xml:space="preserve"> in his family, court, and country, especially for </w:t>
      </w:r>
      <w:r w:rsidR="00860D8B">
        <w:rPr>
          <w:rFonts w:cstheme="minorHAnsi"/>
        </w:rPr>
        <w:t>someone</w:t>
      </w:r>
      <w:r w:rsidR="0013430B" w:rsidRPr="001F52A8">
        <w:rPr>
          <w:rFonts w:cstheme="minorHAnsi"/>
        </w:rPr>
        <w:t xml:space="preserve"> lack</w:t>
      </w:r>
      <w:r w:rsidR="00860D8B">
        <w:rPr>
          <w:rFonts w:cstheme="minorHAnsi"/>
        </w:rPr>
        <w:t>ing</w:t>
      </w:r>
      <w:r w:rsidR="0013430B" w:rsidRPr="001F52A8">
        <w:rPr>
          <w:rFonts w:cstheme="minorHAnsi"/>
        </w:rPr>
        <w:t xml:space="preserve"> self-confidence. </w:t>
      </w:r>
      <w:r w:rsidR="00694AB4" w:rsidRPr="001F52A8">
        <w:rPr>
          <w:rFonts w:cstheme="minorHAnsi"/>
        </w:rPr>
        <w:t xml:space="preserve">It wouldn’t be surprising </w:t>
      </w:r>
      <w:r w:rsidR="00694AB4">
        <w:rPr>
          <w:rFonts w:cstheme="minorHAnsi"/>
        </w:rPr>
        <w:t xml:space="preserve">or unreasonable </w:t>
      </w:r>
      <w:r w:rsidR="00694AB4" w:rsidRPr="001F52A8">
        <w:rPr>
          <w:rFonts w:cstheme="minorHAnsi"/>
        </w:rPr>
        <w:t xml:space="preserve">if Saul had some negative inner feelings to be brought to the surface after the </w:t>
      </w:r>
      <w:r w:rsidR="005931F5">
        <w:rPr>
          <w:rFonts w:cstheme="minorHAnsi"/>
        </w:rPr>
        <w:t>traumatic events recounted</w:t>
      </w:r>
      <w:r w:rsidR="00694AB4" w:rsidRPr="001F52A8">
        <w:rPr>
          <w:rFonts w:cstheme="minorHAnsi"/>
        </w:rPr>
        <w:t xml:space="preserve"> in chapter 13 – 15. </w:t>
      </w:r>
      <w:r w:rsidR="00040EC4">
        <w:rPr>
          <w:rFonts w:cstheme="minorHAnsi"/>
        </w:rPr>
        <w:t xml:space="preserve">But </w:t>
      </w:r>
      <w:r w:rsidR="00040EC4" w:rsidRPr="001F52A8">
        <w:rPr>
          <w:rFonts w:cstheme="minorHAnsi"/>
        </w:rPr>
        <w:t>the narrative emphasizes the negative energy com</w:t>
      </w:r>
      <w:r w:rsidR="00040EC4">
        <w:rPr>
          <w:rFonts w:cstheme="minorHAnsi"/>
        </w:rPr>
        <w:t>ing</w:t>
      </w:r>
      <w:r w:rsidR="00040EC4" w:rsidRPr="001F52A8">
        <w:rPr>
          <w:rFonts w:cstheme="minorHAnsi"/>
        </w:rPr>
        <w:t xml:space="preserve"> from outside</w:t>
      </w:r>
      <w:r w:rsidR="00040EC4">
        <w:rPr>
          <w:rFonts w:cstheme="minorHAnsi"/>
        </w:rPr>
        <w:t xml:space="preserve">. </w:t>
      </w:r>
      <w:r w:rsidR="005B6FB1">
        <w:rPr>
          <w:rFonts w:cstheme="minorHAnsi"/>
        </w:rPr>
        <w:t>T</w:t>
      </w:r>
      <w:r w:rsidR="0013430B" w:rsidRPr="001F52A8">
        <w:rPr>
          <w:rFonts w:cstheme="minorHAnsi"/>
        </w:rPr>
        <w:t>he coming of a bad spirit from outside can follow on anger and scheming</w:t>
      </w:r>
      <w:r w:rsidR="00B84502">
        <w:rPr>
          <w:rFonts w:cstheme="minorHAnsi"/>
        </w:rPr>
        <w:t xml:space="preserve">, </w:t>
      </w:r>
      <w:r w:rsidR="0013430B" w:rsidRPr="001F52A8">
        <w:rPr>
          <w:rFonts w:cstheme="minorHAnsi"/>
        </w:rPr>
        <w:t>not lead to it (18:8-10)</w:t>
      </w:r>
      <w:r w:rsidR="005B6FB1">
        <w:rPr>
          <w:rFonts w:cstheme="minorHAnsi"/>
        </w:rPr>
        <w:t>, y</w:t>
      </w:r>
      <w:r w:rsidR="000F1316">
        <w:rPr>
          <w:rFonts w:cstheme="minorHAnsi"/>
        </w:rPr>
        <w:t>e</w:t>
      </w:r>
      <w:r w:rsidR="0013430B" w:rsidRPr="001F52A8">
        <w:rPr>
          <w:rFonts w:cstheme="minorHAnsi"/>
        </w:rPr>
        <w:t xml:space="preserve">t we would be unwise to infer that the anger </w:t>
      </w:r>
      <w:r w:rsidR="003B76B3">
        <w:rPr>
          <w:rFonts w:cstheme="minorHAnsi"/>
        </w:rPr>
        <w:t xml:space="preserve">simply </w:t>
      </w:r>
      <w:r w:rsidR="0013430B" w:rsidRPr="001F52A8">
        <w:rPr>
          <w:rFonts w:cstheme="minorHAnsi"/>
        </w:rPr>
        <w:t xml:space="preserve">opens the way to the coming of the bad spirit, any more than to suggests that good qualities open up the way to the coming of </w:t>
      </w:r>
      <w:r w:rsidR="005B6FB1">
        <w:rPr>
          <w:rFonts w:cstheme="minorHAnsi"/>
        </w:rPr>
        <w:t>God’s</w:t>
      </w:r>
      <w:r w:rsidR="0013430B" w:rsidRPr="001F52A8">
        <w:rPr>
          <w:rFonts w:cstheme="minorHAnsi"/>
        </w:rPr>
        <w:t xml:space="preserve"> spirit. </w:t>
      </w:r>
      <w:r w:rsidR="00E65D9B" w:rsidRPr="001F52A8">
        <w:rPr>
          <w:rFonts w:ascii="Calibri" w:hAnsi="Calibri" w:cs="Calibri"/>
        </w:rPr>
        <w:t>Does sending the bad spirit mean God compels Saul to act badly?</w:t>
      </w:r>
      <w:r w:rsidR="00E65D9B" w:rsidRPr="001F52A8">
        <w:rPr>
          <w:rFonts w:cstheme="minorHAnsi"/>
        </w:rPr>
        <w:t xml:space="preserve"> </w:t>
      </w:r>
      <w:r w:rsidR="00EC7E3B">
        <w:rPr>
          <w:rFonts w:cstheme="minorHAnsi"/>
        </w:rPr>
        <w:t>Perhaps</w:t>
      </w:r>
      <w:r w:rsidR="00E65D9B" w:rsidRPr="001F52A8">
        <w:rPr>
          <w:rFonts w:cstheme="minorHAnsi"/>
        </w:rPr>
        <w:t xml:space="preserve"> the bad spirit aroused potentials that were already present inside the person. </w:t>
      </w:r>
      <w:r w:rsidR="002C613C">
        <w:rPr>
          <w:rFonts w:ascii="Calibri" w:hAnsi="Calibri" w:cs="Calibri"/>
        </w:rPr>
        <w:t>There is a “delicate balance” between fate and fault in the Saul story.</w:t>
      </w:r>
      <w:r w:rsidR="002C613C">
        <w:rPr>
          <w:rStyle w:val="FootnoteReference"/>
          <w:rFonts w:ascii="Calibri" w:hAnsi="Calibri" w:cs="Calibri"/>
        </w:rPr>
        <w:footnoteReference w:id="189"/>
      </w:r>
      <w:r w:rsidR="00F1484D">
        <w:rPr>
          <w:rFonts w:ascii="Calibri" w:hAnsi="Calibri" w:cs="Calibri"/>
        </w:rPr>
        <w:t xml:space="preserve"> </w:t>
      </w:r>
      <w:r w:rsidR="0013430B" w:rsidRPr="001F52A8">
        <w:rPr>
          <w:rFonts w:cstheme="minorHAnsi"/>
        </w:rPr>
        <w:t>“</w:t>
      </w:r>
      <w:r w:rsidR="0013430B" w:rsidRPr="001F52A8">
        <w:rPr>
          <w:rFonts w:ascii="Calibri" w:hAnsi="Calibri" w:cs="Calibri"/>
        </w:rPr>
        <w:t xml:space="preserve">Saul is continually and relentlessly active in his pursuit and retention of royal power. He is not a passive recipient of fate but is </w:t>
      </w:r>
      <w:r w:rsidR="0013430B" w:rsidRPr="001F52A8">
        <w:rPr>
          <w:rFonts w:ascii="Calibri" w:hAnsi="Calibri" w:cs="Calibri"/>
        </w:rPr>
        <w:lastRenderedPageBreak/>
        <w:t>the agent of his own undoing. If we follow the account of the story itself, it will not do to portray Saul simply as a hapless victim of fate. That element of victimization operates in the narrative, but alongside it is Saul's own self-destructive effort.”</w:t>
      </w:r>
      <w:r w:rsidR="0013430B" w:rsidRPr="001F52A8">
        <w:rPr>
          <w:rStyle w:val="FootnoteReference"/>
          <w:rFonts w:ascii="Calibri" w:hAnsi="Calibri" w:cs="Calibri"/>
        </w:rPr>
        <w:footnoteReference w:id="190"/>
      </w:r>
      <w:r w:rsidR="002F2EB0">
        <w:rPr>
          <w:rFonts w:ascii="Calibri" w:hAnsi="Calibri" w:cs="Calibri"/>
        </w:rPr>
        <w:t xml:space="preserve"> </w:t>
      </w:r>
    </w:p>
    <w:p w14:paraId="34D04000" w14:textId="24AF543D" w:rsidR="009760C3" w:rsidRPr="001F52A8" w:rsidRDefault="00802097" w:rsidP="00CD05D9">
      <w:pPr>
        <w:rPr>
          <w:rFonts w:cstheme="minorHAnsi"/>
        </w:rPr>
      </w:pPr>
      <w:r>
        <w:rPr>
          <w:rFonts w:cstheme="minorHAnsi"/>
        </w:rPr>
        <w:t>Saul</w:t>
      </w:r>
      <w:r w:rsidR="00B36402">
        <w:rPr>
          <w:rFonts w:cstheme="minorHAnsi"/>
        </w:rPr>
        <w:t xml:space="preserve"> </w:t>
      </w:r>
      <w:r w:rsidR="00F3119D" w:rsidRPr="001F52A8">
        <w:rPr>
          <w:rFonts w:cstheme="minorHAnsi"/>
        </w:rPr>
        <w:t>prophesie</w:t>
      </w:r>
      <w:r w:rsidR="0079219B" w:rsidRPr="001F52A8">
        <w:rPr>
          <w:rFonts w:cstheme="minorHAnsi"/>
        </w:rPr>
        <w:t>s</w:t>
      </w:r>
      <w:r w:rsidR="00F3119D" w:rsidRPr="001F52A8">
        <w:rPr>
          <w:rFonts w:cstheme="minorHAnsi"/>
        </w:rPr>
        <w:t xml:space="preserve"> away</w:t>
      </w:r>
      <w:r w:rsidR="0079219B" w:rsidRPr="001F52A8">
        <w:rPr>
          <w:rFonts w:cstheme="minorHAnsi"/>
        </w:rPr>
        <w:t xml:space="preserve"> again</w:t>
      </w:r>
      <w:r w:rsidR="00F3119D" w:rsidRPr="001F52A8">
        <w:rPr>
          <w:rFonts w:cstheme="minorHAnsi"/>
        </w:rPr>
        <w:t xml:space="preserve"> </w:t>
      </w:r>
      <w:r w:rsidR="0079219B" w:rsidRPr="001F52A8">
        <w:rPr>
          <w:rFonts w:cstheme="minorHAnsi"/>
        </w:rPr>
        <w:t>(</w:t>
      </w:r>
      <w:r w:rsidR="00B47CDE" w:rsidRPr="001F52A8">
        <w:rPr>
          <w:rFonts w:cstheme="minorHAnsi"/>
        </w:rPr>
        <w:t>19:</w:t>
      </w:r>
      <w:r w:rsidR="00B92FAC" w:rsidRPr="001F52A8">
        <w:rPr>
          <w:rFonts w:cstheme="minorHAnsi"/>
        </w:rPr>
        <w:t>20-24</w:t>
      </w:r>
      <w:r w:rsidR="0079219B" w:rsidRPr="001F52A8">
        <w:rPr>
          <w:rFonts w:cstheme="minorHAnsi"/>
        </w:rPr>
        <w:t>)</w:t>
      </w:r>
      <w:r w:rsidR="005B3130" w:rsidRPr="001F52A8">
        <w:rPr>
          <w:rFonts w:cstheme="minorHAnsi"/>
        </w:rPr>
        <w:t>.</w:t>
      </w:r>
      <w:r w:rsidR="00AD3155" w:rsidRPr="001F52A8">
        <w:rPr>
          <w:rFonts w:cstheme="minorHAnsi"/>
        </w:rPr>
        <w:t xml:space="preserve"> </w:t>
      </w:r>
      <w:r w:rsidR="005B3130" w:rsidRPr="001F52A8">
        <w:rPr>
          <w:rFonts w:cstheme="minorHAnsi"/>
        </w:rPr>
        <w:t xml:space="preserve">Translations such as “he fell into a prophetic frenzy” </w:t>
      </w:r>
      <w:r w:rsidR="00E9170A">
        <w:rPr>
          <w:rFonts w:cstheme="minorHAnsi"/>
        </w:rPr>
        <w:t xml:space="preserve">again </w:t>
      </w:r>
      <w:r w:rsidR="00BB4606">
        <w:rPr>
          <w:rFonts w:cstheme="minorHAnsi"/>
        </w:rPr>
        <w:t>obscure</w:t>
      </w:r>
      <w:r w:rsidR="005B3130" w:rsidRPr="001F52A8">
        <w:rPr>
          <w:rFonts w:cstheme="minorHAnsi"/>
        </w:rPr>
        <w:t xml:space="preserve"> the significance of the statement as an</w:t>
      </w:r>
      <w:r w:rsidR="002B4190">
        <w:rPr>
          <w:rFonts w:cstheme="minorHAnsi"/>
        </w:rPr>
        <w:t xml:space="preserve"> </w:t>
      </w:r>
      <w:r w:rsidR="005B3130" w:rsidRPr="001F52A8">
        <w:rPr>
          <w:rFonts w:cstheme="minorHAnsi"/>
        </w:rPr>
        <w:t xml:space="preserve">indication of </w:t>
      </w:r>
      <w:r w:rsidR="006E6A08">
        <w:rPr>
          <w:rFonts w:cstheme="minorHAnsi"/>
        </w:rPr>
        <w:t>God</w:t>
      </w:r>
      <w:r w:rsidR="001D0B73">
        <w:rPr>
          <w:rFonts w:cstheme="minorHAnsi"/>
        </w:rPr>
        <w:t>’s</w:t>
      </w:r>
      <w:r w:rsidR="005B3130" w:rsidRPr="001F52A8">
        <w:rPr>
          <w:rFonts w:cstheme="minorHAnsi"/>
        </w:rPr>
        <w:t xml:space="preserve"> spirit bringing about something theologically, religiously, and ethically important.</w:t>
      </w:r>
      <w:r w:rsidR="005B3130" w:rsidRPr="001F52A8">
        <w:rPr>
          <w:rStyle w:val="FootnoteReference"/>
          <w:rFonts w:cstheme="minorHAnsi"/>
        </w:rPr>
        <w:footnoteReference w:id="191"/>
      </w:r>
      <w:r w:rsidR="00AD3155" w:rsidRPr="001F52A8">
        <w:rPr>
          <w:rFonts w:cstheme="minorHAnsi"/>
        </w:rPr>
        <w:t xml:space="preserve"> “</w:t>
      </w:r>
      <w:r w:rsidR="005B3130" w:rsidRPr="001F52A8">
        <w:rPr>
          <w:rFonts w:cstheme="minorHAnsi"/>
        </w:rPr>
        <w:t>T</w:t>
      </w:r>
      <w:r w:rsidR="00B717C3" w:rsidRPr="001F52A8">
        <w:rPr>
          <w:rFonts w:cstheme="minorHAnsi"/>
        </w:rPr>
        <w:t>he same</w:t>
      </w:r>
      <w:r w:rsidR="00AD3155" w:rsidRPr="001F52A8">
        <w:rPr>
          <w:rFonts w:cstheme="minorHAnsi"/>
        </w:rPr>
        <w:t xml:space="preserve"> </w:t>
      </w:r>
      <w:r w:rsidR="00B717C3" w:rsidRPr="001F52A8">
        <w:rPr>
          <w:rFonts w:cstheme="minorHAnsi"/>
        </w:rPr>
        <w:t>faculty for the numinous and the same sensitivity for suddenly being lifted into</w:t>
      </w:r>
      <w:r w:rsidR="00AD3155" w:rsidRPr="001F52A8">
        <w:rPr>
          <w:rFonts w:cstheme="minorHAnsi"/>
        </w:rPr>
        <w:t xml:space="preserve"> </w:t>
      </w:r>
      <w:r w:rsidR="00B717C3" w:rsidRPr="001F52A8">
        <w:rPr>
          <w:rFonts w:cstheme="minorHAnsi"/>
        </w:rPr>
        <w:t>a higher state of consciousness which occurred there under the</w:t>
      </w:r>
      <w:r w:rsidR="00AD3155" w:rsidRPr="001F52A8">
        <w:rPr>
          <w:rFonts w:cstheme="minorHAnsi"/>
        </w:rPr>
        <w:t xml:space="preserve"> </w:t>
      </w:r>
      <w:r w:rsidR="00B717C3" w:rsidRPr="001F52A8">
        <w:rPr>
          <w:rFonts w:cstheme="minorHAnsi"/>
        </w:rPr>
        <w:t>positive sign of election, appear here under the negative sign of being rejected."</w:t>
      </w:r>
      <w:r w:rsidR="00D03B9C" w:rsidRPr="001F52A8">
        <w:rPr>
          <w:rStyle w:val="FootnoteReference"/>
          <w:rFonts w:cstheme="minorHAnsi"/>
        </w:rPr>
        <w:footnoteReference w:id="192"/>
      </w:r>
      <w:r w:rsidR="004D58FB" w:rsidRPr="001F52A8">
        <w:rPr>
          <w:rFonts w:cstheme="minorHAnsi"/>
        </w:rPr>
        <w:t xml:space="preserve"> </w:t>
      </w:r>
      <w:r w:rsidR="00B16690" w:rsidRPr="001F52A8">
        <w:rPr>
          <w:rFonts w:cstheme="minorHAnsi"/>
        </w:rPr>
        <w:t>I</w:t>
      </w:r>
      <w:r w:rsidR="00DD1361" w:rsidRPr="001F52A8">
        <w:rPr>
          <w:rFonts w:cstheme="minorHAnsi"/>
        </w:rPr>
        <w:t xml:space="preserve">t’s not the bad spirit </w:t>
      </w:r>
      <w:r w:rsidR="00A124CB" w:rsidRPr="001F52A8">
        <w:rPr>
          <w:rFonts w:cstheme="minorHAnsi"/>
        </w:rPr>
        <w:t>that has this effect</w:t>
      </w:r>
      <w:r w:rsidR="00670BE7" w:rsidRPr="001F52A8">
        <w:rPr>
          <w:rFonts w:cstheme="minorHAnsi"/>
        </w:rPr>
        <w:t>, as it is when he gets his spear out (18:10)</w:t>
      </w:r>
      <w:r w:rsidR="00A124CB" w:rsidRPr="001F52A8">
        <w:rPr>
          <w:rFonts w:cstheme="minorHAnsi"/>
        </w:rPr>
        <w:t xml:space="preserve">. </w:t>
      </w:r>
      <w:r w:rsidR="00416142" w:rsidRPr="001F52A8">
        <w:rPr>
          <w:rFonts w:cstheme="minorHAnsi"/>
        </w:rPr>
        <w:t>I</w:t>
      </w:r>
      <w:r w:rsidR="00E37BE7" w:rsidRPr="001F52A8">
        <w:rPr>
          <w:rFonts w:cstheme="minorHAnsi"/>
        </w:rPr>
        <w:t xml:space="preserve">t’s </w:t>
      </w:r>
      <w:r w:rsidR="006E6A08">
        <w:rPr>
          <w:rFonts w:cstheme="minorHAnsi"/>
        </w:rPr>
        <w:t>God’s</w:t>
      </w:r>
      <w:r w:rsidR="00E37BE7" w:rsidRPr="001F52A8">
        <w:rPr>
          <w:rFonts w:cstheme="minorHAnsi"/>
        </w:rPr>
        <w:t xml:space="preserve"> spirit and it has the opposite effect. </w:t>
      </w:r>
      <w:r w:rsidR="006E6A08">
        <w:rPr>
          <w:rFonts w:cstheme="minorHAnsi"/>
        </w:rPr>
        <w:t>God’s</w:t>
      </w:r>
      <w:r w:rsidR="00A124CB" w:rsidRPr="001F52A8">
        <w:rPr>
          <w:rFonts w:cstheme="minorHAnsi"/>
        </w:rPr>
        <w:t xml:space="preserve"> spirit is still capable of turning Saul </w:t>
      </w:r>
      <w:r w:rsidR="0087474F" w:rsidRPr="001F52A8">
        <w:rPr>
          <w:rFonts w:cstheme="minorHAnsi"/>
        </w:rPr>
        <w:t xml:space="preserve">(and his messengers) </w:t>
      </w:r>
      <w:r w:rsidR="00A124CB" w:rsidRPr="001F52A8">
        <w:rPr>
          <w:rFonts w:cstheme="minorHAnsi"/>
        </w:rPr>
        <w:t>into another person</w:t>
      </w:r>
      <w:r w:rsidR="0087474F" w:rsidRPr="001F52A8">
        <w:rPr>
          <w:rFonts w:cstheme="minorHAnsi"/>
        </w:rPr>
        <w:t xml:space="preserve">, to </w:t>
      </w:r>
      <w:r w:rsidR="00CC5EDF" w:rsidRPr="001F52A8">
        <w:rPr>
          <w:rFonts w:cstheme="minorHAnsi"/>
        </w:rPr>
        <w:t xml:space="preserve">protect David and even to protect Saul from </w:t>
      </w:r>
      <w:r w:rsidR="00E52C6C" w:rsidRPr="001F52A8">
        <w:rPr>
          <w:rFonts w:cstheme="minorHAnsi"/>
        </w:rPr>
        <w:t>wrongdoing</w:t>
      </w:r>
      <w:r w:rsidR="00522734" w:rsidRPr="001F52A8">
        <w:rPr>
          <w:rFonts w:cstheme="minorHAnsi"/>
        </w:rPr>
        <w:t xml:space="preserve"> by turning him into someone who declares Yahweh’s message and/or his praise</w:t>
      </w:r>
      <w:r w:rsidR="00E52C6C" w:rsidRPr="001F52A8">
        <w:rPr>
          <w:rFonts w:cstheme="minorHAnsi"/>
        </w:rPr>
        <w:t>.</w:t>
      </w:r>
      <w:r w:rsidR="00AB74E6" w:rsidRPr="001F52A8">
        <w:rPr>
          <w:rFonts w:cstheme="minorHAnsi"/>
        </w:rPr>
        <w:t xml:space="preserve"> </w:t>
      </w:r>
    </w:p>
    <w:p w14:paraId="15F92614" w14:textId="2AE80287" w:rsidR="004504E5" w:rsidRPr="001F52A8" w:rsidRDefault="004504E5" w:rsidP="000B0A0F">
      <w:pPr>
        <w:pStyle w:val="Heading2"/>
      </w:pPr>
      <w:r w:rsidRPr="001F52A8">
        <w:t>The God of David</w:t>
      </w:r>
      <w:r w:rsidR="00F33A0C" w:rsidRPr="001F52A8">
        <w:t xml:space="preserve"> </w:t>
      </w:r>
    </w:p>
    <w:p w14:paraId="7D4E9998" w14:textId="3929B0D7" w:rsidR="009F6A56" w:rsidRPr="001F52A8" w:rsidRDefault="009F6A56" w:rsidP="009F6A56">
      <w:pPr>
        <w:rPr>
          <w:rFonts w:cstheme="minorHAnsi"/>
        </w:rPr>
      </w:pPr>
      <w:r w:rsidRPr="001F52A8">
        <w:rPr>
          <w:rFonts w:cstheme="minorHAnsi"/>
        </w:rPr>
        <w:t xml:space="preserve">There </w:t>
      </w:r>
      <w:r w:rsidR="00156C41">
        <w:rPr>
          <w:rFonts w:cstheme="minorHAnsi"/>
        </w:rPr>
        <w:t>wa</w:t>
      </w:r>
      <w:r w:rsidRPr="001F52A8">
        <w:rPr>
          <w:rFonts w:cstheme="minorHAnsi"/>
        </w:rPr>
        <w:t>s a further link between the spirit of God, the bad spirit from God, and the process whereby David c</w:t>
      </w:r>
      <w:r w:rsidR="00156C41">
        <w:rPr>
          <w:rFonts w:cstheme="minorHAnsi"/>
        </w:rPr>
        <w:t>ame</w:t>
      </w:r>
      <w:r w:rsidRPr="001F52A8">
        <w:rPr>
          <w:rFonts w:cstheme="minorHAnsi"/>
        </w:rPr>
        <w:t xml:space="preserve"> to replace Saul as king. It le</w:t>
      </w:r>
      <w:r w:rsidR="00156C41">
        <w:rPr>
          <w:rFonts w:cstheme="minorHAnsi"/>
        </w:rPr>
        <w:t>d</w:t>
      </w:r>
      <w:r w:rsidRPr="001F52A8">
        <w:rPr>
          <w:rFonts w:cstheme="minorHAnsi"/>
        </w:rPr>
        <w:t xml:space="preserve"> to David’s being drawn into the life of the court in a way that w</w:t>
      </w:r>
      <w:r w:rsidR="00DF42CF">
        <w:rPr>
          <w:rFonts w:cstheme="minorHAnsi"/>
        </w:rPr>
        <w:t>ould</w:t>
      </w:r>
      <w:r w:rsidRPr="001F52A8">
        <w:rPr>
          <w:rFonts w:cstheme="minorHAnsi"/>
        </w:rPr>
        <w:t xml:space="preserve"> ultimately lead to his becoming king. Music help</w:t>
      </w:r>
      <w:r w:rsidR="00DF42CF">
        <w:rPr>
          <w:rFonts w:cstheme="minorHAnsi"/>
        </w:rPr>
        <w:t>ed</w:t>
      </w:r>
      <w:r w:rsidRPr="001F52A8">
        <w:rPr>
          <w:rFonts w:cstheme="minorHAnsi"/>
        </w:rPr>
        <w:t xml:space="preserve"> Saul, and David c</w:t>
      </w:r>
      <w:r w:rsidR="00DF42CF">
        <w:rPr>
          <w:rFonts w:cstheme="minorHAnsi"/>
        </w:rPr>
        <w:t>ould</w:t>
      </w:r>
      <w:r w:rsidRPr="001F52A8">
        <w:rPr>
          <w:rFonts w:cstheme="minorHAnsi"/>
        </w:rPr>
        <w:t xml:space="preserve"> play guitar. In addition, David is a brave warrior with a gift of words and a presence. </w:t>
      </w:r>
      <w:r w:rsidR="00D902A8">
        <w:rPr>
          <w:rFonts w:cstheme="minorHAnsi"/>
        </w:rPr>
        <w:t>He is a real man.</w:t>
      </w:r>
      <w:r w:rsidR="00D902A8">
        <w:rPr>
          <w:rStyle w:val="FootnoteReference"/>
          <w:rFonts w:cstheme="minorHAnsi"/>
        </w:rPr>
        <w:footnoteReference w:id="193"/>
      </w:r>
      <w:r w:rsidR="00D902A8">
        <w:rPr>
          <w:rFonts w:cstheme="minorHAnsi"/>
        </w:rPr>
        <w:t xml:space="preserve"> </w:t>
      </w:r>
      <w:r w:rsidRPr="001F52A8">
        <w:rPr>
          <w:rFonts w:cstheme="minorHAnsi"/>
        </w:rPr>
        <w:t>Th</w:t>
      </w:r>
      <w:r w:rsidR="00D902A8">
        <w:rPr>
          <w:rFonts w:cstheme="minorHAnsi"/>
        </w:rPr>
        <w:t>e</w:t>
      </w:r>
      <w:r w:rsidRPr="001F52A8">
        <w:rPr>
          <w:rFonts w:cstheme="minorHAnsi"/>
        </w:rPr>
        <w:t xml:space="preserve"> summary by one of Saul’s boys </w:t>
      </w:r>
      <w:r w:rsidR="008B28D9">
        <w:rPr>
          <w:rFonts w:cstheme="minorHAnsi"/>
        </w:rPr>
        <w:t>(16:18)</w:t>
      </w:r>
      <w:r w:rsidRPr="001F52A8">
        <w:rPr>
          <w:rFonts w:cstheme="minorHAnsi"/>
        </w:rPr>
        <w:t xml:space="preserve"> </w:t>
      </w:r>
      <w:r w:rsidR="008110F7">
        <w:rPr>
          <w:rFonts w:cstheme="minorHAnsi"/>
        </w:rPr>
        <w:t xml:space="preserve">that </w:t>
      </w:r>
      <w:r w:rsidRPr="001F52A8">
        <w:rPr>
          <w:rFonts w:cstheme="minorHAnsi"/>
        </w:rPr>
        <w:t xml:space="preserve">looks like a subsequent retrospective </w:t>
      </w:r>
      <w:r w:rsidR="008110F7">
        <w:rPr>
          <w:rFonts w:cstheme="minorHAnsi"/>
        </w:rPr>
        <w:t>on</w:t>
      </w:r>
      <w:r w:rsidRPr="001F52A8">
        <w:rPr>
          <w:rFonts w:cstheme="minorHAnsi"/>
        </w:rPr>
        <w:t xml:space="preserve"> what David will turn out to be</w:t>
      </w:r>
      <w:r w:rsidR="008110F7">
        <w:rPr>
          <w:rFonts w:cstheme="minorHAnsi"/>
        </w:rPr>
        <w:t xml:space="preserve"> p</w:t>
      </w:r>
      <w:r w:rsidRPr="001F52A8">
        <w:rPr>
          <w:rFonts w:cstheme="minorHAnsi"/>
        </w:rPr>
        <w:t xml:space="preserve">erhaps </w:t>
      </w:r>
      <w:r w:rsidR="009B2AFC">
        <w:rPr>
          <w:rFonts w:cstheme="minorHAnsi"/>
        </w:rPr>
        <w:t>describes</w:t>
      </w:r>
      <w:r w:rsidRPr="001F52A8">
        <w:rPr>
          <w:rFonts w:cstheme="minorHAnsi"/>
        </w:rPr>
        <w:t xml:space="preserve"> aspects of the way he is a better man than Saul and </w:t>
      </w:r>
      <w:r w:rsidR="000941D9">
        <w:rPr>
          <w:rFonts w:cstheme="minorHAnsi"/>
        </w:rPr>
        <w:t xml:space="preserve">the </w:t>
      </w:r>
      <w:r w:rsidRPr="001F52A8">
        <w:rPr>
          <w:rFonts w:cstheme="minorHAnsi"/>
        </w:rPr>
        <w:t>way his mind</w:t>
      </w:r>
      <w:r w:rsidR="00F47E2B">
        <w:rPr>
          <w:rFonts w:cstheme="minorHAnsi"/>
        </w:rPr>
        <w:t>,</w:t>
      </w:r>
      <w:r w:rsidRPr="001F52A8">
        <w:rPr>
          <w:rFonts w:cstheme="minorHAnsi"/>
        </w:rPr>
        <w:t xml:space="preserve"> attitudes</w:t>
      </w:r>
      <w:r w:rsidR="00F47E2B">
        <w:rPr>
          <w:rFonts w:cstheme="minorHAnsi"/>
        </w:rPr>
        <w:t>,</w:t>
      </w:r>
      <w:r w:rsidRPr="001F52A8">
        <w:rPr>
          <w:rFonts w:cstheme="minorHAnsi"/>
        </w:rPr>
        <w:t xml:space="preserve"> and inner being will match the destiny Yahweh is putting in front of him.</w:t>
      </w:r>
      <w:r w:rsidR="007A0254">
        <w:rPr>
          <w:rFonts w:cstheme="minorHAnsi"/>
        </w:rPr>
        <w:t xml:space="preserve"> </w:t>
      </w:r>
    </w:p>
    <w:p w14:paraId="4B67596C" w14:textId="0E77CA3C" w:rsidR="009F6A56" w:rsidRPr="001F52A8" w:rsidRDefault="00F47E2B" w:rsidP="00502C10">
      <w:pPr>
        <w:rPr>
          <w:rFonts w:cstheme="minorHAnsi"/>
        </w:rPr>
      </w:pPr>
      <w:r>
        <w:rPr>
          <w:rFonts w:cstheme="minorHAnsi"/>
        </w:rPr>
        <w:t>In 16:</w:t>
      </w:r>
      <w:r w:rsidR="00AC224D">
        <w:rPr>
          <w:rFonts w:cstheme="minorHAnsi"/>
        </w:rPr>
        <w:t>1 – 17:58, f</w:t>
      </w:r>
      <w:r w:rsidR="00632110" w:rsidRPr="001F52A8">
        <w:rPr>
          <w:rFonts w:cstheme="minorHAnsi"/>
        </w:rPr>
        <w:t>ollowing on the anointing and the introduction to court is a third scene</w:t>
      </w:r>
      <w:r w:rsidR="00AC224D">
        <w:rPr>
          <w:rFonts w:cstheme="minorHAnsi"/>
        </w:rPr>
        <w:t xml:space="preserve"> that</w:t>
      </w:r>
      <w:r w:rsidR="009F6A56" w:rsidRPr="001F52A8">
        <w:rPr>
          <w:rFonts w:cstheme="minorHAnsi"/>
        </w:rPr>
        <w:t xml:space="preserve"> fits with the first but not the second. In his capacity as kid brother he </w:t>
      </w:r>
      <w:r w:rsidR="000050CC">
        <w:rPr>
          <w:rFonts w:cstheme="minorHAnsi"/>
        </w:rPr>
        <w:t>would</w:t>
      </w:r>
      <w:r w:rsidR="009F6A56" w:rsidRPr="001F52A8">
        <w:rPr>
          <w:rFonts w:cstheme="minorHAnsi"/>
        </w:rPr>
        <w:t xml:space="preserve"> </w:t>
      </w:r>
      <w:r w:rsidR="00A23959">
        <w:rPr>
          <w:rFonts w:cstheme="minorHAnsi"/>
        </w:rPr>
        <w:t>bring</w:t>
      </w:r>
      <w:r w:rsidR="00A23959" w:rsidRPr="001F52A8">
        <w:rPr>
          <w:rFonts w:cstheme="minorHAnsi"/>
        </w:rPr>
        <w:t xml:space="preserve"> </w:t>
      </w:r>
      <w:r w:rsidR="009F6A56" w:rsidRPr="001F52A8">
        <w:rPr>
          <w:rFonts w:cstheme="minorHAnsi"/>
        </w:rPr>
        <w:t>provisions to his big brothers in the army, but no one else (specifically, Saul) knows him there</w:t>
      </w:r>
      <w:r w:rsidR="00F7021E">
        <w:rPr>
          <w:rFonts w:cstheme="minorHAnsi"/>
        </w:rPr>
        <w:t>. H</w:t>
      </w:r>
      <w:r w:rsidR="009F6A56" w:rsidRPr="001F52A8">
        <w:rPr>
          <w:rFonts w:cstheme="minorHAnsi"/>
        </w:rPr>
        <w:t>e does turn out to have a warrior instinct</w:t>
      </w:r>
      <w:r w:rsidR="00502C10" w:rsidRPr="001F52A8">
        <w:rPr>
          <w:rFonts w:cstheme="minorHAnsi"/>
        </w:rPr>
        <w:t>,</w:t>
      </w:r>
      <w:r w:rsidR="009F6A56" w:rsidRPr="001F52A8">
        <w:rPr>
          <w:rFonts w:cstheme="minorHAnsi"/>
        </w:rPr>
        <w:t xml:space="preserve"> and Yahweh proves to be with him. I</w:t>
      </w:r>
      <w:r w:rsidR="00F7021E">
        <w:rPr>
          <w:rFonts w:cstheme="minorHAnsi"/>
        </w:rPr>
        <w:t xml:space="preserve"> take it that</w:t>
      </w:r>
      <w:r w:rsidR="009F6A56" w:rsidRPr="001F52A8">
        <w:rPr>
          <w:rFonts w:cstheme="minorHAnsi"/>
        </w:rPr>
        <w:t xml:space="preserve"> actually Elhanan killed Goliath (2 Sam 21:19)</w:t>
      </w:r>
      <w:r w:rsidR="00D72B5E">
        <w:rPr>
          <w:rFonts w:cstheme="minorHAnsi"/>
        </w:rPr>
        <w:t>, b</w:t>
      </w:r>
      <w:r w:rsidR="009F6A56" w:rsidRPr="001F52A8">
        <w:rPr>
          <w:rFonts w:cstheme="minorHAnsi"/>
        </w:rPr>
        <w:t xml:space="preserve">ut </w:t>
      </w:r>
      <w:r w:rsidR="006C1892">
        <w:rPr>
          <w:rFonts w:cstheme="minorHAnsi"/>
        </w:rPr>
        <w:t xml:space="preserve">as told here </w:t>
      </w:r>
      <w:r w:rsidR="009F6A56" w:rsidRPr="001F52A8">
        <w:rPr>
          <w:rFonts w:cstheme="minorHAnsi"/>
        </w:rPr>
        <w:t>th</w:t>
      </w:r>
      <w:r w:rsidR="006C1892">
        <w:rPr>
          <w:rFonts w:cstheme="minorHAnsi"/>
        </w:rPr>
        <w:t>e</w:t>
      </w:r>
      <w:r w:rsidR="009F6A56" w:rsidRPr="001F52A8">
        <w:rPr>
          <w:rFonts w:cstheme="minorHAnsi"/>
        </w:rPr>
        <w:t xml:space="preserve"> story </w:t>
      </w:r>
      <w:r w:rsidR="002D03ED">
        <w:rPr>
          <w:rFonts w:cstheme="minorHAnsi"/>
        </w:rPr>
        <w:t>portrays</w:t>
      </w:r>
      <w:r w:rsidR="009F6A56" w:rsidRPr="001F52A8">
        <w:rPr>
          <w:rFonts w:cstheme="minorHAnsi"/>
        </w:rPr>
        <w:t xml:space="preserve"> </w:t>
      </w:r>
      <w:r w:rsidR="00D72B5E">
        <w:rPr>
          <w:rFonts w:cstheme="minorHAnsi"/>
        </w:rPr>
        <w:t>further</w:t>
      </w:r>
      <w:r w:rsidR="009F6A56" w:rsidRPr="001F52A8">
        <w:rPr>
          <w:rFonts w:cstheme="minorHAnsi"/>
        </w:rPr>
        <w:t xml:space="preserve"> aspects of what David </w:t>
      </w:r>
      <w:r w:rsidR="00502C10" w:rsidRPr="001F52A8">
        <w:rPr>
          <w:rFonts w:cstheme="minorHAnsi"/>
        </w:rPr>
        <w:t xml:space="preserve">himself </w:t>
      </w:r>
      <w:r w:rsidR="009F6A56" w:rsidRPr="001F52A8">
        <w:rPr>
          <w:rFonts w:cstheme="minorHAnsi"/>
        </w:rPr>
        <w:t>turned out to be.</w:t>
      </w:r>
      <w:r w:rsidR="00ED4F7B">
        <w:rPr>
          <w:rFonts w:cstheme="minorHAnsi"/>
        </w:rPr>
        <w:t xml:space="preserve"> </w:t>
      </w:r>
    </w:p>
    <w:p w14:paraId="16E82613" w14:textId="2758F7E9" w:rsidR="00F35EB0" w:rsidRPr="001F52A8" w:rsidRDefault="00995E79" w:rsidP="00074959">
      <w:pPr>
        <w:rPr>
          <w:rFonts w:cstheme="minorHAnsi"/>
        </w:rPr>
      </w:pPr>
      <w:r w:rsidRPr="001F52A8">
        <w:rPr>
          <w:rFonts w:cstheme="minorHAnsi"/>
        </w:rPr>
        <w:t>David’s first words are, “</w:t>
      </w:r>
      <w:r w:rsidR="00E608C6" w:rsidRPr="001F52A8">
        <w:rPr>
          <w:rFonts w:cstheme="minorHAnsi"/>
        </w:rPr>
        <w:t>What will be done for the</w:t>
      </w:r>
      <w:r w:rsidR="006D12DA" w:rsidRPr="001F52A8">
        <w:rPr>
          <w:rFonts w:cstheme="minorHAnsi"/>
        </w:rPr>
        <w:t xml:space="preserve"> person who strikes down that Philistine and </w:t>
      </w:r>
      <w:r w:rsidR="003548D9" w:rsidRPr="001F52A8">
        <w:rPr>
          <w:rFonts w:cstheme="minorHAnsi"/>
        </w:rPr>
        <w:t>removes the disgrace from upon Israel</w:t>
      </w:r>
      <w:r w:rsidR="006520E5" w:rsidRPr="001F52A8">
        <w:rPr>
          <w:rFonts w:cstheme="minorHAnsi"/>
        </w:rPr>
        <w:t>, because</w:t>
      </w:r>
      <w:r w:rsidR="00A46CC8" w:rsidRPr="001F52A8">
        <w:rPr>
          <w:rFonts w:cstheme="minorHAnsi"/>
        </w:rPr>
        <w:t xml:space="preserve"> </w:t>
      </w:r>
      <w:r w:rsidR="006520E5" w:rsidRPr="001F52A8">
        <w:rPr>
          <w:rFonts w:cstheme="minorHAnsi"/>
        </w:rPr>
        <w:t>w</w:t>
      </w:r>
      <w:r w:rsidR="00A46CC8" w:rsidRPr="001F52A8">
        <w:rPr>
          <w:rFonts w:cstheme="minorHAnsi"/>
        </w:rPr>
        <w:t>ho is th</w:t>
      </w:r>
      <w:r w:rsidR="006520E5" w:rsidRPr="001F52A8">
        <w:rPr>
          <w:rFonts w:cstheme="minorHAnsi"/>
        </w:rPr>
        <w:t>is</w:t>
      </w:r>
      <w:r w:rsidR="00A46CC8" w:rsidRPr="001F52A8">
        <w:rPr>
          <w:rFonts w:cstheme="minorHAnsi"/>
        </w:rPr>
        <w:t xml:space="preserve"> foreskinned Philistine </w:t>
      </w:r>
      <w:r w:rsidR="001B5ECF" w:rsidRPr="001F52A8">
        <w:rPr>
          <w:rFonts w:cstheme="minorHAnsi"/>
        </w:rPr>
        <w:t xml:space="preserve">that he has </w:t>
      </w:r>
      <w:r w:rsidR="00561E45" w:rsidRPr="001F52A8">
        <w:rPr>
          <w:rFonts w:cstheme="minorHAnsi"/>
        </w:rPr>
        <w:t>ta</w:t>
      </w:r>
      <w:r w:rsidR="0008626B" w:rsidRPr="001F52A8">
        <w:rPr>
          <w:rFonts w:cstheme="minorHAnsi"/>
        </w:rPr>
        <w:t>u</w:t>
      </w:r>
      <w:r w:rsidR="00561E45" w:rsidRPr="001F52A8">
        <w:rPr>
          <w:rFonts w:cstheme="minorHAnsi"/>
        </w:rPr>
        <w:t>nt</w:t>
      </w:r>
      <w:r w:rsidR="0008626B" w:rsidRPr="001F52A8">
        <w:rPr>
          <w:rFonts w:cstheme="minorHAnsi"/>
        </w:rPr>
        <w:t>e</w:t>
      </w:r>
      <w:r w:rsidR="001B5ECF" w:rsidRPr="001F52A8">
        <w:rPr>
          <w:rFonts w:cstheme="minorHAnsi"/>
        </w:rPr>
        <w:t xml:space="preserve">d the </w:t>
      </w:r>
      <w:r w:rsidR="000D1C69" w:rsidRPr="001F52A8">
        <w:rPr>
          <w:rFonts w:cstheme="minorHAnsi"/>
        </w:rPr>
        <w:t xml:space="preserve">ranks of the living God?” (17:26). </w:t>
      </w:r>
      <w:r w:rsidR="00636AD5" w:rsidRPr="001F52A8">
        <w:rPr>
          <w:rFonts w:cstheme="minorHAnsi"/>
        </w:rPr>
        <w:t>The</w:t>
      </w:r>
      <w:r w:rsidR="008A6810" w:rsidRPr="001F52A8">
        <w:rPr>
          <w:rFonts w:cstheme="minorHAnsi"/>
        </w:rPr>
        <w:t xml:space="preserve"> series of</w:t>
      </w:r>
      <w:r w:rsidR="003F5997" w:rsidRPr="001F52A8">
        <w:rPr>
          <w:rFonts w:cstheme="minorHAnsi"/>
        </w:rPr>
        <w:t xml:space="preserve"> ethnic </w:t>
      </w:r>
      <w:r w:rsidR="006F42AE" w:rsidRPr="001F52A8">
        <w:rPr>
          <w:rFonts w:cstheme="minorHAnsi"/>
        </w:rPr>
        <w:t>co</w:t>
      </w:r>
      <w:r w:rsidR="00636AD5" w:rsidRPr="001F52A8">
        <w:rPr>
          <w:rFonts w:cstheme="minorHAnsi"/>
        </w:rPr>
        <w:t>mments</w:t>
      </w:r>
      <w:r w:rsidR="006F42AE" w:rsidRPr="001F52A8">
        <w:rPr>
          <w:rFonts w:cstheme="minorHAnsi"/>
        </w:rPr>
        <w:t xml:space="preserve"> and </w:t>
      </w:r>
      <w:r w:rsidR="003F5997" w:rsidRPr="001F52A8">
        <w:rPr>
          <w:rFonts w:cstheme="minorHAnsi"/>
        </w:rPr>
        <w:t>slur</w:t>
      </w:r>
      <w:r w:rsidR="006F42AE" w:rsidRPr="001F52A8">
        <w:rPr>
          <w:rFonts w:cstheme="minorHAnsi"/>
        </w:rPr>
        <w:t>s</w:t>
      </w:r>
      <w:r w:rsidR="003F5997" w:rsidRPr="001F52A8">
        <w:rPr>
          <w:rFonts w:cstheme="minorHAnsi"/>
        </w:rPr>
        <w:t xml:space="preserve"> (how primitive these Philistines are!)</w:t>
      </w:r>
      <w:r w:rsidR="006F42AE" w:rsidRPr="001F52A8">
        <w:rPr>
          <w:rFonts w:cstheme="minorHAnsi"/>
        </w:rPr>
        <w:t xml:space="preserve"> ends with a key theological statement</w:t>
      </w:r>
      <w:r w:rsidR="00192D83" w:rsidRPr="001F52A8">
        <w:rPr>
          <w:rFonts w:cstheme="minorHAnsi"/>
        </w:rPr>
        <w:t>.</w:t>
      </w:r>
      <w:r w:rsidR="006F42AE" w:rsidRPr="001F52A8">
        <w:rPr>
          <w:rFonts w:cstheme="minorHAnsi"/>
        </w:rPr>
        <w:t xml:space="preserve"> Yahweh is “the living God.” The </w:t>
      </w:r>
      <w:r w:rsidR="007218F6" w:rsidRPr="001F52A8">
        <w:rPr>
          <w:rFonts w:cstheme="minorHAnsi"/>
        </w:rPr>
        <w:t>description</w:t>
      </w:r>
      <w:r w:rsidR="006F42AE" w:rsidRPr="001F52A8">
        <w:rPr>
          <w:rFonts w:cstheme="minorHAnsi"/>
        </w:rPr>
        <w:t xml:space="preserve"> does not mean alive as opposed to dead but lively</w:t>
      </w:r>
      <w:r w:rsidR="00F6090E" w:rsidRPr="001F52A8">
        <w:rPr>
          <w:rFonts w:cstheme="minorHAnsi"/>
        </w:rPr>
        <w:t>, vigorous,</w:t>
      </w:r>
      <w:r w:rsidR="006F42AE" w:rsidRPr="001F52A8">
        <w:rPr>
          <w:rFonts w:cstheme="minorHAnsi"/>
        </w:rPr>
        <w:t xml:space="preserve"> and active as opposed to s</w:t>
      </w:r>
      <w:r w:rsidR="00644420" w:rsidRPr="001F52A8">
        <w:rPr>
          <w:rFonts w:cstheme="minorHAnsi"/>
        </w:rPr>
        <w:t>leepy, slugg</w:t>
      </w:r>
      <w:r w:rsidR="00856AFE" w:rsidRPr="001F52A8">
        <w:rPr>
          <w:rFonts w:cstheme="minorHAnsi"/>
        </w:rPr>
        <w:t>ish</w:t>
      </w:r>
      <w:r w:rsidR="00644420" w:rsidRPr="001F52A8">
        <w:rPr>
          <w:rFonts w:cstheme="minorHAnsi"/>
        </w:rPr>
        <w:t>,</w:t>
      </w:r>
      <w:r w:rsidR="00051D24" w:rsidRPr="001F52A8">
        <w:rPr>
          <w:rFonts w:cstheme="minorHAnsi"/>
        </w:rPr>
        <w:t xml:space="preserve"> and</w:t>
      </w:r>
      <w:r w:rsidR="00644420" w:rsidRPr="001F52A8">
        <w:rPr>
          <w:rFonts w:cstheme="minorHAnsi"/>
        </w:rPr>
        <w:t xml:space="preserve"> </w:t>
      </w:r>
      <w:r w:rsidR="00856AFE" w:rsidRPr="001F52A8">
        <w:rPr>
          <w:rFonts w:cstheme="minorHAnsi"/>
        </w:rPr>
        <w:t>idle</w:t>
      </w:r>
      <w:r w:rsidR="00051D24" w:rsidRPr="001F52A8">
        <w:rPr>
          <w:rFonts w:cstheme="minorHAnsi"/>
        </w:rPr>
        <w:t xml:space="preserve">. </w:t>
      </w:r>
      <w:r w:rsidR="009A3FFC" w:rsidRPr="001F52A8">
        <w:rPr>
          <w:rFonts w:cstheme="minorHAnsi"/>
        </w:rPr>
        <w:t xml:space="preserve">The living God is the one who spoke </w:t>
      </w:r>
      <w:r w:rsidR="004248A1" w:rsidRPr="001F52A8">
        <w:rPr>
          <w:rFonts w:cstheme="minorHAnsi"/>
        </w:rPr>
        <w:t>out of the fire at Sinai in a way that no other people had heard (Deut 5:26)</w:t>
      </w:r>
      <w:r w:rsidR="00492B19">
        <w:rPr>
          <w:rFonts w:cstheme="minorHAnsi"/>
        </w:rPr>
        <w:t xml:space="preserve">, and </w:t>
      </w:r>
      <w:r w:rsidR="009133F7" w:rsidRPr="001F52A8">
        <w:rPr>
          <w:rFonts w:cstheme="minorHAnsi"/>
        </w:rPr>
        <w:t>who w</w:t>
      </w:r>
      <w:r w:rsidR="00492B19">
        <w:rPr>
          <w:rFonts w:cstheme="minorHAnsi"/>
        </w:rPr>
        <w:t>ould</w:t>
      </w:r>
      <w:r w:rsidR="009133F7" w:rsidRPr="001F52A8">
        <w:rPr>
          <w:rFonts w:cstheme="minorHAnsi"/>
        </w:rPr>
        <w:t xml:space="preserve"> take the </w:t>
      </w:r>
      <w:r w:rsidR="0026551C" w:rsidRPr="001F52A8">
        <w:rPr>
          <w:rFonts w:cstheme="minorHAnsi"/>
        </w:rPr>
        <w:t xml:space="preserve">Israelites across the Jordan into Canaan and drive out </w:t>
      </w:r>
      <w:r w:rsidR="00D95E34">
        <w:rPr>
          <w:rFonts w:cstheme="minorHAnsi"/>
        </w:rPr>
        <w:t>its</w:t>
      </w:r>
      <w:r w:rsidR="0026551C" w:rsidRPr="001F52A8">
        <w:rPr>
          <w:rFonts w:cstheme="minorHAnsi"/>
        </w:rPr>
        <w:t xml:space="preserve"> present inhabitants (Josh 3:</w:t>
      </w:r>
      <w:r w:rsidR="002B29EB" w:rsidRPr="001F52A8">
        <w:rPr>
          <w:rFonts w:cstheme="minorHAnsi"/>
        </w:rPr>
        <w:t>10-11</w:t>
      </w:r>
      <w:r w:rsidR="00EA5E6E" w:rsidRPr="001F52A8">
        <w:rPr>
          <w:rFonts w:cstheme="minorHAnsi"/>
        </w:rPr>
        <w:t xml:space="preserve">; </w:t>
      </w:r>
      <w:r w:rsidR="00E00815" w:rsidRPr="001F52A8">
        <w:rPr>
          <w:rFonts w:cstheme="minorHAnsi"/>
        </w:rPr>
        <w:t xml:space="preserve">cf. </w:t>
      </w:r>
      <w:r w:rsidR="009628C8" w:rsidRPr="001F52A8">
        <w:rPr>
          <w:rFonts w:cstheme="minorHAnsi"/>
        </w:rPr>
        <w:t xml:space="preserve">2 Kgs 19:4, </w:t>
      </w:r>
      <w:r w:rsidR="00633976" w:rsidRPr="001F52A8">
        <w:rPr>
          <w:rFonts w:cstheme="minorHAnsi"/>
        </w:rPr>
        <w:t>1</w:t>
      </w:r>
      <w:r w:rsidR="009628C8" w:rsidRPr="001F52A8">
        <w:rPr>
          <w:rFonts w:cstheme="minorHAnsi"/>
        </w:rPr>
        <w:t xml:space="preserve">6; </w:t>
      </w:r>
      <w:r w:rsidR="0011031A" w:rsidRPr="001F52A8">
        <w:rPr>
          <w:rFonts w:cstheme="minorHAnsi"/>
        </w:rPr>
        <w:t>Ps 42:</w:t>
      </w:r>
      <w:r w:rsidR="001C29A6" w:rsidRPr="001F52A8">
        <w:rPr>
          <w:rFonts w:cstheme="minorHAnsi"/>
        </w:rPr>
        <w:t xml:space="preserve">2 [3]; </w:t>
      </w:r>
      <w:r w:rsidR="009321AF" w:rsidRPr="001F52A8">
        <w:rPr>
          <w:rFonts w:cstheme="minorHAnsi"/>
        </w:rPr>
        <w:t xml:space="preserve">18:46 [47]; </w:t>
      </w:r>
      <w:r w:rsidR="001C29A6" w:rsidRPr="001F52A8">
        <w:rPr>
          <w:rFonts w:cstheme="minorHAnsi"/>
        </w:rPr>
        <w:t>84:2 [3];</w:t>
      </w:r>
      <w:r w:rsidR="00EA5E6E" w:rsidRPr="001F52A8">
        <w:rPr>
          <w:rFonts w:cstheme="minorHAnsi"/>
        </w:rPr>
        <w:t xml:space="preserve"> </w:t>
      </w:r>
      <w:r w:rsidR="009628C8" w:rsidRPr="001F52A8">
        <w:rPr>
          <w:rFonts w:cstheme="minorHAnsi"/>
        </w:rPr>
        <w:t xml:space="preserve">Jer 10:10; 23:36; </w:t>
      </w:r>
      <w:r w:rsidR="00EB3C83" w:rsidRPr="001F52A8">
        <w:rPr>
          <w:rFonts w:cstheme="minorHAnsi"/>
        </w:rPr>
        <w:t>Dan 6:</w:t>
      </w:r>
      <w:r w:rsidR="005A10BE" w:rsidRPr="001F52A8">
        <w:rPr>
          <w:rFonts w:cstheme="minorHAnsi"/>
        </w:rPr>
        <w:t>20, 25 [</w:t>
      </w:r>
      <w:r w:rsidR="00EB3C83" w:rsidRPr="001F52A8">
        <w:rPr>
          <w:rFonts w:cstheme="minorHAnsi"/>
        </w:rPr>
        <w:t>21, 26</w:t>
      </w:r>
      <w:r w:rsidR="005A10BE" w:rsidRPr="001F52A8">
        <w:rPr>
          <w:rFonts w:cstheme="minorHAnsi"/>
        </w:rPr>
        <w:t xml:space="preserve">]; </w:t>
      </w:r>
      <w:r w:rsidR="0011031A" w:rsidRPr="001F52A8">
        <w:rPr>
          <w:rFonts w:cstheme="minorHAnsi"/>
        </w:rPr>
        <w:t>Hos 1:10 [2:1]</w:t>
      </w:r>
      <w:r w:rsidR="00EA5E6E" w:rsidRPr="001F52A8">
        <w:rPr>
          <w:rFonts w:cstheme="minorHAnsi"/>
        </w:rPr>
        <w:t>)</w:t>
      </w:r>
      <w:r w:rsidR="009321AF" w:rsidRPr="001F52A8">
        <w:rPr>
          <w:rFonts w:cstheme="minorHAnsi"/>
        </w:rPr>
        <w:t xml:space="preserve">. </w:t>
      </w:r>
      <w:r w:rsidR="00825CA6" w:rsidRPr="001F52A8">
        <w:rPr>
          <w:rFonts w:cstheme="minorHAnsi"/>
        </w:rPr>
        <w:t xml:space="preserve">David implies </w:t>
      </w:r>
      <w:r w:rsidR="002F6AC4" w:rsidRPr="001F52A8">
        <w:rPr>
          <w:rFonts w:cstheme="minorHAnsi"/>
        </w:rPr>
        <w:t>some shortfall in</w:t>
      </w:r>
      <w:r w:rsidR="00825CA6" w:rsidRPr="001F52A8">
        <w:rPr>
          <w:rFonts w:cstheme="minorHAnsi"/>
        </w:rPr>
        <w:t xml:space="preserve"> </w:t>
      </w:r>
      <w:r w:rsidR="002F6AC4" w:rsidRPr="001F52A8">
        <w:rPr>
          <w:rFonts w:cstheme="minorHAnsi"/>
        </w:rPr>
        <w:t xml:space="preserve">the Israelites’ own assumptions about Yahweh. How could they be tolerating the </w:t>
      </w:r>
      <w:r w:rsidR="00534898" w:rsidRPr="001F52A8">
        <w:rPr>
          <w:rFonts w:cstheme="minorHAnsi"/>
        </w:rPr>
        <w:t xml:space="preserve">taunts </w:t>
      </w:r>
      <w:r w:rsidR="00952386">
        <w:rPr>
          <w:rFonts w:cstheme="minorHAnsi"/>
        </w:rPr>
        <w:t xml:space="preserve">that are </w:t>
      </w:r>
      <w:r w:rsidR="00534898" w:rsidRPr="001F52A8">
        <w:rPr>
          <w:rFonts w:cstheme="minorHAnsi"/>
        </w:rPr>
        <w:t>b</w:t>
      </w:r>
      <w:r w:rsidR="00952386">
        <w:rPr>
          <w:rFonts w:cstheme="minorHAnsi"/>
        </w:rPr>
        <w:t xml:space="preserve">eing </w:t>
      </w:r>
      <w:r w:rsidR="00534898" w:rsidRPr="001F52A8">
        <w:rPr>
          <w:rFonts w:cstheme="minorHAnsi"/>
        </w:rPr>
        <w:t xml:space="preserve">put to them </w:t>
      </w:r>
      <w:r w:rsidR="00952386">
        <w:rPr>
          <w:rFonts w:cstheme="minorHAnsi"/>
        </w:rPr>
        <w:t xml:space="preserve">that </w:t>
      </w:r>
      <w:r w:rsidR="00534898" w:rsidRPr="001F52A8">
        <w:rPr>
          <w:rFonts w:cstheme="minorHAnsi"/>
        </w:rPr>
        <w:t>reflect on their God who is quite capable of de</w:t>
      </w:r>
      <w:r w:rsidR="00EE24CC" w:rsidRPr="001F52A8">
        <w:rPr>
          <w:rFonts w:cstheme="minorHAnsi"/>
        </w:rPr>
        <w:t>feating these Philistines?</w:t>
      </w:r>
    </w:p>
    <w:p w14:paraId="0523DCF1" w14:textId="77777777" w:rsidR="0079180B" w:rsidRPr="001F52A8" w:rsidRDefault="0079180B" w:rsidP="0079180B">
      <w:pPr>
        <w:rPr>
          <w:rFonts w:cstheme="minorHAnsi"/>
        </w:rPr>
      </w:pPr>
      <w:r>
        <w:rPr>
          <w:rFonts w:cstheme="minorHAnsi"/>
        </w:rPr>
        <w:lastRenderedPageBreak/>
        <w:t>In this story, it</w:t>
      </w:r>
      <w:r w:rsidRPr="001F52A8">
        <w:rPr>
          <w:rFonts w:cstheme="minorHAnsi"/>
        </w:rPr>
        <w:t xml:space="preserve"> is the words that count. The battle belongs to them.</w:t>
      </w:r>
      <w:r w:rsidRPr="001F52A8">
        <w:rPr>
          <w:rStyle w:val="FootnoteReference"/>
          <w:rFonts w:cstheme="minorHAnsi"/>
        </w:rPr>
        <w:footnoteReference w:id="194"/>
      </w:r>
      <w:r w:rsidRPr="001F52A8">
        <w:rPr>
          <w:rFonts w:cstheme="minorHAnsi"/>
        </w:rPr>
        <w:t xml:space="preserve"> Although the story is memorable, </w:t>
      </w:r>
      <w:r>
        <w:rPr>
          <w:rFonts w:cstheme="minorHAnsi"/>
        </w:rPr>
        <w:t xml:space="preserve">by focusing on the words </w:t>
      </w:r>
      <w:r w:rsidRPr="001F52A8">
        <w:rPr>
          <w:rFonts w:cstheme="minorHAnsi"/>
        </w:rPr>
        <w:t xml:space="preserve">the narrator </w:t>
      </w:r>
      <w:r>
        <w:rPr>
          <w:rFonts w:cstheme="minorHAnsi"/>
        </w:rPr>
        <w:t xml:space="preserve">has </w:t>
      </w:r>
      <w:r w:rsidRPr="001F52A8">
        <w:rPr>
          <w:rFonts w:cstheme="minorHAnsi"/>
        </w:rPr>
        <w:t xml:space="preserve">compromised the aim of telling </w:t>
      </w:r>
      <w:r>
        <w:rPr>
          <w:rFonts w:cstheme="minorHAnsi"/>
        </w:rPr>
        <w:t>a</w:t>
      </w:r>
      <w:r w:rsidRPr="001F52A8">
        <w:rPr>
          <w:rFonts w:cstheme="minorHAnsi"/>
        </w:rPr>
        <w:t xml:space="preserve"> story. David’s statements </w:t>
      </w:r>
      <w:r>
        <w:rPr>
          <w:rFonts w:cstheme="minorHAnsi"/>
        </w:rPr>
        <w:t>would be are more at home</w:t>
      </w:r>
      <w:r w:rsidRPr="001F52A8">
        <w:rPr>
          <w:rFonts w:cstheme="minorHAnsi"/>
        </w:rPr>
        <w:t xml:space="preserve"> in the context of a psalm or the words of prophets such as Isaiah</w:t>
      </w:r>
      <w:r>
        <w:rPr>
          <w:rFonts w:cstheme="minorHAnsi"/>
        </w:rPr>
        <w:t>,</w:t>
      </w:r>
      <w:r w:rsidRPr="001F52A8">
        <w:rPr>
          <w:rFonts w:cstheme="minorHAnsi"/>
        </w:rPr>
        <w:t xml:space="preserve"> Ezekiel</w:t>
      </w:r>
      <w:r>
        <w:rPr>
          <w:rFonts w:cstheme="minorHAnsi"/>
        </w:rPr>
        <w:t>,</w:t>
      </w:r>
      <w:r w:rsidRPr="001F52A8">
        <w:rPr>
          <w:rFonts w:cstheme="minorHAnsi"/>
        </w:rPr>
        <w:t xml:space="preserve"> or Zechariah. </w:t>
      </w:r>
      <w:r>
        <w:rPr>
          <w:rFonts w:cstheme="minorHAnsi"/>
        </w:rPr>
        <w:t>T</w:t>
      </w:r>
      <w:r w:rsidRPr="001F52A8">
        <w:rPr>
          <w:rFonts w:cstheme="minorHAnsi"/>
        </w:rPr>
        <w:t xml:space="preserve">hey recur there. </w:t>
      </w:r>
      <w:r>
        <w:rPr>
          <w:rFonts w:cstheme="minorHAnsi"/>
        </w:rPr>
        <w:t>A story’s</w:t>
      </w:r>
      <w:r w:rsidRPr="001F52A8">
        <w:rPr>
          <w:rFonts w:cstheme="minorHAnsi"/>
        </w:rPr>
        <w:t xml:space="preserve"> nature is to carry the impact of the exercise in communication that it represents. </w:t>
      </w:r>
      <w:r>
        <w:rPr>
          <w:rFonts w:cstheme="minorHAnsi"/>
        </w:rPr>
        <w:t>Can t</w:t>
      </w:r>
      <w:r w:rsidRPr="001F52A8">
        <w:rPr>
          <w:rFonts w:cstheme="minorHAnsi"/>
        </w:rPr>
        <w:t>heological statements compete</w:t>
      </w:r>
      <w:r>
        <w:rPr>
          <w:rFonts w:cstheme="minorHAnsi"/>
        </w:rPr>
        <w:t>? Do</w:t>
      </w:r>
      <w:r w:rsidRPr="001F52A8">
        <w:rPr>
          <w:rFonts w:cstheme="minorHAnsi"/>
        </w:rPr>
        <w:t xml:space="preserve"> they inevitably lose impact</w:t>
      </w:r>
      <w:r>
        <w:rPr>
          <w:rFonts w:cstheme="minorHAnsi"/>
        </w:rPr>
        <w:t>?</w:t>
      </w:r>
      <w:r w:rsidRPr="001F52A8">
        <w:rPr>
          <w:rFonts w:cstheme="minorHAnsi"/>
        </w:rPr>
        <w:t xml:space="preserve"> </w:t>
      </w:r>
      <w:r>
        <w:rPr>
          <w:rFonts w:cstheme="minorHAnsi"/>
        </w:rPr>
        <w:t>Yet</w:t>
      </w:r>
      <w:r w:rsidRPr="001F52A8">
        <w:rPr>
          <w:rFonts w:cstheme="minorHAnsi"/>
        </w:rPr>
        <w:t xml:space="preserve"> communication in general, and the Scriptures in particular, incorporate direct statement as well as narrative. </w:t>
      </w:r>
    </w:p>
    <w:p w14:paraId="7DC9D85A" w14:textId="0C920DBA" w:rsidR="00D55A9E" w:rsidRPr="001F52A8" w:rsidRDefault="006F35E0" w:rsidP="003F76E0">
      <w:pPr>
        <w:rPr>
          <w:rFonts w:cstheme="minorHAnsi"/>
          <w:color w:val="222222"/>
        </w:rPr>
      </w:pPr>
      <w:r w:rsidRPr="001F52A8">
        <w:rPr>
          <w:rFonts w:cstheme="minorHAnsi"/>
        </w:rPr>
        <w:t xml:space="preserve">David repeats his words to Saul, </w:t>
      </w:r>
      <w:r w:rsidR="00310791" w:rsidRPr="001F52A8">
        <w:rPr>
          <w:rFonts w:cstheme="minorHAnsi"/>
        </w:rPr>
        <w:t xml:space="preserve">then adds his testimony </w:t>
      </w:r>
      <w:r w:rsidR="00A520B7" w:rsidRPr="001F52A8">
        <w:rPr>
          <w:rFonts w:cstheme="minorHAnsi"/>
        </w:rPr>
        <w:t>to the experience that</w:t>
      </w:r>
      <w:r w:rsidR="00310791" w:rsidRPr="001F52A8">
        <w:rPr>
          <w:rFonts w:cstheme="minorHAnsi"/>
        </w:rPr>
        <w:t xml:space="preserve"> </w:t>
      </w:r>
      <w:r w:rsidR="00A70D1B">
        <w:rPr>
          <w:rFonts w:cstheme="minorHAnsi"/>
        </w:rPr>
        <w:t xml:space="preserve">had </w:t>
      </w:r>
      <w:r w:rsidR="00310791" w:rsidRPr="001F52A8">
        <w:rPr>
          <w:rFonts w:cstheme="minorHAnsi"/>
        </w:rPr>
        <w:t xml:space="preserve">proved that truth about Yahweh to him: </w:t>
      </w:r>
      <w:r w:rsidR="00601F55" w:rsidRPr="001F52A8">
        <w:rPr>
          <w:rFonts w:cstheme="minorHAnsi"/>
        </w:rPr>
        <w:t>Yahweh</w:t>
      </w:r>
      <w:r w:rsidR="00BE31EE" w:rsidRPr="001F52A8">
        <w:rPr>
          <w:rFonts w:cstheme="minorHAnsi"/>
        </w:rPr>
        <w:t xml:space="preserve"> had</w:t>
      </w:r>
      <w:r w:rsidR="00601F55" w:rsidRPr="001F52A8">
        <w:rPr>
          <w:rFonts w:cstheme="minorHAnsi"/>
        </w:rPr>
        <w:t xml:space="preserve"> rescued</w:t>
      </w:r>
      <w:r w:rsidR="00BE31EE" w:rsidRPr="001F52A8">
        <w:rPr>
          <w:rFonts w:cstheme="minorHAnsi"/>
        </w:rPr>
        <w:t xml:space="preserve"> him from </w:t>
      </w:r>
      <w:r w:rsidR="00601F55" w:rsidRPr="001F52A8">
        <w:rPr>
          <w:rFonts w:cstheme="minorHAnsi"/>
        </w:rPr>
        <w:t>lion and bear</w:t>
      </w:r>
      <w:r w:rsidR="005954CB" w:rsidRPr="001F52A8">
        <w:rPr>
          <w:rFonts w:cstheme="minorHAnsi"/>
        </w:rPr>
        <w:t xml:space="preserve">. Therefore </w:t>
      </w:r>
      <w:r w:rsidR="00836DFC" w:rsidRPr="001F52A8">
        <w:rPr>
          <w:rFonts w:cstheme="minorHAnsi"/>
        </w:rPr>
        <w:t>“he is the one who will rescue me from this Philistine” (</w:t>
      </w:r>
      <w:r w:rsidR="00691EE1" w:rsidRPr="001F52A8">
        <w:rPr>
          <w:rFonts w:cstheme="minorHAnsi"/>
          <w:i/>
          <w:iCs/>
        </w:rPr>
        <w:t>nāṣal</w:t>
      </w:r>
      <w:r w:rsidR="00691EE1" w:rsidRPr="001F52A8">
        <w:rPr>
          <w:rFonts w:cstheme="minorHAnsi"/>
        </w:rPr>
        <w:t xml:space="preserve"> hiphil; </w:t>
      </w:r>
      <w:r w:rsidR="00836DFC" w:rsidRPr="001F52A8">
        <w:rPr>
          <w:rFonts w:cstheme="minorHAnsi"/>
        </w:rPr>
        <w:t xml:space="preserve">17:36-37). </w:t>
      </w:r>
      <w:r w:rsidR="005648DB" w:rsidRPr="001F52A8">
        <w:rPr>
          <w:rFonts w:cstheme="minorHAnsi"/>
        </w:rPr>
        <w:t>T</w:t>
      </w:r>
      <w:r w:rsidR="004B2E07" w:rsidRPr="001F52A8">
        <w:rPr>
          <w:rFonts w:cstheme="minorHAnsi"/>
        </w:rPr>
        <w:t xml:space="preserve">he words also follow up a </w:t>
      </w:r>
      <w:r w:rsidR="000868BC" w:rsidRPr="001F52A8">
        <w:rPr>
          <w:rFonts w:cstheme="minorHAnsi"/>
        </w:rPr>
        <w:t xml:space="preserve">different kind of </w:t>
      </w:r>
      <w:r w:rsidR="00FC3B53" w:rsidRPr="001F52A8">
        <w:rPr>
          <w:rFonts w:cstheme="minorHAnsi"/>
        </w:rPr>
        <w:t xml:space="preserve">recollection. Rescuing did not </w:t>
      </w:r>
      <w:r w:rsidR="00FD2863" w:rsidRPr="001F52A8">
        <w:rPr>
          <w:rFonts w:cstheme="minorHAnsi"/>
        </w:rPr>
        <w:t xml:space="preserve">mean </w:t>
      </w:r>
      <w:r w:rsidR="007E33B8">
        <w:rPr>
          <w:rFonts w:cstheme="minorHAnsi"/>
        </w:rPr>
        <w:t xml:space="preserve">Yahweh </w:t>
      </w:r>
      <w:r w:rsidR="00FD2863" w:rsidRPr="001F52A8">
        <w:rPr>
          <w:rFonts w:cstheme="minorHAnsi"/>
        </w:rPr>
        <w:t xml:space="preserve">striking the assailants down while David watched. </w:t>
      </w:r>
      <w:r w:rsidR="00AF7C7A" w:rsidRPr="001F52A8">
        <w:rPr>
          <w:rFonts w:cstheme="minorHAnsi"/>
        </w:rPr>
        <w:t xml:space="preserve">When a lion or a bear </w:t>
      </w:r>
      <w:r w:rsidR="00E81C2B" w:rsidRPr="001F52A8">
        <w:rPr>
          <w:rFonts w:cstheme="minorHAnsi"/>
        </w:rPr>
        <w:t xml:space="preserve">carried off one of the sheep, “I would go </w:t>
      </w:r>
      <w:r w:rsidR="00F1384A" w:rsidRPr="001F52A8">
        <w:rPr>
          <w:rFonts w:cstheme="minorHAnsi"/>
        </w:rPr>
        <w:t>out after it and strike it down</w:t>
      </w:r>
      <w:r w:rsidR="00EE1675" w:rsidRPr="001F52A8">
        <w:rPr>
          <w:rFonts w:cstheme="minorHAnsi"/>
        </w:rPr>
        <w:t xml:space="preserve"> and rescue from its mouth</w:t>
      </w:r>
      <w:r w:rsidR="00944544" w:rsidRPr="001F52A8">
        <w:rPr>
          <w:rFonts w:cstheme="minorHAnsi"/>
        </w:rPr>
        <w:t xml:space="preserve">. And should it </w:t>
      </w:r>
      <w:r w:rsidR="00CC7D24" w:rsidRPr="001F52A8">
        <w:rPr>
          <w:rFonts w:cstheme="minorHAnsi"/>
        </w:rPr>
        <w:t>rise against me</w:t>
      </w:r>
      <w:r w:rsidR="0046674E" w:rsidRPr="001F52A8">
        <w:rPr>
          <w:rFonts w:cstheme="minorHAnsi"/>
        </w:rPr>
        <w:t>, I would take</w:t>
      </w:r>
      <w:r w:rsidR="00216E55" w:rsidRPr="001F52A8">
        <w:rPr>
          <w:rFonts w:cstheme="minorHAnsi"/>
        </w:rPr>
        <w:t xml:space="preserve"> hold of</w:t>
      </w:r>
      <w:r w:rsidR="0046674E" w:rsidRPr="001F52A8">
        <w:rPr>
          <w:rFonts w:cstheme="minorHAnsi"/>
        </w:rPr>
        <w:t xml:space="preserve"> it by the beard</w:t>
      </w:r>
      <w:r w:rsidR="008C0DF8" w:rsidRPr="001F52A8">
        <w:rPr>
          <w:rFonts w:cstheme="minorHAnsi"/>
        </w:rPr>
        <w:t>,</w:t>
      </w:r>
      <w:r w:rsidR="00410BAD" w:rsidRPr="001F52A8">
        <w:rPr>
          <w:rFonts w:cstheme="minorHAnsi"/>
        </w:rPr>
        <w:t xml:space="preserve"> strike it down</w:t>
      </w:r>
      <w:r w:rsidR="008C0DF8" w:rsidRPr="001F52A8">
        <w:rPr>
          <w:rFonts w:cstheme="minorHAnsi"/>
        </w:rPr>
        <w:t>,</w:t>
      </w:r>
      <w:r w:rsidR="00410BAD" w:rsidRPr="001F52A8">
        <w:rPr>
          <w:rFonts w:cstheme="minorHAnsi"/>
        </w:rPr>
        <w:t xml:space="preserve"> and kill it</w:t>
      </w:r>
      <w:r w:rsidR="00133741" w:rsidRPr="001F52A8">
        <w:rPr>
          <w:rFonts w:cstheme="minorHAnsi"/>
        </w:rPr>
        <w:t xml:space="preserve">” (17:35). </w:t>
      </w:r>
      <w:r w:rsidR="008C0DF8" w:rsidRPr="001F52A8">
        <w:rPr>
          <w:rFonts w:cstheme="minorHAnsi"/>
        </w:rPr>
        <w:t>R</w:t>
      </w:r>
      <w:r w:rsidR="00CC5E17" w:rsidRPr="001F52A8">
        <w:rPr>
          <w:rFonts w:cstheme="minorHAnsi"/>
        </w:rPr>
        <w:t xml:space="preserve">escuing </w:t>
      </w:r>
      <w:r w:rsidR="00013C25" w:rsidRPr="001F52A8">
        <w:rPr>
          <w:rFonts w:cstheme="minorHAnsi"/>
        </w:rPr>
        <w:t>is something David himself does</w:t>
      </w:r>
      <w:r w:rsidR="000A62B5">
        <w:rPr>
          <w:rFonts w:cstheme="minorHAnsi"/>
        </w:rPr>
        <w:t>. H</w:t>
      </w:r>
      <w:r w:rsidR="00854768" w:rsidRPr="001F52A8">
        <w:rPr>
          <w:rFonts w:cstheme="minorHAnsi"/>
        </w:rPr>
        <w:t xml:space="preserve">e does the striking down. So </w:t>
      </w:r>
      <w:r w:rsidR="00D01DE9" w:rsidRPr="001F52A8">
        <w:rPr>
          <w:rFonts w:cstheme="minorHAnsi"/>
        </w:rPr>
        <w:t xml:space="preserve">what </w:t>
      </w:r>
      <w:r w:rsidR="008B6C86">
        <w:rPr>
          <w:rFonts w:cstheme="minorHAnsi"/>
        </w:rPr>
        <w:t xml:space="preserve">does </w:t>
      </w:r>
      <w:r w:rsidR="00D01DE9" w:rsidRPr="001F52A8">
        <w:rPr>
          <w:rFonts w:cstheme="minorHAnsi"/>
        </w:rPr>
        <w:t xml:space="preserve">he mean by saying that God rescued him and </w:t>
      </w:r>
      <w:r w:rsidR="00F3663A">
        <w:rPr>
          <w:rFonts w:cstheme="minorHAnsi"/>
        </w:rPr>
        <w:t>will</w:t>
      </w:r>
      <w:r w:rsidR="00D01DE9" w:rsidRPr="001F52A8">
        <w:rPr>
          <w:rFonts w:cstheme="minorHAnsi"/>
        </w:rPr>
        <w:t xml:space="preserve"> rescu</w:t>
      </w:r>
      <w:r w:rsidR="00F3663A">
        <w:rPr>
          <w:rFonts w:cstheme="minorHAnsi"/>
        </w:rPr>
        <w:t>e</w:t>
      </w:r>
      <w:r w:rsidR="00D01DE9" w:rsidRPr="001F52A8">
        <w:rPr>
          <w:rFonts w:cstheme="minorHAnsi"/>
        </w:rPr>
        <w:t xml:space="preserve"> him from Goliath</w:t>
      </w:r>
      <w:r w:rsidR="00F3663A">
        <w:rPr>
          <w:rFonts w:cstheme="minorHAnsi"/>
        </w:rPr>
        <w:t>?</w:t>
      </w:r>
      <w:r w:rsidR="00D01DE9" w:rsidRPr="001F52A8">
        <w:rPr>
          <w:rFonts w:cstheme="minorHAnsi"/>
        </w:rPr>
        <w:t xml:space="preserve"> </w:t>
      </w:r>
      <w:r w:rsidR="00E42E5D" w:rsidRPr="001F52A8">
        <w:rPr>
          <w:rFonts w:cstheme="minorHAnsi"/>
        </w:rPr>
        <w:t>“The battle is Yahweh’s, and he will give you [plural] into our hand” (17:47). But i</w:t>
      </w:r>
      <w:r w:rsidR="00865326" w:rsidRPr="001F52A8">
        <w:rPr>
          <w:rFonts w:cstheme="minorHAnsi"/>
        </w:rPr>
        <w:t>n the single combat that follow</w:t>
      </w:r>
      <w:r w:rsidR="008A1E90">
        <w:rPr>
          <w:rFonts w:cstheme="minorHAnsi"/>
        </w:rPr>
        <w:t>s</w:t>
      </w:r>
      <w:r w:rsidR="00865326" w:rsidRPr="001F52A8">
        <w:rPr>
          <w:rFonts w:cstheme="minorHAnsi"/>
        </w:rPr>
        <w:t xml:space="preserve">, </w:t>
      </w:r>
      <w:r w:rsidR="003F01D7" w:rsidRPr="001F52A8">
        <w:rPr>
          <w:rFonts w:cstheme="minorHAnsi"/>
        </w:rPr>
        <w:t xml:space="preserve">nothing miraculous happens. David wins by a canny stratagem. </w:t>
      </w:r>
      <w:r w:rsidR="00396679" w:rsidRPr="001F52A8">
        <w:rPr>
          <w:rFonts w:cstheme="minorHAnsi"/>
        </w:rPr>
        <w:t>“Yahwe</w:t>
      </w:r>
      <w:r w:rsidR="007C350C" w:rsidRPr="001F52A8">
        <w:rPr>
          <w:rFonts w:cstheme="minorHAnsi"/>
        </w:rPr>
        <w:t xml:space="preserve">h will </w:t>
      </w:r>
      <w:r w:rsidR="00DB1653" w:rsidRPr="001F52A8">
        <w:rPr>
          <w:rFonts w:cstheme="minorHAnsi"/>
        </w:rPr>
        <w:t>surrender</w:t>
      </w:r>
      <w:r w:rsidR="0095280A" w:rsidRPr="001F52A8">
        <w:rPr>
          <w:rFonts w:cstheme="minorHAnsi"/>
        </w:rPr>
        <w:t xml:space="preserve"> you into my hand </w:t>
      </w:r>
      <w:r w:rsidR="00A62701" w:rsidRPr="001F52A8">
        <w:rPr>
          <w:rFonts w:cstheme="minorHAnsi"/>
        </w:rPr>
        <w:t xml:space="preserve">and I will </w:t>
      </w:r>
      <w:r w:rsidR="00335FF4" w:rsidRPr="001F52A8">
        <w:rPr>
          <w:rFonts w:cstheme="minorHAnsi"/>
        </w:rPr>
        <w:t>strike you down” (17:46)</w:t>
      </w:r>
      <w:r w:rsidR="00737F9F" w:rsidRPr="001F52A8">
        <w:rPr>
          <w:rFonts w:cstheme="minorHAnsi"/>
        </w:rPr>
        <w:t>;</w:t>
      </w:r>
      <w:r w:rsidR="006768FC" w:rsidRPr="001F52A8">
        <w:rPr>
          <w:rFonts w:cstheme="minorHAnsi"/>
        </w:rPr>
        <w:t xml:space="preserve"> </w:t>
      </w:r>
      <w:r w:rsidR="00737F9F" w:rsidRPr="001F52A8">
        <w:rPr>
          <w:rFonts w:cstheme="minorHAnsi"/>
        </w:rPr>
        <w:t>b</w:t>
      </w:r>
      <w:r w:rsidR="006768FC" w:rsidRPr="001F52A8">
        <w:rPr>
          <w:rFonts w:cstheme="minorHAnsi"/>
        </w:rPr>
        <w:t xml:space="preserve">ut </w:t>
      </w:r>
      <w:r w:rsidR="00E64880" w:rsidRPr="001F52A8">
        <w:rPr>
          <w:rFonts w:cstheme="minorHAnsi"/>
        </w:rPr>
        <w:t xml:space="preserve">it </w:t>
      </w:r>
      <w:r w:rsidR="008A1E90">
        <w:rPr>
          <w:rFonts w:cstheme="minorHAnsi"/>
        </w:rPr>
        <w:t>is</w:t>
      </w:r>
      <w:r w:rsidR="00E64880" w:rsidRPr="001F52A8">
        <w:rPr>
          <w:rFonts w:cstheme="minorHAnsi"/>
        </w:rPr>
        <w:t xml:space="preserve"> David’s stratagem that brings about the inescapable </w:t>
      </w:r>
      <w:r w:rsidR="0069619E" w:rsidRPr="001F52A8">
        <w:rPr>
          <w:rFonts w:cstheme="minorHAnsi"/>
        </w:rPr>
        <w:t>surrender.</w:t>
      </w:r>
      <w:r w:rsidR="003F76E0" w:rsidRPr="001F52A8">
        <w:rPr>
          <w:rFonts w:cstheme="minorHAnsi"/>
        </w:rPr>
        <w:t xml:space="preserve"> </w:t>
      </w:r>
      <w:r w:rsidR="003F76E0" w:rsidRPr="001F52A8">
        <w:rPr>
          <w:rFonts w:cstheme="minorHAnsi"/>
          <w:color w:val="222222"/>
        </w:rPr>
        <w:t>“You are coming to me with sword, with spear, and with javelin, but I am coming to you with the name of Yahweh Armies, the God of the ranks of Israel, whom you have taunted” (17:45).</w:t>
      </w:r>
      <w:r w:rsidR="00A93F83" w:rsidRPr="001F52A8">
        <w:rPr>
          <w:rFonts w:cstheme="minorHAnsi"/>
          <w:color w:val="222222"/>
        </w:rPr>
        <w:t xml:space="preserve"> Well</w:t>
      </w:r>
      <w:r w:rsidR="001D3792" w:rsidRPr="001F52A8">
        <w:rPr>
          <w:rFonts w:cstheme="minorHAnsi"/>
          <w:color w:val="222222"/>
        </w:rPr>
        <w:t>,</w:t>
      </w:r>
      <w:r w:rsidR="00A93F83" w:rsidRPr="001F52A8">
        <w:rPr>
          <w:rFonts w:cstheme="minorHAnsi"/>
          <w:color w:val="222222"/>
        </w:rPr>
        <w:t xml:space="preserve"> yes, but the missing feature in the antithesis is “I am coming to you with a sling and some stones</w:t>
      </w:r>
      <w:r w:rsidR="00060756" w:rsidRPr="001F52A8">
        <w:rPr>
          <w:rFonts w:cstheme="minorHAnsi"/>
          <w:color w:val="222222"/>
        </w:rPr>
        <w:t>,”</w:t>
      </w:r>
      <w:r w:rsidR="00A93F83" w:rsidRPr="001F52A8">
        <w:rPr>
          <w:rFonts w:cstheme="minorHAnsi"/>
          <w:color w:val="222222"/>
        </w:rPr>
        <w:t xml:space="preserve"> </w:t>
      </w:r>
      <w:r w:rsidR="00060756" w:rsidRPr="001F52A8">
        <w:rPr>
          <w:rFonts w:cstheme="minorHAnsi"/>
          <w:color w:val="222222"/>
        </w:rPr>
        <w:t>which</w:t>
      </w:r>
      <w:r w:rsidR="00A93F83" w:rsidRPr="001F52A8">
        <w:rPr>
          <w:rFonts w:cstheme="minorHAnsi"/>
          <w:color w:val="222222"/>
        </w:rPr>
        <w:t xml:space="preserve"> will </w:t>
      </w:r>
      <w:r w:rsidR="00060756" w:rsidRPr="001F52A8">
        <w:rPr>
          <w:rFonts w:cstheme="minorHAnsi"/>
          <w:color w:val="222222"/>
        </w:rPr>
        <w:t xml:space="preserve">(with hindsight) turn out to be more </w:t>
      </w:r>
      <w:r w:rsidR="007A36F9" w:rsidRPr="001F52A8">
        <w:rPr>
          <w:rFonts w:cstheme="minorHAnsi"/>
          <w:color w:val="222222"/>
        </w:rPr>
        <w:t xml:space="preserve">practical use and more </w:t>
      </w:r>
      <w:r w:rsidR="00060756" w:rsidRPr="001F52A8">
        <w:rPr>
          <w:rFonts w:cstheme="minorHAnsi"/>
          <w:color w:val="222222"/>
        </w:rPr>
        <w:t>effective</w:t>
      </w:r>
      <w:r w:rsidR="001D3792" w:rsidRPr="001F52A8">
        <w:rPr>
          <w:rFonts w:cstheme="minorHAnsi"/>
          <w:color w:val="222222"/>
        </w:rPr>
        <w:t xml:space="preserve"> than Goliath’s w</w:t>
      </w:r>
      <w:r w:rsidR="009043A3" w:rsidRPr="001F52A8">
        <w:rPr>
          <w:rFonts w:cstheme="minorHAnsi"/>
          <w:color w:val="222222"/>
        </w:rPr>
        <w:t>ea</w:t>
      </w:r>
      <w:r w:rsidR="001D3792" w:rsidRPr="001F52A8">
        <w:rPr>
          <w:rFonts w:cstheme="minorHAnsi"/>
          <w:color w:val="222222"/>
        </w:rPr>
        <w:t>pons</w:t>
      </w:r>
      <w:r w:rsidR="007A36F9" w:rsidRPr="001F52A8">
        <w:rPr>
          <w:rFonts w:cstheme="minorHAnsi"/>
          <w:color w:val="222222"/>
        </w:rPr>
        <w:t>.</w:t>
      </w:r>
      <w:r w:rsidR="00B9563C" w:rsidRPr="001F52A8">
        <w:rPr>
          <w:rFonts w:cstheme="minorHAnsi"/>
          <w:color w:val="222222"/>
        </w:rPr>
        <w:t xml:space="preserve"> In proffering David his armor (17:38), Saul show</w:t>
      </w:r>
      <w:r w:rsidR="00CC43B5">
        <w:rPr>
          <w:rFonts w:cstheme="minorHAnsi"/>
          <w:color w:val="222222"/>
        </w:rPr>
        <w:t>s</w:t>
      </w:r>
      <w:r w:rsidR="00B9563C" w:rsidRPr="001F52A8">
        <w:rPr>
          <w:rFonts w:cstheme="minorHAnsi"/>
          <w:color w:val="222222"/>
        </w:rPr>
        <w:t xml:space="preserve"> himself </w:t>
      </w:r>
      <w:r w:rsidR="00711F2A" w:rsidRPr="001F52A8">
        <w:rPr>
          <w:rFonts w:cstheme="minorHAnsi"/>
          <w:color w:val="222222"/>
        </w:rPr>
        <w:t>doubly dimwitted</w:t>
      </w:r>
      <w:r w:rsidR="00E47E02" w:rsidRPr="001F52A8">
        <w:rPr>
          <w:rFonts w:cstheme="minorHAnsi"/>
          <w:color w:val="222222"/>
        </w:rPr>
        <w:t xml:space="preserve">: the offer ignores the </w:t>
      </w:r>
      <w:r w:rsidR="00F3621A" w:rsidRPr="001F52A8">
        <w:rPr>
          <w:rFonts w:cstheme="minorHAnsi"/>
          <w:color w:val="222222"/>
        </w:rPr>
        <w:t>importance of Yahweh</w:t>
      </w:r>
      <w:r w:rsidR="00A41DA1" w:rsidRPr="001F52A8">
        <w:rPr>
          <w:rFonts w:cstheme="minorHAnsi"/>
          <w:color w:val="222222"/>
        </w:rPr>
        <w:t xml:space="preserve"> and</w:t>
      </w:r>
      <w:r w:rsidR="00F3621A" w:rsidRPr="001F52A8">
        <w:rPr>
          <w:rFonts w:cstheme="minorHAnsi"/>
          <w:color w:val="222222"/>
        </w:rPr>
        <w:t xml:space="preserve"> makes no allowance for the need of some strategy</w:t>
      </w:r>
      <w:r w:rsidR="00FB1A9E" w:rsidRPr="001F52A8">
        <w:rPr>
          <w:rFonts w:cstheme="minorHAnsi"/>
          <w:color w:val="222222"/>
        </w:rPr>
        <w:t>, of some “lateral thinking.”</w:t>
      </w:r>
      <w:r w:rsidR="00FB1A9E" w:rsidRPr="001F52A8">
        <w:rPr>
          <w:rStyle w:val="FootnoteReference"/>
          <w:rFonts w:cstheme="minorHAnsi"/>
          <w:color w:val="222222"/>
        </w:rPr>
        <w:footnoteReference w:id="195"/>
      </w:r>
      <w:r w:rsidR="009043A3" w:rsidRPr="001F52A8">
        <w:rPr>
          <w:rFonts w:cstheme="minorHAnsi"/>
          <w:color w:val="222222"/>
        </w:rPr>
        <w:t xml:space="preserve"> </w:t>
      </w:r>
      <w:r w:rsidR="00D55A9E" w:rsidRPr="001F52A8">
        <w:rPr>
          <w:rFonts w:cstheme="minorHAnsi"/>
          <w:color w:val="222222"/>
        </w:rPr>
        <w:t xml:space="preserve">The Saul of </w:t>
      </w:r>
      <w:r w:rsidR="007B17E9" w:rsidRPr="001F52A8">
        <w:rPr>
          <w:rFonts w:cstheme="minorHAnsi"/>
          <w:color w:val="222222"/>
        </w:rPr>
        <w:t>1 Samuel 17 is not the Saul of 1 Samuel 11</w:t>
      </w:r>
      <w:r w:rsidR="009043A3" w:rsidRPr="001F52A8">
        <w:rPr>
          <w:rFonts w:cstheme="minorHAnsi"/>
          <w:color w:val="222222"/>
        </w:rPr>
        <w:t>, and David is showing himself to be a better man than Saul.</w:t>
      </w:r>
    </w:p>
    <w:p w14:paraId="7C8EFBC9" w14:textId="73A873C2" w:rsidR="00A674E8" w:rsidRPr="001F52A8" w:rsidRDefault="00AB048C" w:rsidP="00522156">
      <w:pPr>
        <w:rPr>
          <w:rFonts w:cstheme="minorHAnsi"/>
          <w:color w:val="222222"/>
        </w:rPr>
      </w:pPr>
      <w:r>
        <w:rPr>
          <w:rFonts w:cstheme="minorHAnsi"/>
        </w:rPr>
        <w:t xml:space="preserve"> </w:t>
      </w:r>
      <w:r w:rsidR="00B37767">
        <w:rPr>
          <w:rFonts w:cstheme="minorHAnsi"/>
        </w:rPr>
        <w:t xml:space="preserve">While </w:t>
      </w:r>
      <w:r w:rsidR="00F12239">
        <w:rPr>
          <w:rFonts w:cstheme="minorHAnsi"/>
        </w:rPr>
        <w:t>“</w:t>
      </w:r>
      <w:r w:rsidR="00B37767">
        <w:rPr>
          <w:rFonts w:cstheme="minorHAnsi"/>
        </w:rPr>
        <w:t>t</w:t>
      </w:r>
      <w:r w:rsidR="00EB247E" w:rsidRPr="001F52A8">
        <w:rPr>
          <w:rFonts w:cstheme="minorHAnsi"/>
          <w:color w:val="222222"/>
        </w:rPr>
        <w:t>here are no miracles in 1 Sam. 16 – 31,”</w:t>
      </w:r>
      <w:r w:rsidR="00EB247E" w:rsidRPr="001F52A8">
        <w:rPr>
          <w:rStyle w:val="FootnoteReference"/>
          <w:rFonts w:cstheme="minorHAnsi"/>
          <w:color w:val="222222"/>
        </w:rPr>
        <w:footnoteReference w:id="196"/>
      </w:r>
      <w:r w:rsidR="00EB247E" w:rsidRPr="001F52A8">
        <w:rPr>
          <w:rFonts w:cstheme="minorHAnsi"/>
          <w:color w:val="222222"/>
        </w:rPr>
        <w:t xml:space="preserve"> </w:t>
      </w:r>
      <w:r w:rsidR="00CF4557">
        <w:rPr>
          <w:rFonts w:cstheme="minorHAnsi"/>
          <w:color w:val="222222"/>
        </w:rPr>
        <w:t>one could call</w:t>
      </w:r>
      <w:r w:rsidR="004F4611">
        <w:rPr>
          <w:rFonts w:cstheme="minorHAnsi"/>
          <w:color w:val="222222"/>
        </w:rPr>
        <w:t xml:space="preserve"> what</w:t>
      </w:r>
      <w:r w:rsidR="003C717D">
        <w:rPr>
          <w:rFonts w:cstheme="minorHAnsi"/>
          <w:color w:val="222222"/>
        </w:rPr>
        <w:t xml:space="preserve"> </w:t>
      </w:r>
      <w:r w:rsidR="00B37767">
        <w:rPr>
          <w:rFonts w:cstheme="minorHAnsi"/>
          <w:color w:val="222222"/>
        </w:rPr>
        <w:t xml:space="preserve">now </w:t>
      </w:r>
      <w:r w:rsidR="004F4611">
        <w:rPr>
          <w:rFonts w:cstheme="minorHAnsi"/>
          <w:color w:val="222222"/>
        </w:rPr>
        <w:t>happens a</w:t>
      </w:r>
      <w:r w:rsidR="00F12239" w:rsidRPr="001F52A8">
        <w:rPr>
          <w:rFonts w:cstheme="minorHAnsi"/>
        </w:rPr>
        <w:t xml:space="preserve"> marvel or </w:t>
      </w:r>
      <w:r w:rsidR="004F4611">
        <w:rPr>
          <w:rFonts w:cstheme="minorHAnsi"/>
        </w:rPr>
        <w:t>wonder</w:t>
      </w:r>
      <w:r w:rsidR="00F12239" w:rsidRPr="001F52A8">
        <w:rPr>
          <w:rFonts w:cstheme="minorHAnsi"/>
        </w:rPr>
        <w:t xml:space="preserve"> (</w:t>
      </w:r>
      <w:r w:rsidR="00F12239" w:rsidRPr="001F52A8">
        <w:rPr>
          <w:rFonts w:cstheme="minorHAnsi"/>
          <w:i/>
          <w:iCs/>
        </w:rPr>
        <w:t>pele’</w:t>
      </w:r>
      <w:r w:rsidR="00F12239" w:rsidRPr="001F52A8">
        <w:rPr>
          <w:rFonts w:cstheme="minorHAnsi"/>
        </w:rPr>
        <w:t xml:space="preserve">). </w:t>
      </w:r>
      <w:r w:rsidR="00A674E8" w:rsidRPr="001F52A8">
        <w:rPr>
          <w:rFonts w:cstheme="minorHAnsi"/>
        </w:rPr>
        <w:t xml:space="preserve">The </w:t>
      </w:r>
      <w:r w:rsidR="00C043B5">
        <w:rPr>
          <w:rFonts w:cstheme="minorHAnsi"/>
        </w:rPr>
        <w:t xml:space="preserve">story’s </w:t>
      </w:r>
      <w:r w:rsidR="00BF1829" w:rsidRPr="001F52A8">
        <w:rPr>
          <w:rFonts w:cstheme="minorHAnsi"/>
        </w:rPr>
        <w:t xml:space="preserve">language and the thinking compare </w:t>
      </w:r>
      <w:r w:rsidR="006C4B43" w:rsidRPr="001F52A8">
        <w:rPr>
          <w:rFonts w:cstheme="minorHAnsi"/>
        </w:rPr>
        <w:t xml:space="preserve">and contrast </w:t>
      </w:r>
      <w:r w:rsidR="00BF1829" w:rsidRPr="001F52A8">
        <w:rPr>
          <w:rFonts w:cstheme="minorHAnsi"/>
        </w:rPr>
        <w:t>with that used</w:t>
      </w:r>
      <w:r w:rsidR="003416B2" w:rsidRPr="001F52A8">
        <w:rPr>
          <w:rFonts w:cstheme="minorHAnsi"/>
        </w:rPr>
        <w:t xml:space="preserve"> when</w:t>
      </w:r>
      <w:r w:rsidR="00BF1829" w:rsidRPr="001F52A8">
        <w:rPr>
          <w:rFonts w:cstheme="minorHAnsi"/>
        </w:rPr>
        <w:t xml:space="preserve"> </w:t>
      </w:r>
      <w:r w:rsidR="0014615C" w:rsidRPr="001F52A8">
        <w:rPr>
          <w:rFonts w:cstheme="minorHAnsi"/>
        </w:rPr>
        <w:t>“</w:t>
      </w:r>
      <w:r w:rsidR="006F1A22" w:rsidRPr="001F52A8">
        <w:rPr>
          <w:rFonts w:cstheme="minorHAnsi"/>
        </w:rPr>
        <w:t>Yahweh thundered</w:t>
      </w:r>
      <w:r w:rsidR="0014615C" w:rsidRPr="001F52A8">
        <w:rPr>
          <w:rFonts w:cstheme="minorHAnsi"/>
        </w:rPr>
        <w:t>,”</w:t>
      </w:r>
      <w:r w:rsidR="00D02003" w:rsidRPr="001F52A8">
        <w:rPr>
          <w:rFonts w:cstheme="minorHAnsi"/>
        </w:rPr>
        <w:t xml:space="preserve"> the Philistines </w:t>
      </w:r>
      <w:r w:rsidR="00596C1B" w:rsidRPr="001F52A8">
        <w:rPr>
          <w:rFonts w:cstheme="minorHAnsi"/>
        </w:rPr>
        <w:t>“</w:t>
      </w:r>
      <w:r w:rsidR="00D02003" w:rsidRPr="001F52A8">
        <w:rPr>
          <w:rFonts w:cstheme="minorHAnsi"/>
        </w:rPr>
        <w:t>collapsed</w:t>
      </w:r>
      <w:r w:rsidR="00596C1B" w:rsidRPr="001F52A8">
        <w:rPr>
          <w:rFonts w:cstheme="minorHAnsi"/>
        </w:rPr>
        <w:t>,”</w:t>
      </w:r>
      <w:r w:rsidR="00D02003" w:rsidRPr="001F52A8">
        <w:rPr>
          <w:rFonts w:cstheme="minorHAnsi"/>
        </w:rPr>
        <w:t xml:space="preserve"> </w:t>
      </w:r>
      <w:r w:rsidR="00596C1B" w:rsidRPr="001F52A8">
        <w:rPr>
          <w:rFonts w:cstheme="minorHAnsi"/>
        </w:rPr>
        <w:t>and the Israelites</w:t>
      </w:r>
      <w:r w:rsidR="006F1A22" w:rsidRPr="001F52A8">
        <w:rPr>
          <w:rFonts w:cstheme="minorHAnsi"/>
        </w:rPr>
        <w:t xml:space="preserve"> </w:t>
      </w:r>
      <w:r w:rsidR="00596C1B" w:rsidRPr="001F52A8">
        <w:rPr>
          <w:rFonts w:cstheme="minorHAnsi"/>
        </w:rPr>
        <w:t>“struck them down</w:t>
      </w:r>
      <w:r w:rsidR="00CE1389" w:rsidRPr="001F52A8">
        <w:rPr>
          <w:rFonts w:cstheme="minorHAnsi"/>
        </w:rPr>
        <w:t>,</w:t>
      </w:r>
      <w:r w:rsidR="00AC735B" w:rsidRPr="001F52A8">
        <w:rPr>
          <w:rFonts w:cstheme="minorHAnsi"/>
        </w:rPr>
        <w:t xml:space="preserve">” </w:t>
      </w:r>
      <w:r w:rsidR="00D130DF">
        <w:rPr>
          <w:rFonts w:cstheme="minorHAnsi"/>
        </w:rPr>
        <w:t xml:space="preserve">and </w:t>
      </w:r>
      <w:r w:rsidR="00AC735B" w:rsidRPr="001F52A8">
        <w:rPr>
          <w:rFonts w:cstheme="minorHAnsi"/>
        </w:rPr>
        <w:t>subsequently</w:t>
      </w:r>
      <w:r w:rsidR="001932CA">
        <w:rPr>
          <w:rFonts w:cstheme="minorHAnsi"/>
        </w:rPr>
        <w:t>,</w:t>
      </w:r>
      <w:r w:rsidR="00AC735B" w:rsidRPr="001F52A8">
        <w:rPr>
          <w:rFonts w:cstheme="minorHAnsi"/>
        </w:rPr>
        <w:t xml:space="preserve"> </w:t>
      </w:r>
      <w:r w:rsidR="00DB0678" w:rsidRPr="001F52A8">
        <w:rPr>
          <w:rFonts w:cstheme="minorHAnsi"/>
        </w:rPr>
        <w:t>“</w:t>
      </w:r>
      <w:r w:rsidR="00B6644B" w:rsidRPr="001F52A8">
        <w:rPr>
          <w:rFonts w:cstheme="minorHAnsi"/>
        </w:rPr>
        <w:t>Yahweh</w:t>
      </w:r>
      <w:r w:rsidR="000F1417" w:rsidRPr="001F52A8">
        <w:rPr>
          <w:rFonts w:cstheme="minorHAnsi"/>
        </w:rPr>
        <w:t>’s hand was against the Philistines</w:t>
      </w:r>
      <w:r w:rsidR="003416B2" w:rsidRPr="001F52A8">
        <w:rPr>
          <w:rFonts w:cstheme="minorHAnsi"/>
        </w:rPr>
        <w:t>,</w:t>
      </w:r>
      <w:r w:rsidR="00FE0CEE" w:rsidRPr="001F52A8">
        <w:rPr>
          <w:rFonts w:cstheme="minorHAnsi"/>
        </w:rPr>
        <w:t>” the towns that Israel had lost “returned” to Israel</w:t>
      </w:r>
      <w:r w:rsidR="003416B2" w:rsidRPr="001F52A8">
        <w:rPr>
          <w:rFonts w:cstheme="minorHAnsi"/>
        </w:rPr>
        <w:t xml:space="preserve">, and </w:t>
      </w:r>
      <w:r w:rsidR="00FE0CEE" w:rsidRPr="001F52A8">
        <w:rPr>
          <w:rFonts w:cstheme="minorHAnsi"/>
        </w:rPr>
        <w:t>Isr</w:t>
      </w:r>
      <w:r w:rsidR="00CC5D31" w:rsidRPr="001F52A8">
        <w:rPr>
          <w:rFonts w:cstheme="minorHAnsi"/>
        </w:rPr>
        <w:t>a</w:t>
      </w:r>
      <w:r w:rsidR="00FE0CEE" w:rsidRPr="001F52A8">
        <w:rPr>
          <w:rFonts w:cstheme="minorHAnsi"/>
        </w:rPr>
        <w:t>el “rescued” its territory</w:t>
      </w:r>
      <w:r w:rsidR="00CC5D31" w:rsidRPr="001F52A8">
        <w:rPr>
          <w:rFonts w:cstheme="minorHAnsi"/>
        </w:rPr>
        <w:t xml:space="preserve"> (7:1</w:t>
      </w:r>
      <w:r w:rsidR="00EF4D41">
        <w:rPr>
          <w:rFonts w:cstheme="minorHAnsi"/>
        </w:rPr>
        <w:t>0</w:t>
      </w:r>
      <w:r w:rsidR="00CC5D31" w:rsidRPr="001F52A8">
        <w:rPr>
          <w:rFonts w:cstheme="minorHAnsi"/>
        </w:rPr>
        <w:t xml:space="preserve">-14). </w:t>
      </w:r>
      <w:r w:rsidR="00976DB1" w:rsidRPr="001F52A8">
        <w:rPr>
          <w:rFonts w:cstheme="minorHAnsi"/>
        </w:rPr>
        <w:t xml:space="preserve">Whether the thunder was literal or metaphorical, </w:t>
      </w:r>
      <w:r w:rsidR="00F669CA" w:rsidRPr="001F52A8">
        <w:rPr>
          <w:rFonts w:cstheme="minorHAnsi"/>
        </w:rPr>
        <w:t xml:space="preserve">the </w:t>
      </w:r>
      <w:r w:rsidR="00A223B7" w:rsidRPr="001F52A8">
        <w:rPr>
          <w:rFonts w:cstheme="minorHAnsi"/>
        </w:rPr>
        <w:t xml:space="preserve">imagery suggests </w:t>
      </w:r>
      <w:r w:rsidR="002E1A4E" w:rsidRPr="001F52A8">
        <w:rPr>
          <w:rFonts w:cstheme="minorHAnsi"/>
        </w:rPr>
        <w:t>an event that was extraordinary</w:t>
      </w:r>
      <w:r w:rsidR="00F549E4" w:rsidRPr="001F52A8">
        <w:rPr>
          <w:rFonts w:cstheme="minorHAnsi"/>
        </w:rPr>
        <w:t xml:space="preserve"> and out of this world</w:t>
      </w:r>
      <w:r w:rsidR="00C025F1">
        <w:rPr>
          <w:rFonts w:cstheme="minorHAnsi"/>
        </w:rPr>
        <w:t>. So surely was this</w:t>
      </w:r>
      <w:r w:rsidR="008D6096">
        <w:rPr>
          <w:rFonts w:cstheme="minorHAnsi"/>
        </w:rPr>
        <w:t xml:space="preserve"> one.</w:t>
      </w:r>
      <w:r w:rsidR="00255B6C" w:rsidRPr="001F52A8">
        <w:rPr>
          <w:rFonts w:cstheme="minorHAnsi"/>
        </w:rPr>
        <w:t xml:space="preserve"> </w:t>
      </w:r>
    </w:p>
    <w:p w14:paraId="361E867B" w14:textId="27F388FA" w:rsidR="00404379" w:rsidRPr="001F52A8" w:rsidRDefault="00EE4B2F" w:rsidP="00522156">
      <w:pPr>
        <w:rPr>
          <w:rFonts w:cstheme="minorHAnsi"/>
        </w:rPr>
      </w:pPr>
      <w:r w:rsidRPr="001F52A8">
        <w:rPr>
          <w:rFonts w:cstheme="minorHAnsi"/>
        </w:rPr>
        <w:t xml:space="preserve">The story </w:t>
      </w:r>
      <w:r w:rsidR="00671685" w:rsidRPr="001F52A8">
        <w:rPr>
          <w:rFonts w:cstheme="minorHAnsi"/>
        </w:rPr>
        <w:t xml:space="preserve">ends </w:t>
      </w:r>
      <w:r w:rsidR="00032B3F">
        <w:rPr>
          <w:rFonts w:cstheme="minorHAnsi"/>
        </w:rPr>
        <w:t xml:space="preserve">amusingly </w:t>
      </w:r>
      <w:r w:rsidR="00671685" w:rsidRPr="001F52A8">
        <w:rPr>
          <w:rFonts w:cstheme="minorHAnsi"/>
        </w:rPr>
        <w:t>with</w:t>
      </w:r>
      <w:r w:rsidRPr="001F52A8">
        <w:rPr>
          <w:rFonts w:cstheme="minorHAnsi"/>
        </w:rPr>
        <w:t xml:space="preserve"> </w:t>
      </w:r>
      <w:r w:rsidR="000B5873">
        <w:rPr>
          <w:rFonts w:cstheme="minorHAnsi"/>
        </w:rPr>
        <w:t>David</w:t>
      </w:r>
      <w:r w:rsidRPr="001F52A8">
        <w:rPr>
          <w:rFonts w:cstheme="minorHAnsi"/>
        </w:rPr>
        <w:t xml:space="preserve"> depositing Goliath’s head </w:t>
      </w:r>
      <w:r w:rsidR="00671685" w:rsidRPr="001F52A8">
        <w:rPr>
          <w:rFonts w:cstheme="minorHAnsi"/>
        </w:rPr>
        <w:t xml:space="preserve">in Jerusalem </w:t>
      </w:r>
      <w:r w:rsidRPr="001F52A8">
        <w:rPr>
          <w:rFonts w:cstheme="minorHAnsi"/>
        </w:rPr>
        <w:t xml:space="preserve">(17:54) – anachronistically or anticipatorily, as he hasn’t captured Jerusalem yet. </w:t>
      </w:r>
      <w:r w:rsidR="00671685" w:rsidRPr="001F52A8">
        <w:rPr>
          <w:rFonts w:cstheme="minorHAnsi"/>
        </w:rPr>
        <w:t xml:space="preserve">But </w:t>
      </w:r>
      <w:r w:rsidR="00522156" w:rsidRPr="001F52A8">
        <w:rPr>
          <w:rFonts w:cstheme="minorHAnsi"/>
        </w:rPr>
        <w:t xml:space="preserve">David’s theological declarations addressed to Goliath are </w:t>
      </w:r>
      <w:r w:rsidR="00F064DC">
        <w:rPr>
          <w:rFonts w:cstheme="minorHAnsi"/>
        </w:rPr>
        <w:t>meant to be heard in</w:t>
      </w:r>
      <w:r w:rsidR="00522156" w:rsidRPr="001F52A8">
        <w:rPr>
          <w:rFonts w:cstheme="minorHAnsi"/>
        </w:rPr>
        <w:t xml:space="preserve"> Jerusalem. </w:t>
      </w:r>
      <w:r w:rsidR="004E7956" w:rsidRPr="001F52A8">
        <w:rPr>
          <w:rFonts w:cstheme="minorHAnsi"/>
        </w:rPr>
        <w:t xml:space="preserve">Yahweh of Armies is the God </w:t>
      </w:r>
      <w:r w:rsidR="004D52FE" w:rsidRPr="001F52A8">
        <w:rPr>
          <w:rFonts w:cstheme="minorHAnsi"/>
        </w:rPr>
        <w:t xml:space="preserve">worshiped </w:t>
      </w:r>
      <w:r w:rsidR="00F064DC">
        <w:rPr>
          <w:rFonts w:cstheme="minorHAnsi"/>
        </w:rPr>
        <w:t>there</w:t>
      </w:r>
      <w:r w:rsidR="00321D83" w:rsidRPr="001F52A8">
        <w:rPr>
          <w:rFonts w:cstheme="minorHAnsi"/>
        </w:rPr>
        <w:t xml:space="preserve"> (e.g., Ps 46:7, 11 [8, 12]; 48:</w:t>
      </w:r>
      <w:r w:rsidR="00197917" w:rsidRPr="001F52A8">
        <w:rPr>
          <w:rFonts w:cstheme="minorHAnsi"/>
        </w:rPr>
        <w:t xml:space="preserve">8 [9]). </w:t>
      </w:r>
      <w:r w:rsidR="00767AE2">
        <w:rPr>
          <w:rFonts w:cstheme="minorHAnsi"/>
          <w:color w:val="222222"/>
        </w:rPr>
        <w:t>T</w:t>
      </w:r>
      <w:r w:rsidR="00767AE2" w:rsidRPr="001F52A8">
        <w:rPr>
          <w:rFonts w:cstheme="minorHAnsi"/>
        </w:rPr>
        <w:t xml:space="preserve">he </w:t>
      </w:r>
      <w:r w:rsidR="00767AE2">
        <w:rPr>
          <w:rFonts w:cstheme="minorHAnsi"/>
        </w:rPr>
        <w:t xml:space="preserve">object of </w:t>
      </w:r>
      <w:r w:rsidR="00761E59">
        <w:rPr>
          <w:rFonts w:cstheme="minorHAnsi"/>
        </w:rPr>
        <w:t>David’s</w:t>
      </w:r>
      <w:r w:rsidR="00767AE2">
        <w:rPr>
          <w:rFonts w:cstheme="minorHAnsi"/>
        </w:rPr>
        <w:t xml:space="preserve"> </w:t>
      </w:r>
      <w:r w:rsidR="00767AE2" w:rsidRPr="001F52A8">
        <w:rPr>
          <w:rFonts w:cstheme="minorHAnsi"/>
        </w:rPr>
        <w:t xml:space="preserve">victory will </w:t>
      </w:r>
      <w:r w:rsidR="00767AE2">
        <w:rPr>
          <w:rFonts w:cstheme="minorHAnsi"/>
        </w:rPr>
        <w:t>be</w:t>
      </w:r>
      <w:r w:rsidR="00767AE2" w:rsidRPr="001F52A8">
        <w:rPr>
          <w:rFonts w:cstheme="minorHAnsi"/>
        </w:rPr>
        <w:t xml:space="preserve"> that “all the earth may acknowledge that Israel has a God, and that this entire congregation may acknowledge that it is not by sword or by spear that Yahweh delivers” (17:47).</w:t>
      </w:r>
      <w:r w:rsidR="00767AE2">
        <w:rPr>
          <w:rFonts w:cstheme="minorHAnsi"/>
        </w:rPr>
        <w:t xml:space="preserve"> </w:t>
      </w:r>
      <w:r w:rsidR="00592FBB" w:rsidRPr="001F52A8">
        <w:rPr>
          <w:rFonts w:cstheme="minorHAnsi"/>
        </w:rPr>
        <w:t xml:space="preserve">While </w:t>
      </w:r>
      <w:r w:rsidR="00CD4A0E" w:rsidRPr="001F52A8">
        <w:rPr>
          <w:rFonts w:cstheme="minorHAnsi"/>
        </w:rPr>
        <w:t xml:space="preserve">the word “congregation” </w:t>
      </w:r>
      <w:r w:rsidR="00D33883" w:rsidRPr="001F52A8">
        <w:rPr>
          <w:rFonts w:cstheme="minorHAnsi"/>
        </w:rPr>
        <w:t>(</w:t>
      </w:r>
      <w:r w:rsidR="00D33883" w:rsidRPr="001F52A8">
        <w:rPr>
          <w:rFonts w:cstheme="minorHAnsi"/>
          <w:i/>
          <w:iCs/>
        </w:rPr>
        <w:t>qāhāl</w:t>
      </w:r>
      <w:r w:rsidR="00D33883" w:rsidRPr="001F52A8">
        <w:rPr>
          <w:rFonts w:cstheme="minorHAnsi"/>
        </w:rPr>
        <w:t>)</w:t>
      </w:r>
      <w:r w:rsidR="00D33883" w:rsidRPr="001F52A8">
        <w:rPr>
          <w:rFonts w:cstheme="minorHAnsi"/>
          <w:i/>
          <w:iCs/>
        </w:rPr>
        <w:t xml:space="preserve"> </w:t>
      </w:r>
      <w:r w:rsidR="00CD4A0E" w:rsidRPr="001F52A8">
        <w:rPr>
          <w:rFonts w:cstheme="minorHAnsi"/>
        </w:rPr>
        <w:t xml:space="preserve">can denote </w:t>
      </w:r>
      <w:r w:rsidR="00705EC0" w:rsidRPr="001F52A8">
        <w:rPr>
          <w:rFonts w:cstheme="minorHAnsi"/>
        </w:rPr>
        <w:t xml:space="preserve">an </w:t>
      </w:r>
      <w:r w:rsidR="00CD4A0E" w:rsidRPr="001F52A8">
        <w:rPr>
          <w:rFonts w:cstheme="minorHAnsi"/>
        </w:rPr>
        <w:t>“assembly” in a looser sense</w:t>
      </w:r>
      <w:r w:rsidR="003F65AB" w:rsidRPr="001F52A8">
        <w:rPr>
          <w:rFonts w:cstheme="minorHAnsi"/>
        </w:rPr>
        <w:t xml:space="preserve"> (</w:t>
      </w:r>
      <w:r w:rsidR="00125B9D" w:rsidRPr="001F52A8">
        <w:rPr>
          <w:rFonts w:cstheme="minorHAnsi"/>
        </w:rPr>
        <w:t>e.g., 1 Kgs 12:</w:t>
      </w:r>
      <w:r w:rsidR="00D33883" w:rsidRPr="001F52A8">
        <w:rPr>
          <w:rFonts w:cstheme="minorHAnsi"/>
        </w:rPr>
        <w:t xml:space="preserve">3), the only other occurrences of the word in </w:t>
      </w:r>
      <w:r w:rsidR="00D33883" w:rsidRPr="001F52A8">
        <w:rPr>
          <w:rFonts w:cstheme="minorHAnsi"/>
        </w:rPr>
        <w:lastRenderedPageBreak/>
        <w:t>Samuel-Kings</w:t>
      </w:r>
      <w:r w:rsidR="00415EE7" w:rsidRPr="001F52A8">
        <w:rPr>
          <w:rFonts w:cstheme="minorHAnsi"/>
        </w:rPr>
        <w:t xml:space="preserve"> </w:t>
      </w:r>
      <w:r w:rsidR="00E14767" w:rsidRPr="001F52A8">
        <w:rPr>
          <w:rFonts w:cstheme="minorHAnsi"/>
        </w:rPr>
        <w:t>denote the people assembled in the temple</w:t>
      </w:r>
      <w:r w:rsidR="00B353C3">
        <w:rPr>
          <w:rFonts w:cstheme="minorHAnsi"/>
        </w:rPr>
        <w:t xml:space="preserve"> in Jerusalem, w</w:t>
      </w:r>
      <w:r w:rsidR="005142FB" w:rsidRPr="001F52A8">
        <w:rPr>
          <w:rFonts w:cstheme="minorHAnsi"/>
        </w:rPr>
        <w:t xml:space="preserve">here Solomon is concerned “that all the peoples of the earth may acknowledge </w:t>
      </w:r>
      <w:r w:rsidR="00EF1221" w:rsidRPr="001F52A8">
        <w:rPr>
          <w:rFonts w:cstheme="minorHAnsi"/>
        </w:rPr>
        <w:t>that Yahweh is God</w:t>
      </w:r>
      <w:r w:rsidR="00FB6FFF" w:rsidRPr="001F52A8">
        <w:rPr>
          <w:rFonts w:cstheme="minorHAnsi"/>
        </w:rPr>
        <w:t>”</w:t>
      </w:r>
      <w:r w:rsidR="00EF1221" w:rsidRPr="001F52A8">
        <w:rPr>
          <w:rFonts w:cstheme="minorHAnsi"/>
        </w:rPr>
        <w:t xml:space="preserve"> (1 Kgs 8:60</w:t>
      </w:r>
      <w:r w:rsidR="00FB6FFF" w:rsidRPr="001F52A8">
        <w:rPr>
          <w:rFonts w:cstheme="minorHAnsi"/>
        </w:rPr>
        <w:t>)</w:t>
      </w:r>
      <w:r w:rsidR="00AD66DE" w:rsidRPr="001F52A8">
        <w:rPr>
          <w:rFonts w:cstheme="minorHAnsi"/>
        </w:rPr>
        <w:t>. L</w:t>
      </w:r>
      <w:r w:rsidR="004055AA" w:rsidRPr="001F52A8">
        <w:rPr>
          <w:rFonts w:cstheme="minorHAnsi"/>
        </w:rPr>
        <w:t>ikewise Hezekiah, when Jerusalem is under pressure from the Assyrians</w:t>
      </w:r>
      <w:r w:rsidR="00D47593" w:rsidRPr="001F52A8">
        <w:rPr>
          <w:rFonts w:cstheme="minorHAnsi"/>
        </w:rPr>
        <w:t xml:space="preserve"> and they </w:t>
      </w:r>
      <w:r w:rsidR="00024519" w:rsidRPr="001F52A8">
        <w:rPr>
          <w:rFonts w:cstheme="minorHAnsi"/>
        </w:rPr>
        <w:t>have</w:t>
      </w:r>
      <w:r w:rsidR="00D47593" w:rsidRPr="001F52A8">
        <w:rPr>
          <w:rFonts w:cstheme="minorHAnsi"/>
        </w:rPr>
        <w:t xml:space="preserve"> </w:t>
      </w:r>
      <w:r w:rsidR="00024519" w:rsidRPr="001F52A8">
        <w:rPr>
          <w:rFonts w:cstheme="minorHAnsi"/>
        </w:rPr>
        <w:t>“</w:t>
      </w:r>
      <w:r w:rsidR="00D47593" w:rsidRPr="001F52A8">
        <w:rPr>
          <w:rFonts w:cstheme="minorHAnsi"/>
        </w:rPr>
        <w:t>taunt</w:t>
      </w:r>
      <w:r w:rsidR="00024519" w:rsidRPr="001F52A8">
        <w:rPr>
          <w:rFonts w:cstheme="minorHAnsi"/>
        </w:rPr>
        <w:t>ed”</w:t>
      </w:r>
      <w:r w:rsidR="00D47593" w:rsidRPr="001F52A8">
        <w:rPr>
          <w:rFonts w:cstheme="minorHAnsi"/>
        </w:rPr>
        <w:t xml:space="preserve"> </w:t>
      </w:r>
      <w:r w:rsidR="00883FEB" w:rsidRPr="001F52A8">
        <w:rPr>
          <w:rFonts w:cstheme="minorHAnsi"/>
        </w:rPr>
        <w:t>Yahweh,</w:t>
      </w:r>
      <w:r w:rsidR="004055AA" w:rsidRPr="001F52A8">
        <w:rPr>
          <w:rFonts w:cstheme="minorHAnsi"/>
        </w:rPr>
        <w:t xml:space="preserve"> </w:t>
      </w:r>
      <w:r w:rsidR="00343D7A" w:rsidRPr="001F52A8">
        <w:rPr>
          <w:rFonts w:cstheme="minorHAnsi"/>
        </w:rPr>
        <w:t xml:space="preserve">bids Yahweh to act “so that all the kingdoms of the earth may acknowledge </w:t>
      </w:r>
      <w:r w:rsidR="00190FD3" w:rsidRPr="001F52A8">
        <w:rPr>
          <w:rFonts w:cstheme="minorHAnsi"/>
        </w:rPr>
        <w:t>that you, Yahweh, are God alone” (2 Kgs 19:19</w:t>
      </w:r>
      <w:r w:rsidR="00883FEB" w:rsidRPr="001F52A8">
        <w:rPr>
          <w:rFonts w:cstheme="minorHAnsi"/>
        </w:rPr>
        <w:t>, 2</w:t>
      </w:r>
      <w:r w:rsidR="00765117" w:rsidRPr="001F52A8">
        <w:rPr>
          <w:rFonts w:cstheme="minorHAnsi"/>
        </w:rPr>
        <w:t>2</w:t>
      </w:r>
      <w:r w:rsidR="00190FD3" w:rsidRPr="001F52A8">
        <w:rPr>
          <w:rFonts w:cstheme="minorHAnsi"/>
        </w:rPr>
        <w:t>).</w:t>
      </w:r>
      <w:r w:rsidR="007A76DF" w:rsidRPr="001F52A8">
        <w:rPr>
          <w:rFonts w:cstheme="minorHAnsi"/>
        </w:rPr>
        <w:t xml:space="preserve"> </w:t>
      </w:r>
      <w:r w:rsidR="001E51F3" w:rsidRPr="001F52A8">
        <w:rPr>
          <w:rFonts w:cstheme="minorHAnsi"/>
        </w:rPr>
        <w:t>A</w:t>
      </w:r>
      <w:r w:rsidR="007A76DF" w:rsidRPr="001F52A8">
        <w:rPr>
          <w:rFonts w:cstheme="minorHAnsi"/>
        </w:rPr>
        <w:t xml:space="preserve">ll the earth </w:t>
      </w:r>
      <w:r w:rsidR="001E51F3" w:rsidRPr="001F52A8">
        <w:rPr>
          <w:rFonts w:cstheme="minorHAnsi"/>
        </w:rPr>
        <w:t xml:space="preserve">needs </w:t>
      </w:r>
      <w:r w:rsidR="007A76DF" w:rsidRPr="001F52A8">
        <w:rPr>
          <w:rFonts w:cstheme="minorHAnsi"/>
        </w:rPr>
        <w:t xml:space="preserve">to acknowledge it, </w:t>
      </w:r>
      <w:r w:rsidR="005C6CEF" w:rsidRPr="001F52A8">
        <w:rPr>
          <w:rFonts w:cstheme="minorHAnsi"/>
        </w:rPr>
        <w:t xml:space="preserve">but “this congregation” </w:t>
      </w:r>
      <w:r w:rsidR="00F02C7C" w:rsidRPr="001F52A8">
        <w:rPr>
          <w:rFonts w:cstheme="minorHAnsi"/>
        </w:rPr>
        <w:t xml:space="preserve">needs </w:t>
      </w:r>
      <w:r w:rsidR="005C6CEF" w:rsidRPr="001F52A8">
        <w:rPr>
          <w:rFonts w:cstheme="minorHAnsi"/>
        </w:rPr>
        <w:t xml:space="preserve">to acknowledge </w:t>
      </w:r>
      <w:r w:rsidR="00076FF7" w:rsidRPr="001F52A8">
        <w:rPr>
          <w:rFonts w:cstheme="minorHAnsi"/>
        </w:rPr>
        <w:t xml:space="preserve">that Yahweh is the one who </w:t>
      </w:r>
      <w:r w:rsidR="00540EF9" w:rsidRPr="001F52A8">
        <w:rPr>
          <w:rFonts w:cstheme="minorHAnsi"/>
        </w:rPr>
        <w:t>“</w:t>
      </w:r>
      <w:r w:rsidR="00076FF7" w:rsidRPr="001F52A8">
        <w:rPr>
          <w:rFonts w:cstheme="minorHAnsi"/>
        </w:rPr>
        <w:t>delivers</w:t>
      </w:r>
      <w:r w:rsidR="001B45EA">
        <w:rPr>
          <w:rFonts w:cstheme="minorHAnsi"/>
        </w:rPr>
        <w:t>,</w:t>
      </w:r>
      <w:r w:rsidR="00540EF9" w:rsidRPr="001F52A8">
        <w:rPr>
          <w:rFonts w:cstheme="minorHAnsi"/>
        </w:rPr>
        <w:t>”</w:t>
      </w:r>
      <w:r w:rsidR="00076FF7" w:rsidRPr="001F52A8">
        <w:rPr>
          <w:rFonts w:cstheme="minorHAnsi"/>
        </w:rPr>
        <w:t xml:space="preserve"> that it is not by mean</w:t>
      </w:r>
      <w:r w:rsidR="00EC4806" w:rsidRPr="001F52A8">
        <w:rPr>
          <w:rFonts w:cstheme="minorHAnsi"/>
        </w:rPr>
        <w:t>s</w:t>
      </w:r>
      <w:r w:rsidR="00076FF7" w:rsidRPr="001F52A8">
        <w:rPr>
          <w:rFonts w:cstheme="minorHAnsi"/>
        </w:rPr>
        <w:t xml:space="preserve"> of </w:t>
      </w:r>
      <w:r w:rsidR="00EC4806" w:rsidRPr="001F52A8">
        <w:rPr>
          <w:rFonts w:cstheme="minorHAnsi"/>
        </w:rPr>
        <w:t>bow and sword that deliverance comes</w:t>
      </w:r>
      <w:r w:rsidR="00061CB1" w:rsidRPr="001F52A8">
        <w:rPr>
          <w:rFonts w:cstheme="minorHAnsi"/>
        </w:rPr>
        <w:t>,</w:t>
      </w:r>
      <w:r w:rsidR="00EC4806" w:rsidRPr="001F52A8">
        <w:rPr>
          <w:rFonts w:cstheme="minorHAnsi"/>
        </w:rPr>
        <w:t xml:space="preserve"> </w:t>
      </w:r>
      <w:r w:rsidR="00C126D5" w:rsidRPr="001F52A8">
        <w:rPr>
          <w:rFonts w:cstheme="minorHAnsi"/>
        </w:rPr>
        <w:t xml:space="preserve">and that it is </w:t>
      </w:r>
      <w:r w:rsidR="00061CB1" w:rsidRPr="001F52A8">
        <w:rPr>
          <w:rFonts w:cstheme="minorHAnsi"/>
        </w:rPr>
        <w:t xml:space="preserve">with his name that </w:t>
      </w:r>
      <w:r w:rsidR="00857A16" w:rsidRPr="001F52A8">
        <w:rPr>
          <w:rFonts w:cstheme="minorHAnsi"/>
        </w:rPr>
        <w:t xml:space="preserve">it treads down its adversaries </w:t>
      </w:r>
      <w:r w:rsidR="00EC4806" w:rsidRPr="001F52A8">
        <w:rPr>
          <w:rFonts w:cstheme="minorHAnsi"/>
        </w:rPr>
        <w:t>(Ps 44:</w:t>
      </w:r>
      <w:r w:rsidR="00CD4221" w:rsidRPr="001F52A8">
        <w:rPr>
          <w:rFonts w:cstheme="minorHAnsi"/>
        </w:rPr>
        <w:t>3</w:t>
      </w:r>
      <w:r w:rsidR="00EC4806" w:rsidRPr="001F52A8">
        <w:rPr>
          <w:rFonts w:cstheme="minorHAnsi"/>
        </w:rPr>
        <w:t>-7 [</w:t>
      </w:r>
      <w:r w:rsidR="00CD4221" w:rsidRPr="001F52A8">
        <w:rPr>
          <w:rFonts w:cstheme="minorHAnsi"/>
        </w:rPr>
        <w:t>4</w:t>
      </w:r>
      <w:r w:rsidR="00EC4806" w:rsidRPr="001F52A8">
        <w:rPr>
          <w:rFonts w:cstheme="minorHAnsi"/>
        </w:rPr>
        <w:t>-8]).</w:t>
      </w:r>
      <w:r w:rsidR="008C15F6" w:rsidRPr="001F52A8">
        <w:rPr>
          <w:rFonts w:cstheme="minorHAnsi"/>
        </w:rPr>
        <w:t xml:space="preserve"> </w:t>
      </w:r>
      <w:r w:rsidR="00404379" w:rsidRPr="001F52A8">
        <w:rPr>
          <w:rFonts w:cstheme="minorHAnsi"/>
        </w:rPr>
        <w:t xml:space="preserve">It is as </w:t>
      </w:r>
      <w:r w:rsidR="000E7164" w:rsidRPr="001F52A8">
        <w:rPr>
          <w:rFonts w:cstheme="minorHAnsi"/>
        </w:rPr>
        <w:t>Yahweh</w:t>
      </w:r>
      <w:r w:rsidR="00404379" w:rsidRPr="001F52A8">
        <w:rPr>
          <w:rFonts w:cstheme="minorHAnsi"/>
        </w:rPr>
        <w:t xml:space="preserve"> </w:t>
      </w:r>
      <w:r w:rsidR="00AD1478" w:rsidRPr="001F52A8">
        <w:rPr>
          <w:rFonts w:cstheme="minorHAnsi"/>
        </w:rPr>
        <w:t xml:space="preserve">breaks bow and spear that he makes battles </w:t>
      </w:r>
      <w:r w:rsidR="00EF391B" w:rsidRPr="001F52A8">
        <w:rPr>
          <w:rFonts w:cstheme="minorHAnsi"/>
        </w:rPr>
        <w:t xml:space="preserve">cease to the end of the earth (Ps </w:t>
      </w:r>
      <w:r w:rsidR="00CB4220" w:rsidRPr="001F52A8">
        <w:rPr>
          <w:rFonts w:cstheme="minorHAnsi"/>
        </w:rPr>
        <w:t xml:space="preserve">46:9 [10]). </w:t>
      </w:r>
    </w:p>
    <w:p w14:paraId="1C4F5E67" w14:textId="77777777" w:rsidR="00930EEB" w:rsidRPr="001F52A8" w:rsidRDefault="00930EEB" w:rsidP="000B0A0F">
      <w:pPr>
        <w:pStyle w:val="Heading2"/>
      </w:pPr>
      <w:r w:rsidRPr="001F52A8">
        <w:t>The Royal Family</w:t>
      </w:r>
    </w:p>
    <w:p w14:paraId="2BE54539" w14:textId="37CECA46" w:rsidR="00930EEB" w:rsidRPr="001F52A8" w:rsidRDefault="00930EEB" w:rsidP="00930EEB">
      <w:r w:rsidRPr="001F52A8">
        <w:t>Samuel began as the story of an ordinary family. It had its tension</w:t>
      </w:r>
      <w:r w:rsidR="00334392">
        <w:t>s</w:t>
      </w:r>
      <w:r w:rsidRPr="001F52A8">
        <w:t xml:space="preserve"> and suffering but it worshiped and flourished. The same was true of the families of Kish and of Jesse. </w:t>
      </w:r>
      <w:r w:rsidR="004F782C" w:rsidRPr="001F52A8">
        <w:t xml:space="preserve">David now becomes a member of Saul’s family, his </w:t>
      </w:r>
      <w:r w:rsidR="006A0384" w:rsidRPr="001F52A8">
        <w:t xml:space="preserve">adoptive </w:t>
      </w:r>
      <w:r w:rsidR="004F782C" w:rsidRPr="001F52A8">
        <w:t>son</w:t>
      </w:r>
      <w:r w:rsidR="0052321E" w:rsidRPr="001F52A8">
        <w:t xml:space="preserve"> and Jonathan’s </w:t>
      </w:r>
      <w:r w:rsidR="006A0384" w:rsidRPr="001F52A8">
        <w:t xml:space="preserve">adoptive </w:t>
      </w:r>
      <w:r w:rsidR="0052321E" w:rsidRPr="001F52A8">
        <w:t>brother</w:t>
      </w:r>
      <w:r w:rsidR="006A0384" w:rsidRPr="001F52A8">
        <w:t>.</w:t>
      </w:r>
      <w:r w:rsidR="006A0384" w:rsidRPr="001F52A8">
        <w:rPr>
          <w:rStyle w:val="FootnoteReference"/>
        </w:rPr>
        <w:footnoteReference w:id="197"/>
      </w:r>
      <w:r w:rsidR="00FE36C8" w:rsidRPr="001F52A8">
        <w:t xml:space="preserve"> </w:t>
      </w:r>
      <w:r w:rsidR="00BA1196" w:rsidRPr="001F52A8">
        <w:t>David and Saul address each other</w:t>
      </w:r>
      <w:r w:rsidR="00D47111" w:rsidRPr="001F52A8">
        <w:t xml:space="preserve"> </w:t>
      </w:r>
      <w:r w:rsidR="00BA1196" w:rsidRPr="001F52A8">
        <w:t>as “father</w:t>
      </w:r>
      <w:r w:rsidR="00D47111" w:rsidRPr="001F52A8">
        <w:t>” and son” even in 24:</w:t>
      </w:r>
      <w:r w:rsidR="001A6CC1" w:rsidRPr="001F52A8">
        <w:t>11, 16 [12, 17]).</w:t>
      </w:r>
      <w:r w:rsidR="00FB68EC">
        <w:t xml:space="preserve"> But </w:t>
      </w:r>
      <w:r w:rsidRPr="001F52A8">
        <w:t xml:space="preserve">Saul’s family </w:t>
      </w:r>
      <w:r w:rsidR="00F370A4">
        <w:t xml:space="preserve">story </w:t>
      </w:r>
      <w:r w:rsidRPr="001F52A8">
        <w:t>is almost relentlessly gloomy</w:t>
      </w:r>
      <w:r w:rsidR="00200DF8">
        <w:t>. It is</w:t>
      </w:r>
      <w:r w:rsidRPr="001F52A8">
        <w:t xml:space="preserve"> more like a mafia family, like the Sopranos’ family.</w:t>
      </w:r>
      <w:r w:rsidRPr="001F52A8">
        <w:rPr>
          <w:rStyle w:val="FootnoteReference"/>
        </w:rPr>
        <w:footnoteReference w:id="198"/>
      </w:r>
      <w:r w:rsidRPr="001F52A8">
        <w:t xml:space="preserve"> </w:t>
      </w:r>
      <w:r w:rsidR="00200DF8" w:rsidRPr="001F52A8">
        <w:t>David’s family will not be an improvement</w:t>
      </w:r>
      <w:r w:rsidR="00200DF8">
        <w:t>.</w:t>
      </w:r>
      <w:r w:rsidR="00200DF8" w:rsidRPr="001F52A8">
        <w:t xml:space="preserve"> </w:t>
      </w:r>
      <w:r w:rsidRPr="001F52A8">
        <w:t>Such grimness</w:t>
      </w:r>
      <w:r w:rsidR="00200DF8">
        <w:t>,</w:t>
      </w:r>
      <w:r w:rsidRPr="001F52A8">
        <w:t xml:space="preserve"> misfortune</w:t>
      </w:r>
      <w:r w:rsidR="00200DF8">
        <w:t>,</w:t>
      </w:r>
      <w:r w:rsidRPr="001F52A8">
        <w:t xml:space="preserve"> and sadness can issue from the weaknesses of the head of the family, combined with the pressures and temptations of power and responsibility. Let no readers wish they were in positions of power. Let them hide like Saul, or decline the opportunity to leave the sheep so as to come to a prophetic dinner, as David did not. The trouble is</w:t>
      </w:r>
      <w:r w:rsidR="00C141BA">
        <w:t xml:space="preserve"> that</w:t>
      </w:r>
      <w:r w:rsidRPr="001F52A8">
        <w:t xml:space="preserve"> the people in the Scriptures who seek to evade God’s summons find they cannot. When a person therefore fails to evade responsibility, let </w:t>
      </w:r>
      <w:r w:rsidR="00542E75">
        <w:t>them</w:t>
      </w:r>
      <w:r w:rsidRPr="001F52A8">
        <w:t xml:space="preserve"> not leave go of a Samuel and a Nathan, and let God not leave go of them.</w:t>
      </w:r>
    </w:p>
    <w:p w14:paraId="540C9508" w14:textId="2F371608" w:rsidR="00930EEB" w:rsidRPr="001F52A8" w:rsidRDefault="00930EEB" w:rsidP="00F426AD">
      <w:pPr>
        <w:rPr>
          <w:rFonts w:ascii="Calibri" w:hAnsi="Calibri" w:cs="Calibri"/>
          <w:color w:val="222222"/>
          <w:sz w:val="20"/>
          <w:szCs w:val="20"/>
        </w:rPr>
      </w:pPr>
      <w:r w:rsidRPr="001F52A8">
        <w:t>When David joins Saul’s court, Saul loves him (16:21). Admittedly the translation is uncertain. While Samuel may refer to the king being fond of the young man,</w:t>
      </w:r>
      <w:r w:rsidRPr="001F52A8">
        <w:rPr>
          <w:rFonts w:ascii="Calibri" w:hAnsi="Calibri" w:cs="Calibri"/>
        </w:rPr>
        <w:t xml:space="preserve"> the words for love (</w:t>
      </w:r>
      <w:r w:rsidRPr="001F52A8">
        <w:rPr>
          <w:i/>
          <w:iCs/>
        </w:rPr>
        <w:t>’</w:t>
      </w:r>
      <w:r w:rsidRPr="001F52A8">
        <w:rPr>
          <w:rFonts w:cstheme="minorHAnsi"/>
          <w:i/>
          <w:iCs/>
        </w:rPr>
        <w:t>āhēb</w:t>
      </w:r>
      <w:r w:rsidRPr="001F52A8">
        <w:rPr>
          <w:rFonts w:cstheme="minorHAnsi"/>
        </w:rPr>
        <w:t xml:space="preserve">, </w:t>
      </w:r>
      <w:r w:rsidRPr="001F52A8">
        <w:rPr>
          <w:rFonts w:cstheme="minorHAnsi"/>
          <w:i/>
          <w:iCs/>
        </w:rPr>
        <w:t>’ăhēbâ</w:t>
      </w:r>
      <w:r w:rsidRPr="001F52A8">
        <w:rPr>
          <w:rFonts w:cstheme="minorHAnsi"/>
        </w:rPr>
        <w:t xml:space="preserve">) are also political words. Hiram’s “love” for David (1 Kgs 5:1 [15]) </w:t>
      </w:r>
      <w:r w:rsidR="00542E75">
        <w:rPr>
          <w:rFonts w:cstheme="minorHAnsi"/>
        </w:rPr>
        <w:t>meant</w:t>
      </w:r>
      <w:r w:rsidRPr="001F52A8">
        <w:rPr>
          <w:rFonts w:cstheme="minorHAnsi"/>
        </w:rPr>
        <w:t xml:space="preserve"> he “was loyal to” David (C</w:t>
      </w:r>
      <w:r w:rsidR="00317FB4">
        <w:rPr>
          <w:rFonts w:cstheme="minorHAnsi"/>
        </w:rPr>
        <w:t>EB</w:t>
      </w:r>
      <w:r w:rsidRPr="001F52A8">
        <w:rPr>
          <w:rFonts w:cstheme="minorHAnsi"/>
        </w:rPr>
        <w:t>)</w:t>
      </w:r>
      <w:r w:rsidR="00233793">
        <w:rPr>
          <w:rFonts w:cstheme="minorHAnsi"/>
        </w:rPr>
        <w:t>.</w:t>
      </w:r>
      <w:r w:rsidRPr="001F52A8">
        <w:rPr>
          <w:rFonts w:cstheme="minorHAnsi"/>
        </w:rPr>
        <w:t xml:space="preserve"> Jerusalem’s “lovers” (Lam 1:2) were her allies or friends. Maybe this narrative </w:t>
      </w:r>
      <w:r w:rsidR="00F96594">
        <w:rPr>
          <w:rFonts w:cstheme="minorHAnsi"/>
        </w:rPr>
        <w:t>implies</w:t>
      </w:r>
      <w:r w:rsidRPr="001F52A8">
        <w:rPr>
          <w:rFonts w:cstheme="minorHAnsi"/>
        </w:rPr>
        <w:t xml:space="preserve"> a form of political commitment on Saul’s part.</w:t>
      </w:r>
      <w:r w:rsidRPr="001F52A8">
        <w:rPr>
          <w:rStyle w:val="FootnoteReference"/>
        </w:rPr>
        <w:footnoteReference w:id="199"/>
      </w:r>
      <w:r w:rsidR="00ED4F7B">
        <w:rPr>
          <w:rFonts w:cstheme="minorHAnsi"/>
        </w:rPr>
        <w:t xml:space="preserve"> </w:t>
      </w:r>
      <w:r w:rsidRPr="001F52A8">
        <w:rPr>
          <w:rFonts w:cstheme="minorHAnsi"/>
        </w:rPr>
        <w:t>But on any understanding of love, the reference to Saul’s love will turn out to be an irony when Saul is trying to get David killed. Love turns to envy, resentment, fear, and anger (1</w:t>
      </w:r>
      <w:r w:rsidRPr="001F52A8">
        <w:t xml:space="preserve">8:8, 12, 15, 29; 20:30). </w:t>
      </w:r>
      <w:r w:rsidRPr="001F52A8">
        <w:rPr>
          <w:rFonts w:cstheme="minorHAnsi"/>
        </w:rPr>
        <w:t>“What an</w:t>
      </w:r>
      <w:r w:rsidRPr="001F52A8">
        <w:t xml:space="preserve"> </w:t>
      </w:r>
      <w:r w:rsidRPr="001F52A8">
        <w:rPr>
          <w:rFonts w:cstheme="minorHAnsi"/>
        </w:rPr>
        <w:t>extraordinary degree of frenzy! What excess of</w:t>
      </w:r>
      <w:r w:rsidRPr="001F52A8">
        <w:t xml:space="preserve"> </w:t>
      </w:r>
      <w:r w:rsidRPr="001F52A8">
        <w:rPr>
          <w:rFonts w:cstheme="minorHAnsi"/>
        </w:rPr>
        <w:t>madness,” John Chrysostom comments. “For envy</w:t>
      </w:r>
      <w:r w:rsidRPr="001F52A8">
        <w:t xml:space="preserve"> </w:t>
      </w:r>
      <w:r w:rsidRPr="001F52A8">
        <w:rPr>
          <w:rFonts w:cstheme="minorHAnsi"/>
        </w:rPr>
        <w:t>is a fearful, a fearful thing, and persuades men</w:t>
      </w:r>
      <w:r w:rsidRPr="001F52A8">
        <w:t xml:space="preserve"> </w:t>
      </w:r>
      <w:r w:rsidRPr="001F52A8">
        <w:rPr>
          <w:rFonts w:cstheme="minorHAnsi"/>
        </w:rPr>
        <w:t>to despise their own salvation.”</w:t>
      </w:r>
      <w:r w:rsidRPr="001F52A8">
        <w:rPr>
          <w:rStyle w:val="FootnoteReference"/>
          <w:rFonts w:cstheme="minorHAnsi"/>
        </w:rPr>
        <w:footnoteReference w:id="200"/>
      </w:r>
      <w:r w:rsidRPr="001F52A8">
        <w:rPr>
          <w:rFonts w:cstheme="minorHAnsi"/>
        </w:rPr>
        <w:t xml:space="preserve"> </w:t>
      </w:r>
      <w:r w:rsidRPr="001F52A8">
        <w:t xml:space="preserve">The anger extends to his own son, an anger that expresses itself in </w:t>
      </w:r>
      <w:r w:rsidR="00052015" w:rsidRPr="001F52A8">
        <w:t>a shaming of Jonathan</w:t>
      </w:r>
      <w:r w:rsidR="0055372A" w:rsidRPr="001F52A8">
        <w:t xml:space="preserve"> </w:t>
      </w:r>
      <w:r w:rsidR="00052015" w:rsidRPr="001F52A8">
        <w:t xml:space="preserve">and </w:t>
      </w:r>
      <w:r w:rsidRPr="001F52A8">
        <w:t xml:space="preserve">an attempt to kill him with his spear. Is it a half-hearted attempt? Instead of “threw” </w:t>
      </w:r>
      <w:r w:rsidR="003A15C4">
        <w:t>(</w:t>
      </w:r>
      <w:r w:rsidR="003A15C4" w:rsidRPr="001F52A8">
        <w:rPr>
          <w:rFonts w:cstheme="minorHAnsi"/>
          <w:i/>
          <w:iCs/>
        </w:rPr>
        <w:t>ṭû</w:t>
      </w:r>
      <w:r w:rsidR="003A15C4" w:rsidRPr="001F52A8">
        <w:rPr>
          <w:i/>
          <w:iCs/>
        </w:rPr>
        <w:t>l</w:t>
      </w:r>
      <w:r w:rsidR="003A15C4" w:rsidRPr="001F52A8">
        <w:t>)</w:t>
      </w:r>
      <w:r w:rsidR="003A15C4">
        <w:t xml:space="preserve">, </w:t>
      </w:r>
      <w:r w:rsidRPr="001F52A8">
        <w:t>LXX</w:t>
      </w:r>
      <w:r w:rsidR="003A15C4">
        <w:t>, Tg</w:t>
      </w:r>
      <w:r w:rsidRPr="001F52A8">
        <w:t xml:space="preserve"> simply ha</w:t>
      </w:r>
      <w:r w:rsidR="003A15C4">
        <w:t>ve</w:t>
      </w:r>
      <w:r w:rsidRPr="001F52A8">
        <w:t xml:space="preserve"> “raised” (the usual meaning of </w:t>
      </w:r>
      <w:r w:rsidRPr="001F52A8">
        <w:rPr>
          <w:i/>
          <w:iCs/>
        </w:rPr>
        <w:t>n</w:t>
      </w:r>
      <w:r w:rsidRPr="001F52A8">
        <w:rPr>
          <w:rFonts w:cstheme="minorHAnsi"/>
          <w:i/>
          <w:iCs/>
        </w:rPr>
        <w:t>āṭ</w:t>
      </w:r>
      <w:r w:rsidRPr="001F52A8">
        <w:rPr>
          <w:i/>
          <w:iCs/>
        </w:rPr>
        <w:t>al</w:t>
      </w:r>
      <w:r w:rsidRPr="001F52A8">
        <w:t>). Either way, the action foreshadows Saul’s serious attempts on David’s life that will follow. Not unreasonably, this action issues in a responsive anger on Jonathan’s part</w:t>
      </w:r>
      <w:r w:rsidR="0055372A" w:rsidRPr="001F52A8">
        <w:t>, an an</w:t>
      </w:r>
      <w:r w:rsidR="00C358DA" w:rsidRPr="001F52A8">
        <w:t>g</w:t>
      </w:r>
      <w:r w:rsidR="0055372A" w:rsidRPr="001F52A8">
        <w:t xml:space="preserve">er at the shaming </w:t>
      </w:r>
      <w:r w:rsidR="00C358DA" w:rsidRPr="001F52A8">
        <w:t>as much as the threat</w:t>
      </w:r>
      <w:r w:rsidRPr="001F52A8">
        <w:t xml:space="preserve"> (20:30-34).</w:t>
      </w:r>
      <w:r w:rsidR="00C358DA" w:rsidRPr="001F52A8">
        <w:rPr>
          <w:rStyle w:val="FootnoteReference"/>
        </w:rPr>
        <w:footnoteReference w:id="201"/>
      </w:r>
      <w:r w:rsidRPr="001F52A8">
        <w:t xml:space="preserve"> The problem is that fact that Yahweh is with David. Saul fears that David is a rival for the throne. Even first-time non-Israelite </w:t>
      </w:r>
      <w:r w:rsidRPr="001F52A8">
        <w:lastRenderedPageBreak/>
        <w:t>readers of Samuel know that the story is going in this direction because they have read spoilers in 13:1 – 15:35, but Saul doesn’t know it. Indeed, in a sense Yahweh doesn’t know it. The future is still open for Saul. But giving in to his fears (18:8) will brings about their fulfillment.</w:t>
      </w:r>
    </w:p>
    <w:p w14:paraId="01BE3624" w14:textId="2155710D" w:rsidR="00930EEB" w:rsidRPr="001F52A8" w:rsidRDefault="002401EE" w:rsidP="00155E8B">
      <w:r w:rsidRPr="001F52A8">
        <w:rPr>
          <w:rFonts w:ascii="Calibri" w:hAnsi="Calibri" w:cs="Calibri"/>
        </w:rPr>
        <w:t>David “remains a</w:t>
      </w:r>
      <w:r w:rsidRPr="001F52A8">
        <w:rPr>
          <w:rFonts w:ascii="Calibri" w:hAnsi="Calibri" w:cs="Calibri"/>
          <w:color w:val="222222"/>
          <w:sz w:val="20"/>
          <w:szCs w:val="20"/>
        </w:rPr>
        <w:t xml:space="preserve"> </w:t>
      </w:r>
      <w:r w:rsidRPr="001F52A8">
        <w:rPr>
          <w:rFonts w:ascii="Calibri" w:hAnsi="Calibri" w:cs="Calibri"/>
        </w:rPr>
        <w:t>complete opacity in this episode, while Saul is a total transparency</w:t>
      </w:r>
      <w:r w:rsidRPr="001F52A8">
        <w:rPr>
          <w:rFonts w:ascii="Calibri" w:hAnsi="Calibri" w:cs="Calibri"/>
          <w:color w:val="222222"/>
          <w:sz w:val="20"/>
          <w:szCs w:val="20"/>
        </w:rPr>
        <w:t xml:space="preserve"> </w:t>
      </w:r>
      <w:r w:rsidRPr="001F52A8">
        <w:rPr>
          <w:rFonts w:ascii="Calibri" w:hAnsi="Calibri" w:cs="Calibri"/>
        </w:rPr>
        <w:t>and Michal a sliver of transparency surrounded by darkness.”</w:t>
      </w:r>
      <w:r w:rsidRPr="001F52A8">
        <w:rPr>
          <w:rStyle w:val="FootnoteReference"/>
          <w:rFonts w:ascii="Calibri" w:hAnsi="Calibri" w:cs="Calibri"/>
        </w:rPr>
        <w:footnoteReference w:id="202"/>
      </w:r>
      <w:r w:rsidRPr="001F52A8">
        <w:rPr>
          <w:rFonts w:ascii="Calibri" w:hAnsi="Calibri" w:cs="Calibri"/>
          <w:color w:val="222222"/>
          <w:sz w:val="20"/>
          <w:szCs w:val="20"/>
        </w:rPr>
        <w:t xml:space="preserve"> </w:t>
      </w:r>
      <w:r w:rsidR="00A62FC7">
        <w:t>Saul’s</w:t>
      </w:r>
      <w:r w:rsidR="00930EEB" w:rsidRPr="001F52A8">
        <w:rPr>
          <w:rFonts w:ascii="Calibri" w:hAnsi="Calibri" w:cs="Calibri"/>
        </w:rPr>
        <w:t xml:space="preserve"> internal life seems to be at the mercy of others, beyond his control.</w:t>
      </w:r>
      <w:r w:rsidR="00930EEB" w:rsidRPr="001F52A8">
        <w:rPr>
          <w:rStyle w:val="FootnoteReference"/>
        </w:rPr>
        <w:footnoteReference w:id="203"/>
      </w:r>
      <w:r w:rsidR="00930EEB" w:rsidRPr="001F52A8">
        <w:rPr>
          <w:rFonts w:ascii="Calibri" w:hAnsi="Calibri" w:cs="Calibri"/>
        </w:rPr>
        <w:t xml:space="preserve"> Whereas First Testament narratives often leave </w:t>
      </w:r>
      <w:r w:rsidR="00CF1E76">
        <w:rPr>
          <w:rFonts w:ascii="Calibri" w:hAnsi="Calibri" w:cs="Calibri"/>
        </w:rPr>
        <w:t>people</w:t>
      </w:r>
      <w:r w:rsidR="00930EEB" w:rsidRPr="001F52A8">
        <w:rPr>
          <w:rFonts w:ascii="Calibri" w:hAnsi="Calibri" w:cs="Calibri"/>
        </w:rPr>
        <w:t xml:space="preserve"> to infer </w:t>
      </w:r>
      <w:r w:rsidR="00CF1E76">
        <w:rPr>
          <w:rFonts w:ascii="Calibri" w:hAnsi="Calibri" w:cs="Calibri"/>
        </w:rPr>
        <w:t>the characters’</w:t>
      </w:r>
      <w:r w:rsidR="00930EEB" w:rsidRPr="001F52A8">
        <w:rPr>
          <w:rFonts w:ascii="Calibri" w:hAnsi="Calibri" w:cs="Calibri"/>
        </w:rPr>
        <w:t xml:space="preserve"> feelings from their words and actions, </w:t>
      </w:r>
      <w:r w:rsidR="007B1E23">
        <w:rPr>
          <w:rFonts w:ascii="Calibri" w:hAnsi="Calibri" w:cs="Calibri"/>
        </w:rPr>
        <w:t xml:space="preserve">and </w:t>
      </w:r>
      <w:r w:rsidR="007B1E23" w:rsidRPr="00155E8B">
        <w:rPr>
          <w:rFonts w:cstheme="minorHAnsi"/>
        </w:rPr>
        <w:t>“David is a cipher</w:t>
      </w:r>
      <w:r w:rsidR="007B1E23">
        <w:rPr>
          <w:rFonts w:cstheme="minorHAnsi"/>
        </w:rPr>
        <w:t>,</w:t>
      </w:r>
      <w:r w:rsidR="007B1E23" w:rsidRPr="00155E8B">
        <w:rPr>
          <w:rFonts w:cstheme="minorHAnsi"/>
        </w:rPr>
        <w:t>”</w:t>
      </w:r>
      <w:r w:rsidR="007B1E23" w:rsidRPr="00155E8B">
        <w:rPr>
          <w:rStyle w:val="FootnoteReference"/>
          <w:rFonts w:cstheme="minorHAnsi"/>
        </w:rPr>
        <w:footnoteReference w:id="204"/>
      </w:r>
      <w:r w:rsidR="007B1E23" w:rsidRPr="00155E8B">
        <w:rPr>
          <w:rFonts w:cstheme="minorHAnsi"/>
        </w:rPr>
        <w:t xml:space="preserve"> </w:t>
      </w:r>
      <w:r w:rsidR="00930EEB" w:rsidRPr="001F52A8">
        <w:rPr>
          <w:rFonts w:ascii="Calibri" w:hAnsi="Calibri" w:cs="Calibri"/>
        </w:rPr>
        <w:t>th</w:t>
      </w:r>
      <w:r w:rsidR="007B1E23">
        <w:rPr>
          <w:rFonts w:ascii="Calibri" w:hAnsi="Calibri" w:cs="Calibri"/>
        </w:rPr>
        <w:t>e</w:t>
      </w:r>
      <w:r w:rsidR="00930EEB" w:rsidRPr="001F52A8">
        <w:rPr>
          <w:rFonts w:ascii="Calibri" w:hAnsi="Calibri" w:cs="Calibri"/>
        </w:rPr>
        <w:t xml:space="preserve"> narrative is explicit about Saul’s. It highlights the difference in the account of David</w:t>
      </w:r>
      <w:r w:rsidR="00930EEB" w:rsidRPr="00155E8B">
        <w:rPr>
          <w:rFonts w:cstheme="minorHAnsi"/>
        </w:rPr>
        <w:t xml:space="preserve">, </w:t>
      </w:r>
      <w:r w:rsidR="00A50E6E">
        <w:rPr>
          <w:rFonts w:cstheme="minorHAnsi"/>
        </w:rPr>
        <w:t>who “</w:t>
      </w:r>
      <w:r w:rsidR="00930EEB" w:rsidRPr="00155E8B">
        <w:rPr>
          <w:rFonts w:cstheme="minorHAnsi"/>
        </w:rPr>
        <w:t>knows how to veil his motives and intentions—a veiling replicated in the narrative strategies used to present him.”</w:t>
      </w:r>
      <w:r w:rsidR="00930EEB" w:rsidRPr="00155E8B">
        <w:rPr>
          <w:rStyle w:val="FootnoteReference"/>
          <w:rFonts w:cstheme="minorHAnsi"/>
        </w:rPr>
        <w:footnoteReference w:id="205"/>
      </w:r>
      <w:r w:rsidR="00930EEB" w:rsidRPr="00155E8B">
        <w:rPr>
          <w:rFonts w:cstheme="minorHAnsi"/>
        </w:rPr>
        <w:t xml:space="preserve"> </w:t>
      </w:r>
      <w:r w:rsidR="006F122D">
        <w:rPr>
          <w:rFonts w:cstheme="minorHAnsi"/>
        </w:rPr>
        <w:t>In what sense was it “</w:t>
      </w:r>
      <w:r w:rsidR="00930EEB" w:rsidRPr="001F52A8">
        <w:t xml:space="preserve">upright in David’s eyes to be the king’s son-in-law” (18:26)? </w:t>
      </w:r>
      <w:r w:rsidR="00A06CFE">
        <w:t>When</w:t>
      </w:r>
      <w:r w:rsidR="00082FA2">
        <w:t xml:space="preserve"> f</w:t>
      </w:r>
      <w:r w:rsidR="00930EEB" w:rsidRPr="001F52A8">
        <w:t>light becomes a recurrent choice for David</w:t>
      </w:r>
      <w:r w:rsidR="003D52B3">
        <w:t>, crying</w:t>
      </w:r>
      <w:r w:rsidR="00930EEB" w:rsidRPr="001F52A8">
        <w:t xml:space="preserve"> when he knows he must definitively flee (20:41) is the nearest to a revelation of his feelings. There might seem little scope for trust in this family (</w:t>
      </w:r>
      <w:r w:rsidR="00930EEB" w:rsidRPr="001F52A8">
        <w:rPr>
          <w:i/>
          <w:iCs/>
        </w:rPr>
        <w:t>b</w:t>
      </w:r>
      <w:r w:rsidR="00930EEB" w:rsidRPr="001F52A8">
        <w:rPr>
          <w:rFonts w:cstheme="minorHAnsi"/>
          <w:i/>
          <w:iCs/>
        </w:rPr>
        <w:t xml:space="preserve">āṭaḥ </w:t>
      </w:r>
      <w:r w:rsidR="00930EEB" w:rsidRPr="001F52A8">
        <w:t xml:space="preserve">comes only in 12:11 and </w:t>
      </w:r>
      <w:r w:rsidR="00930EEB" w:rsidRPr="001F52A8">
        <w:rPr>
          <w:i/>
          <w:iCs/>
        </w:rPr>
        <w:t>’</w:t>
      </w:r>
      <w:r w:rsidR="00930EEB" w:rsidRPr="001F52A8">
        <w:rPr>
          <w:rFonts w:cstheme="minorHAnsi"/>
          <w:i/>
          <w:iCs/>
        </w:rPr>
        <w:t>āman</w:t>
      </w:r>
      <w:r w:rsidR="00930EEB" w:rsidRPr="001F52A8">
        <w:rPr>
          <w:rFonts w:cstheme="minorHAnsi"/>
        </w:rPr>
        <w:t xml:space="preserve"> hiphil</w:t>
      </w:r>
      <w:r w:rsidR="00930EEB" w:rsidRPr="001F52A8">
        <w:t xml:space="preserve"> in 27:12, which prove the rule). </w:t>
      </w:r>
      <w:r w:rsidR="00061B02">
        <w:t>I</w:t>
      </w:r>
      <w:r w:rsidR="00930EEB" w:rsidRPr="001F52A8">
        <w:t>n another sense, flight may be a strange expression of trust</w:t>
      </w:r>
      <w:r w:rsidR="00061B02">
        <w:t>. T</w:t>
      </w:r>
      <w:r w:rsidR="00930EEB" w:rsidRPr="001F52A8">
        <w:t>hrough 1 Samuel David makes no attempt to bring about his advancement (2 Samuel will be different). He hardly needs to</w:t>
      </w:r>
      <w:r w:rsidR="0056772E">
        <w:t>;</w:t>
      </w:r>
      <w:r w:rsidR="00930EEB" w:rsidRPr="001F52A8">
        <w:t xml:space="preserve"> Saul and Jonathan are doing it for him. </w:t>
      </w:r>
      <w:r w:rsidR="005262F3">
        <w:t xml:space="preserve">The bad sprit is at work; it is </w:t>
      </w:r>
      <w:r w:rsidR="00D70234">
        <w:t>the nearest to a hint in</w:t>
      </w:r>
      <w:r w:rsidR="00930EEB" w:rsidRPr="001F52A8">
        <w:t xml:space="preserve"> the narrative that Yahweh is </w:t>
      </w:r>
      <w:r w:rsidR="00D70234">
        <w:t>involved in</w:t>
      </w:r>
      <w:r w:rsidR="00930EEB" w:rsidRPr="001F52A8">
        <w:t xml:space="preserve"> bringing about David’s advance, as if </w:t>
      </w:r>
      <w:r w:rsidR="008301BA">
        <w:t>he</w:t>
      </w:r>
      <w:r w:rsidR="00930EEB" w:rsidRPr="001F52A8">
        <w:t xml:space="preserve"> is implementing a plan</w:t>
      </w:r>
      <w:r w:rsidR="008301BA">
        <w:t>.</w:t>
      </w:r>
    </w:p>
    <w:p w14:paraId="792FBB92" w14:textId="4445A65D" w:rsidR="00930EEB" w:rsidRPr="001F52A8" w:rsidRDefault="00930EEB" w:rsidP="00930EEB">
      <w:r w:rsidRPr="001F52A8">
        <w:t>Elqanah’s love for Hannah (1:5) finds a parallel in Michal’s love for David (18:20, 28) which issues in her taking David’s side over against her father, protecting him and telling lies for him (19:11-17). The first Testament has no hesitations about lying to intimidators, tormentors, and tyrants (cf. 6:1-7; 20:6; 21:2, 13 [</w:t>
      </w:r>
      <w:r w:rsidR="000C13D9">
        <w:t>3</w:t>
      </w:r>
      <w:r w:rsidRPr="001F52A8">
        <w:t>, 1</w:t>
      </w:r>
      <w:r w:rsidR="000C13D9">
        <w:t>4</w:t>
      </w:r>
      <w:r w:rsidRPr="001F52A8">
        <w:t>]; 27:10; 2 Sam 5:22-25; 15:34; 17:19-20; Exod 1:15-21), and John Chrysostom refers to Michal in justifying his engaging in deception so as to avoid being made a bishop.</w:t>
      </w:r>
      <w:r w:rsidRPr="001F52A8">
        <w:rPr>
          <w:rStyle w:val="FootnoteReference"/>
        </w:rPr>
        <w:footnoteReference w:id="206"/>
      </w:r>
      <w:r w:rsidRPr="001F52A8">
        <w:t xml:space="preserve"> Michal’s deception recalls Rachel and the effigies </w:t>
      </w:r>
      <w:r w:rsidRPr="001F52A8">
        <w:rPr>
          <w:rFonts w:cstheme="minorHAnsi"/>
        </w:rPr>
        <w:t>(</w:t>
      </w:r>
      <w:r w:rsidRPr="001F52A8">
        <w:rPr>
          <w:rFonts w:cstheme="minorHAnsi"/>
          <w:i/>
          <w:iCs/>
        </w:rPr>
        <w:t>tərāpîm</w:t>
      </w:r>
      <w:r w:rsidRPr="001F52A8">
        <w:rPr>
          <w:rFonts w:cstheme="minorHAnsi"/>
        </w:rPr>
        <w:t xml:space="preserve">): </w:t>
      </w:r>
      <w:r w:rsidRPr="001F52A8">
        <w:t xml:space="preserve">Saul is a new Laban, Michal a new Rachel, David a new Jacob, </w:t>
      </w:r>
      <w:r w:rsidRPr="001F52A8">
        <w:rPr>
          <w:rFonts w:ascii="Calibri" w:hAnsi="Calibri" w:cs="Calibri"/>
        </w:rPr>
        <w:t>“the new representative of the line of promise and the future hope of the nation.”</w:t>
      </w:r>
      <w:r w:rsidRPr="001F52A8">
        <w:rPr>
          <w:rStyle w:val="FootnoteReference"/>
          <w:rFonts w:ascii="Calibri" w:hAnsi="Calibri" w:cs="Calibri"/>
        </w:rPr>
        <w:footnoteReference w:id="207"/>
      </w:r>
      <w:r w:rsidRPr="001F52A8">
        <w:rPr>
          <w:rFonts w:ascii="Calibri" w:hAnsi="Calibri" w:cs="Calibri"/>
        </w:rPr>
        <w:t xml:space="preserve"> That link hints that Michal’s “love” might also be more multi-faceted than simply the love of a woman for a man and an illustration of the interweaving of politics and relationship in a royal family. The broad potential in the Hebrew words for love helps</w:t>
      </w:r>
      <w:r w:rsidR="001D4E8A">
        <w:rPr>
          <w:rFonts w:ascii="Calibri" w:hAnsi="Calibri" w:cs="Calibri"/>
        </w:rPr>
        <w:t xml:space="preserve"> </w:t>
      </w:r>
      <w:r w:rsidRPr="001F52A8">
        <w:rPr>
          <w:rFonts w:ascii="Calibri" w:hAnsi="Calibri" w:cs="Calibri"/>
        </w:rPr>
        <w:t>facilitate expression of the point</w:t>
      </w:r>
      <w:r w:rsidRPr="001F52A8">
        <w:rPr>
          <w:rFonts w:cstheme="minorHAnsi"/>
        </w:rPr>
        <w:t xml:space="preserve">. Maybe Michal sees which way the wind is blowing and fancies being queen. But </w:t>
      </w:r>
      <w:r w:rsidR="00265E04">
        <w:rPr>
          <w:rFonts w:cstheme="minorHAnsi"/>
        </w:rPr>
        <w:t xml:space="preserve">her </w:t>
      </w:r>
      <w:r w:rsidR="00755A5C">
        <w:rPr>
          <w:rFonts w:cstheme="minorHAnsi"/>
        </w:rPr>
        <w:t xml:space="preserve">countercultural </w:t>
      </w:r>
      <w:r w:rsidR="00265E04">
        <w:rPr>
          <w:rFonts w:cstheme="minorHAnsi"/>
        </w:rPr>
        <w:t xml:space="preserve">action </w:t>
      </w:r>
      <w:r w:rsidR="00755A5C">
        <w:rPr>
          <w:rFonts w:cstheme="minorHAnsi"/>
        </w:rPr>
        <w:t xml:space="preserve">signifies that </w:t>
      </w:r>
      <w:r w:rsidR="003548D7">
        <w:rPr>
          <w:rFonts w:cstheme="minorHAnsi"/>
        </w:rPr>
        <w:t xml:space="preserve">she recognizes she must commit herself to David and his </w:t>
      </w:r>
      <w:r w:rsidR="00494475">
        <w:rPr>
          <w:rFonts w:cstheme="minorHAnsi"/>
        </w:rPr>
        <w:t>kingship rather than to her father and his.</w:t>
      </w:r>
      <w:r w:rsidR="00494475">
        <w:rPr>
          <w:rStyle w:val="FootnoteReference"/>
          <w:rFonts w:cstheme="minorHAnsi"/>
        </w:rPr>
        <w:footnoteReference w:id="208"/>
      </w:r>
      <w:r w:rsidR="00494475">
        <w:rPr>
          <w:rFonts w:cstheme="minorHAnsi"/>
        </w:rPr>
        <w:t xml:space="preserve"> S</w:t>
      </w:r>
      <w:r w:rsidRPr="001F52A8">
        <w:rPr>
          <w:rFonts w:cstheme="minorHAnsi"/>
        </w:rPr>
        <w:t>he and her big sister pay a price for being princesses: in the context of the court, w</w:t>
      </w:r>
      <w:r w:rsidRPr="001F52A8">
        <w:t xml:space="preserve">omen are victims and political pawns (18:17-19; 25:44; 2 Sam 3:12-16), as are their children (21:8). </w:t>
      </w:r>
      <w:r w:rsidR="004642A3" w:rsidRPr="001F52A8">
        <w:t>They have no autonomy.</w:t>
      </w:r>
      <w:r w:rsidR="004642A3" w:rsidRPr="001F52A8">
        <w:rPr>
          <w:rStyle w:val="FootnoteReference"/>
          <w:rFonts w:cstheme="minorHAnsi"/>
        </w:rPr>
        <w:footnoteReference w:id="209"/>
      </w:r>
    </w:p>
    <w:p w14:paraId="373BCE99" w14:textId="0B258D1B" w:rsidR="00930EEB" w:rsidRPr="001F52A8" w:rsidRDefault="00930EEB" w:rsidP="00930EEB">
      <w:pPr>
        <w:rPr>
          <w:rFonts w:cstheme="minorHAnsi"/>
        </w:rPr>
      </w:pPr>
      <w:r w:rsidRPr="001F52A8">
        <w:t xml:space="preserve">The main narrative of life at Saul’s court begins as a story of love (18:1-4). </w:t>
      </w:r>
      <w:r w:rsidR="000D66B2" w:rsidRPr="001F52A8">
        <w:t>“</w:t>
      </w:r>
      <w:r w:rsidRPr="001F52A8">
        <w:rPr>
          <w:rFonts w:ascii="Calibri" w:hAnsi="Calibri" w:cs="Calibri"/>
        </w:rPr>
        <w:t>David and Jonathan are</w:t>
      </w:r>
      <w:r w:rsidRPr="001F52A8">
        <w:rPr>
          <w:rFonts w:cstheme="minorHAnsi"/>
        </w:rPr>
        <w:t xml:space="preserve"> </w:t>
      </w:r>
      <w:r w:rsidRPr="001F52A8">
        <w:rPr>
          <w:rFonts w:ascii="Calibri" w:hAnsi="Calibri" w:cs="Calibri"/>
        </w:rPr>
        <w:t>friends because they are both fighting Yahwists, with a common love of biffing Philistines</w:t>
      </w:r>
      <w:r w:rsidR="00A016C9">
        <w:rPr>
          <w:rFonts w:ascii="Calibri" w:hAnsi="Calibri" w:cs="Calibri"/>
        </w:rPr>
        <w:t xml:space="preserve"> . . . .</w:t>
      </w:r>
      <w:r w:rsidRPr="001F52A8">
        <w:rPr>
          <w:rFonts w:ascii="Calibri" w:hAnsi="Calibri" w:cs="Calibri"/>
        </w:rPr>
        <w:t xml:space="preserve"> </w:t>
      </w:r>
      <w:r w:rsidR="00496753" w:rsidRPr="001F52A8">
        <w:rPr>
          <w:rFonts w:ascii="Calibri" w:hAnsi="Calibri" w:cs="Calibri"/>
        </w:rPr>
        <w:t>‘</w:t>
      </w:r>
      <w:r w:rsidRPr="001F52A8">
        <w:rPr>
          <w:rFonts w:ascii="Calibri" w:hAnsi="Calibri" w:cs="Calibri"/>
        </w:rPr>
        <w:t xml:space="preserve">When </w:t>
      </w:r>
      <w:r w:rsidRPr="001F52A8">
        <w:rPr>
          <w:rFonts w:ascii="Calibri" w:hAnsi="Calibri" w:cs="Calibri"/>
        </w:rPr>
        <w:lastRenderedPageBreak/>
        <w:t>two such persons discover one</w:t>
      </w:r>
      <w:r w:rsidRPr="001F52A8">
        <w:rPr>
          <w:rFonts w:cstheme="minorHAnsi"/>
        </w:rPr>
        <w:t xml:space="preserve"> </w:t>
      </w:r>
      <w:r w:rsidRPr="001F52A8">
        <w:rPr>
          <w:rFonts w:ascii="Calibri" w:hAnsi="Calibri" w:cs="Calibri"/>
        </w:rPr>
        <w:t>another, when, whether with immense difficulties . . . or with . . . amazing and</w:t>
      </w:r>
      <w:r w:rsidRPr="001F52A8">
        <w:rPr>
          <w:rFonts w:cstheme="minorHAnsi"/>
        </w:rPr>
        <w:t xml:space="preserve"> </w:t>
      </w:r>
      <w:r w:rsidRPr="001F52A8">
        <w:rPr>
          <w:rFonts w:ascii="Calibri" w:hAnsi="Calibri" w:cs="Calibri"/>
        </w:rPr>
        <w:t>elliptical speed, they share their vision—it is then that Friendship is born. And</w:t>
      </w:r>
      <w:r w:rsidRPr="001F52A8">
        <w:rPr>
          <w:rFonts w:cstheme="minorHAnsi"/>
        </w:rPr>
        <w:t xml:space="preserve"> </w:t>
      </w:r>
      <w:r w:rsidRPr="001F52A8">
        <w:rPr>
          <w:rFonts w:ascii="Calibri" w:hAnsi="Calibri" w:cs="Calibri"/>
        </w:rPr>
        <w:t>instantly they stand together in an immense solitude.</w:t>
      </w:r>
      <w:r w:rsidR="00496753" w:rsidRPr="001F52A8">
        <w:rPr>
          <w:rFonts w:ascii="Calibri" w:hAnsi="Calibri" w:cs="Calibri"/>
        </w:rPr>
        <w:t>’</w:t>
      </w:r>
      <w:r w:rsidRPr="001F52A8">
        <w:rPr>
          <w:rFonts w:ascii="Calibri" w:hAnsi="Calibri" w:cs="Calibri"/>
        </w:rPr>
        <w:t>”</w:t>
      </w:r>
      <w:r w:rsidRPr="001F52A8">
        <w:rPr>
          <w:rStyle w:val="FootnoteReference"/>
          <w:rFonts w:ascii="Calibri" w:hAnsi="Calibri" w:cs="Calibri"/>
        </w:rPr>
        <w:footnoteReference w:id="210"/>
      </w:r>
      <w:r w:rsidRPr="001F52A8">
        <w:rPr>
          <w:rFonts w:cstheme="minorHAnsi"/>
        </w:rPr>
        <w:t xml:space="preserve"> </w:t>
      </w:r>
      <w:r w:rsidRPr="001F52A8">
        <w:t>Interpreters who read the story in the context of an approval of same-sex relationships m</w:t>
      </w:r>
      <w:r w:rsidR="00413A4B">
        <w:t>ay</w:t>
      </w:r>
      <w:r w:rsidRPr="001F52A8">
        <w:t xml:space="preserve"> understand the relationship between Jonathan and David as a homosexual one, while interpreters who read the story in the context of disapproval of such relationships m</w:t>
      </w:r>
      <w:r w:rsidR="007F3442">
        <w:t>ay</w:t>
      </w:r>
      <w:r w:rsidRPr="001F52A8">
        <w:t xml:space="preserve"> not so understand it. Emically rather than etically considered, the narrative’s implications lie more with th</w:t>
      </w:r>
      <w:r w:rsidR="007F3442">
        <w:t>at</w:t>
      </w:r>
      <w:r w:rsidRPr="001F52A8">
        <w:t xml:space="preserve"> other ambiguity over the nature of “love.”</w:t>
      </w:r>
      <w:r w:rsidRPr="001F52A8">
        <w:rPr>
          <w:rStyle w:val="FootnoteReference"/>
        </w:rPr>
        <w:footnoteReference w:id="211"/>
      </w:r>
      <w:r w:rsidRPr="001F52A8">
        <w:t xml:space="preserve"> When “</w:t>
      </w:r>
      <w:r w:rsidRPr="001F52A8">
        <w:rPr>
          <w:rFonts w:cstheme="minorHAnsi"/>
        </w:rPr>
        <w:t>Jonathan’s very self became bound up with David’s, and Jonathan loved him as himself” (18:1; cf. 20:17),</w:t>
      </w:r>
      <w:r w:rsidRPr="001F52A8">
        <w:rPr>
          <w:rStyle w:val="FootnoteReference"/>
          <w:rFonts w:cstheme="minorHAnsi"/>
        </w:rPr>
        <w:footnoteReference w:id="212"/>
      </w:r>
      <w:r w:rsidRPr="001F52A8">
        <w:rPr>
          <w:rFonts w:cstheme="minorHAnsi"/>
        </w:rPr>
        <w:t xml:space="preserve"> his gift of clothing and battle equipment (18:4) hints at his surrendering his position to David: they suggest regalia or insignia. They confirm that </w:t>
      </w:r>
      <w:r w:rsidR="006F24F7">
        <w:rPr>
          <w:rFonts w:cstheme="minorHAnsi"/>
        </w:rPr>
        <w:t>Jonathan</w:t>
      </w:r>
      <w:r w:rsidRPr="001F52A8">
        <w:rPr>
          <w:rFonts w:cstheme="minorHAnsi"/>
        </w:rPr>
        <w:t xml:space="preserve"> is extravagant and uncalculating, as the story of his attack on the Philistine garrison suggested (14:1-15). He is not afraid of David ending up as king, as his father is (18:8). His self-confidence means he’s not afraid of David, and he doesn</w:t>
      </w:r>
      <w:r w:rsidR="006F24F7">
        <w:rPr>
          <w:rFonts w:cstheme="minorHAnsi"/>
        </w:rPr>
        <w:t>’</w:t>
      </w:r>
      <w:r w:rsidRPr="001F52A8">
        <w:rPr>
          <w:rFonts w:cstheme="minorHAnsi"/>
        </w:rPr>
        <w:t xml:space="preserve">t need to be king. Saul </w:t>
      </w:r>
      <w:r w:rsidR="001C5D4F">
        <w:rPr>
          <w:rFonts w:cstheme="minorHAnsi"/>
        </w:rPr>
        <w:t>was</w:t>
      </w:r>
      <w:r w:rsidRPr="001F52A8">
        <w:rPr>
          <w:rFonts w:cstheme="minorHAnsi"/>
        </w:rPr>
        <w:t xml:space="preserve"> small in his own eyes (15:17). He didn’t originally have any ideas of becoming someone big, but once you are in that position, it’s not surprising if it becomes important and becomes key to your self-</w:t>
      </w:r>
      <w:r w:rsidR="006F3F93">
        <w:rPr>
          <w:rFonts w:cstheme="minorHAnsi"/>
        </w:rPr>
        <w:t>identity</w:t>
      </w:r>
      <w:r w:rsidRPr="001F52A8">
        <w:rPr>
          <w:rFonts w:cstheme="minorHAnsi"/>
        </w:rPr>
        <w:t>.</w:t>
      </w:r>
      <w:r w:rsidRPr="001F52A8">
        <w:rPr>
          <w:rStyle w:val="FootnoteReference"/>
          <w:rFonts w:cstheme="minorHAnsi"/>
        </w:rPr>
        <w:footnoteReference w:id="213"/>
      </w:r>
      <w:r w:rsidRPr="001F52A8">
        <w:rPr>
          <w:rFonts w:cstheme="minorHAnsi"/>
        </w:rPr>
        <w:t xml:space="preserve"> Nicely, the verb for “became bound up with” (</w:t>
      </w:r>
      <w:r w:rsidRPr="001F52A8">
        <w:rPr>
          <w:rFonts w:cstheme="minorHAnsi"/>
          <w:i/>
          <w:iCs/>
        </w:rPr>
        <w:t xml:space="preserve">qāšar </w:t>
      </w:r>
      <w:r w:rsidRPr="001F52A8">
        <w:rPr>
          <w:rFonts w:cstheme="minorHAnsi"/>
        </w:rPr>
        <w:t>niphal) also means “conspire” (22:8, 13; 2 Sam 15:31)</w:t>
      </w:r>
      <w:r w:rsidR="00F01DE0">
        <w:rPr>
          <w:rFonts w:cstheme="minorHAnsi"/>
        </w:rPr>
        <w:t>.</w:t>
      </w:r>
      <w:r w:rsidRPr="001F52A8">
        <w:rPr>
          <w:rStyle w:val="FootnoteReference"/>
          <w:rFonts w:cstheme="minorHAnsi"/>
        </w:rPr>
        <w:footnoteReference w:id="214"/>
      </w:r>
      <w:r w:rsidRPr="001F52A8">
        <w:rPr>
          <w:rFonts w:cstheme="minorHAnsi"/>
        </w:rPr>
        <w:t xml:space="preserve"> </w:t>
      </w:r>
      <w:r w:rsidR="00F01DE0">
        <w:rPr>
          <w:rFonts w:ascii="Calibri" w:hAnsi="Calibri" w:cs="Calibri"/>
        </w:rPr>
        <w:t>A</w:t>
      </w:r>
      <w:r w:rsidR="000C0FDF" w:rsidRPr="001F52A8">
        <w:rPr>
          <w:rFonts w:ascii="Calibri" w:hAnsi="Calibri" w:cs="Calibri"/>
        </w:rPr>
        <w:t xml:space="preserve"> charge of conspiracy “hangs in the air between Saul and his ‘two sons.’”</w:t>
      </w:r>
      <w:r w:rsidR="000C0FDF" w:rsidRPr="001F52A8">
        <w:rPr>
          <w:rStyle w:val="FootnoteReference"/>
          <w:rFonts w:ascii="Calibri" w:hAnsi="Calibri" w:cs="Calibri"/>
        </w:rPr>
        <w:footnoteReference w:id="215"/>
      </w:r>
      <w:r w:rsidR="000C0FDF" w:rsidRPr="001F52A8">
        <w:rPr>
          <w:rFonts w:ascii="Calibri" w:hAnsi="Calibri" w:cs="Calibri"/>
        </w:rPr>
        <w:t xml:space="preserve"> And Saul isn’t wrong that there is a conspiracy against him, but the conspirator is Yahweh.</w:t>
      </w:r>
      <w:r w:rsidR="000C0FDF" w:rsidRPr="001F52A8">
        <w:rPr>
          <w:rStyle w:val="FootnoteReference"/>
          <w:rFonts w:ascii="Calibri" w:hAnsi="Calibri" w:cs="Calibri"/>
        </w:rPr>
        <w:footnoteReference w:id="216"/>
      </w:r>
    </w:p>
    <w:p w14:paraId="198F9BE8" w14:textId="28C9FE41" w:rsidR="003F0EEA" w:rsidRPr="001F52A8" w:rsidRDefault="00930EEB" w:rsidP="002B3EE5">
      <w:pPr>
        <w:rPr>
          <w:rFonts w:cstheme="minorHAnsi"/>
        </w:rPr>
      </w:pPr>
      <w:r w:rsidRPr="001F52A8">
        <w:t>As is the case with Michal, it would be inappropriately cynical to confine Jonathan’s love to a political commitment. Even David eventually speaks as it if it more (2 Sam 1:26), though it’s harder to interpret his description of</w:t>
      </w:r>
      <w:r w:rsidRPr="001F52A8">
        <w:rPr>
          <w:rFonts w:cstheme="minorHAnsi"/>
        </w:rPr>
        <w:t xml:space="preserve"> Saul and Jonathan as lovable and </w:t>
      </w:r>
      <w:r w:rsidRPr="001F52A8">
        <w:t>gracious (2 Sam 1:23). And most of the references to Jonathan’s relationship with David can suggest both the personal and the political. They include Jonathan’s delighting (</w:t>
      </w:r>
      <w:r w:rsidRPr="001F52A8">
        <w:rPr>
          <w:rFonts w:cstheme="minorHAnsi"/>
          <w:i/>
          <w:iCs/>
        </w:rPr>
        <w:t>ḥāpēṣ</w:t>
      </w:r>
      <w:r w:rsidRPr="001F52A8">
        <w:rPr>
          <w:rFonts w:cstheme="minorHAnsi"/>
        </w:rPr>
        <w:t xml:space="preserve">) in David (19:1; cf. 18:22; 2 Sam 20:11) and David’s finding grace or favor in Jonathan’s eyes (1 Sam 20:3; cf. 16:22; 20:29; 25:8; 27:5). Jonathan’s love for David issues in a loyalty expressed in a covenant, a </w:t>
      </w:r>
      <w:r w:rsidRPr="001F52A8">
        <w:rPr>
          <w:rFonts w:cstheme="minorHAnsi"/>
          <w:i/>
          <w:iCs/>
        </w:rPr>
        <w:t>bərît</w:t>
      </w:r>
      <w:r w:rsidRPr="001F52A8">
        <w:rPr>
          <w:rFonts w:cstheme="minorHAnsi"/>
        </w:rPr>
        <w:t xml:space="preserve"> (20:8; 23:18; cf. the reference to “cutting” or solemnizing in 20:16). Th</w:t>
      </w:r>
      <w:r w:rsidR="000A42F7">
        <w:rPr>
          <w:rFonts w:cstheme="minorHAnsi"/>
        </w:rPr>
        <w:t>is</w:t>
      </w:r>
      <w:r w:rsidRPr="001F52A8">
        <w:rPr>
          <w:rFonts w:cstheme="minorHAnsi"/>
        </w:rPr>
        <w:t xml:space="preserve"> word has a parallel breadth of meaning to that of “love.” The last </w:t>
      </w:r>
      <w:r w:rsidRPr="001F52A8">
        <w:rPr>
          <w:rFonts w:cstheme="minorHAnsi"/>
          <w:i/>
          <w:iCs/>
        </w:rPr>
        <w:t>bərît</w:t>
      </w:r>
      <w:r w:rsidRPr="001F52A8">
        <w:rPr>
          <w:rFonts w:cstheme="minorHAnsi"/>
        </w:rPr>
        <w:t xml:space="preserve"> in Samuel was the unpleasant one that Nahash tried to make with the people in Jabesh (11:1), and apart from the references to the covenant chest, all but one of the other occurrences of </w:t>
      </w:r>
      <w:r w:rsidRPr="001F52A8">
        <w:rPr>
          <w:rFonts w:cstheme="minorHAnsi"/>
          <w:i/>
          <w:iCs/>
        </w:rPr>
        <w:t>bərît</w:t>
      </w:r>
      <w:r w:rsidRPr="001F52A8">
        <w:rPr>
          <w:rFonts w:cstheme="minorHAnsi"/>
        </w:rPr>
        <w:t xml:space="preserve"> in Samuel denote a treaty (we will wait until 2 Sam 23:5 for the exception). Here the covenant implies that “Yahweh [will be] between us for</w:t>
      </w:r>
      <w:r w:rsidR="00DC3078">
        <w:rPr>
          <w:rFonts w:cstheme="minorHAnsi"/>
        </w:rPr>
        <w:t xml:space="preserve"> al</w:t>
      </w:r>
      <w:r w:rsidR="00753F4C">
        <w:rPr>
          <w:rFonts w:cstheme="minorHAnsi"/>
        </w:rPr>
        <w:t>l</w:t>
      </w:r>
      <w:r w:rsidR="00DC3078">
        <w:rPr>
          <w:rFonts w:cstheme="minorHAnsi"/>
        </w:rPr>
        <w:t xml:space="preserve"> time</w:t>
      </w:r>
      <w:r w:rsidRPr="001F52A8">
        <w:rPr>
          <w:rFonts w:cstheme="minorHAnsi"/>
        </w:rPr>
        <w:t>” as its guarantor</w:t>
      </w:r>
      <w:r w:rsidR="00ED4F7B">
        <w:rPr>
          <w:rFonts w:cstheme="minorHAnsi"/>
        </w:rPr>
        <w:t xml:space="preserve"> </w:t>
      </w:r>
      <w:r w:rsidRPr="001F52A8">
        <w:rPr>
          <w:rFonts w:cstheme="minorHAnsi"/>
        </w:rPr>
        <w:t>(20:23, 42)</w:t>
      </w:r>
      <w:r w:rsidR="008E3B6E">
        <w:rPr>
          <w:rFonts w:cstheme="minorHAnsi"/>
        </w:rPr>
        <w:t xml:space="preserve"> and</w:t>
      </w:r>
      <w:r w:rsidRPr="001F52A8">
        <w:rPr>
          <w:rFonts w:cstheme="minorHAnsi"/>
        </w:rPr>
        <w:t xml:space="preserve"> that David </w:t>
      </w:r>
      <w:r w:rsidR="006971C1">
        <w:rPr>
          <w:rFonts w:cstheme="minorHAnsi"/>
        </w:rPr>
        <w:t xml:space="preserve">will </w:t>
      </w:r>
      <w:r w:rsidRPr="001F52A8">
        <w:rPr>
          <w:rFonts w:cstheme="minorHAnsi"/>
        </w:rPr>
        <w:t>show Jonathan</w:t>
      </w:r>
      <w:r w:rsidRPr="001F52A8">
        <w:t xml:space="preserve"> Yahweh’s commitment (</w:t>
      </w:r>
      <w:r w:rsidRPr="001F52A8">
        <w:rPr>
          <w:rFonts w:cstheme="minorHAnsi"/>
          <w:i/>
          <w:iCs/>
        </w:rPr>
        <w:t>ḥ</w:t>
      </w:r>
      <w:r w:rsidRPr="001F52A8">
        <w:rPr>
          <w:i/>
          <w:iCs/>
        </w:rPr>
        <w:t>esed</w:t>
      </w:r>
      <w:r w:rsidRPr="001F52A8">
        <w:t xml:space="preserve">; 20:14-15). </w:t>
      </w:r>
      <w:r w:rsidR="00EF4E2C" w:rsidRPr="001F52A8">
        <w:t>Only rarely do t</w:t>
      </w:r>
      <w:r w:rsidRPr="001F52A8">
        <w:t xml:space="preserve">he image of covenant and the quality of commitment </w:t>
      </w:r>
      <w:r w:rsidRPr="001F52A8">
        <w:lastRenderedPageBreak/>
        <w:t xml:space="preserve">come together in the Scriptures; linking them and associating them with references to love, delight, and binding oneself mark the nature of the positive relationships. </w:t>
      </w:r>
      <w:r w:rsidRPr="001F52A8">
        <w:rPr>
          <w:rFonts w:cstheme="minorHAnsi"/>
        </w:rPr>
        <w:t xml:space="preserve">Within the family, </w:t>
      </w:r>
      <w:r w:rsidR="00F27256">
        <w:rPr>
          <w:rFonts w:cstheme="minorHAnsi"/>
        </w:rPr>
        <w:t>the covenant</w:t>
      </w:r>
      <w:r w:rsidRPr="001F52A8">
        <w:rPr>
          <w:rFonts w:cstheme="minorHAnsi"/>
        </w:rPr>
        <w:t xml:space="preserve"> means Jonathan mediates with his father on David’s behalf (19:1-7).</w:t>
      </w:r>
      <w:r w:rsidR="002B3EE5">
        <w:rPr>
          <w:rFonts w:cstheme="minorHAnsi"/>
        </w:rPr>
        <w:t xml:space="preserve"> </w:t>
      </w:r>
      <w:r w:rsidR="003F0EEA" w:rsidRPr="001F52A8">
        <w:rPr>
          <w:rFonts w:cstheme="minorHAnsi"/>
        </w:rPr>
        <w:t>T</w:t>
      </w:r>
      <w:r w:rsidR="002B3EE5">
        <w:rPr>
          <w:rFonts w:cstheme="minorHAnsi"/>
        </w:rPr>
        <w:t>he</w:t>
      </w:r>
      <w:r w:rsidR="003F0EEA" w:rsidRPr="001F52A8">
        <w:rPr>
          <w:rFonts w:cstheme="minorHAnsi"/>
        </w:rPr>
        <w:t xml:space="preserve"> friendship sealed in th</w:t>
      </w:r>
      <w:r w:rsidR="002B3EE5">
        <w:rPr>
          <w:rFonts w:cstheme="minorHAnsi"/>
        </w:rPr>
        <w:t>e</w:t>
      </w:r>
      <w:r w:rsidR="003F0EEA" w:rsidRPr="001F52A8">
        <w:rPr>
          <w:rFonts w:cstheme="minorHAnsi"/>
        </w:rPr>
        <w:t xml:space="preserve"> covenant is an act of betrayal to the family</w:t>
      </w:r>
      <w:r w:rsidR="00421C89" w:rsidRPr="001F52A8">
        <w:rPr>
          <w:rFonts w:cstheme="minorHAnsi"/>
        </w:rPr>
        <w:t xml:space="preserve"> in the str</w:t>
      </w:r>
      <w:r w:rsidR="0056149C" w:rsidRPr="001F52A8">
        <w:rPr>
          <w:rFonts w:cstheme="minorHAnsi"/>
        </w:rPr>
        <w:t>i</w:t>
      </w:r>
      <w:r w:rsidR="00421C89" w:rsidRPr="001F52A8">
        <w:rPr>
          <w:rFonts w:cstheme="minorHAnsi"/>
        </w:rPr>
        <w:t>ct sense.</w:t>
      </w:r>
      <w:r w:rsidR="0056149C" w:rsidRPr="001F52A8">
        <w:rPr>
          <w:rStyle w:val="FootnoteReference"/>
          <w:rFonts w:cstheme="minorHAnsi"/>
        </w:rPr>
        <w:footnoteReference w:id="217"/>
      </w:r>
    </w:p>
    <w:p w14:paraId="7A303241" w14:textId="41FC6A58" w:rsidR="00903A33" w:rsidRDefault="00930EEB" w:rsidP="00930EEB">
      <w:r w:rsidRPr="001F52A8">
        <w:t xml:space="preserve">Most people listening to the story </w:t>
      </w:r>
      <w:r w:rsidR="00470B40">
        <w:t xml:space="preserve">in Samuel </w:t>
      </w:r>
      <w:r w:rsidRPr="001F52A8">
        <w:t>know that Saul dies and David succeeds him, and perhaps know that kingship falls into David’s lap like ripe fruit falling from a tree (unless they knew other versions of the sequence of events). “That may tempt us to find the outcome self-evident.” But “within the story, it is not at all self-evident that the hero’s career will terminate in succession to the throne</w:t>
      </w:r>
      <w:r w:rsidR="00A016C9">
        <w:t xml:space="preserve"> . . . .</w:t>
      </w:r>
      <w:r w:rsidRPr="001F52A8">
        <w:t xml:space="preserve"> The superficial message is that David has one foot in the grave, in terms of power and political opportunities. But Jonathan is not misled by the moment.” Yet neither does he want his sons to be victims of a change of dynasty when it comes.</w:t>
      </w:r>
      <w:r w:rsidRPr="001F52A8">
        <w:rPr>
          <w:rStyle w:val="FootnoteReference"/>
        </w:rPr>
        <w:footnoteReference w:id="218"/>
      </w:r>
    </w:p>
    <w:p w14:paraId="1B0C34A2" w14:textId="77777777" w:rsidR="00903A33" w:rsidRDefault="00903A33">
      <w:pPr>
        <w:spacing w:after="160"/>
        <w:ind w:firstLine="0"/>
      </w:pPr>
      <w:r>
        <w:br w:type="page"/>
      </w:r>
    </w:p>
    <w:p w14:paraId="10B05DE7" w14:textId="0B59A671" w:rsidR="00486F08" w:rsidRDefault="0043143B" w:rsidP="00DE39DB">
      <w:pPr>
        <w:pStyle w:val="Heading1"/>
        <w:numPr>
          <w:ilvl w:val="0"/>
          <w:numId w:val="19"/>
        </w:numPr>
      </w:pPr>
      <w:r>
        <w:lastRenderedPageBreak/>
        <w:t>Yahweh Who Protects a King</w:t>
      </w:r>
      <w:r w:rsidR="00695937" w:rsidRPr="001F52A8">
        <w:t xml:space="preserve"> (1 Samuel </w:t>
      </w:r>
      <w:r w:rsidR="00E459D4" w:rsidRPr="001F52A8">
        <w:t>21:1 [2]</w:t>
      </w:r>
      <w:r w:rsidR="00695937" w:rsidRPr="001F52A8">
        <w:t xml:space="preserve"> – </w:t>
      </w:r>
      <w:r w:rsidR="00116E38">
        <w:t>2 Samuel 1:</w:t>
      </w:r>
      <w:r w:rsidR="0060027E">
        <w:t>27</w:t>
      </w:r>
      <w:r w:rsidR="00D62B92" w:rsidRPr="001F52A8">
        <w:t>)</w:t>
      </w:r>
    </w:p>
    <w:p w14:paraId="5FEC37C2" w14:textId="3AB6B398" w:rsidR="00D468E1" w:rsidRPr="001F52A8" w:rsidRDefault="00903A33" w:rsidP="00D468E1">
      <w:r>
        <w:t>Th</w:t>
      </w:r>
      <w:r w:rsidR="00485EC5">
        <w:t>e</w:t>
      </w:r>
      <w:r>
        <w:t xml:space="preserve"> </w:t>
      </w:r>
      <w:r w:rsidR="00E7691E">
        <w:t xml:space="preserve">chapter </w:t>
      </w:r>
      <w:r>
        <w:t xml:space="preserve">title </w:t>
      </w:r>
      <w:r w:rsidR="00E7691E">
        <w:t xml:space="preserve">is deliberately ambiguous. </w:t>
      </w:r>
      <w:r w:rsidR="00D730FE">
        <w:t xml:space="preserve">Yahweh’s rebuff of Saul and his </w:t>
      </w:r>
      <w:r w:rsidR="007479E7">
        <w:t xml:space="preserve">commissioning of David </w:t>
      </w:r>
      <w:r w:rsidR="00845B36">
        <w:t>introduce conflict into the royal family</w:t>
      </w:r>
      <w:r w:rsidR="00453CE1">
        <w:t>. David bec</w:t>
      </w:r>
      <w:r w:rsidR="00D92F3A">
        <w:t>omes</w:t>
      </w:r>
      <w:r w:rsidR="00453CE1">
        <w:t xml:space="preserve"> a threat to Saul and Saul bec</w:t>
      </w:r>
      <w:r w:rsidR="00D92F3A">
        <w:t>omes</w:t>
      </w:r>
      <w:r w:rsidR="00453CE1">
        <w:t xml:space="preserve"> a threat to David. </w:t>
      </w:r>
      <w:r w:rsidR="00F464CC">
        <w:t xml:space="preserve">Over </w:t>
      </w:r>
      <w:r w:rsidR="005E1BFE">
        <w:t>subsequent</w:t>
      </w:r>
      <w:r w:rsidR="00F464CC">
        <w:t xml:space="preserve"> chapters David has to </w:t>
      </w:r>
      <w:r w:rsidR="00913AA5">
        <w:t xml:space="preserve">run for his life, but Yahweh protects him. </w:t>
      </w:r>
      <w:r w:rsidR="00EE1934">
        <w:t>David twice has the chance to kill Saul, but refrains</w:t>
      </w:r>
      <w:r w:rsidR="00B622BC">
        <w:t xml:space="preserve">. </w:t>
      </w:r>
      <w:r w:rsidR="00D468E1" w:rsidRPr="001F52A8">
        <w:t xml:space="preserve">There are two reasons why </w:t>
      </w:r>
      <w:r w:rsidR="008C466B">
        <w:t>David</w:t>
      </w:r>
      <w:r w:rsidR="00D468E1" w:rsidRPr="001F52A8">
        <w:t xml:space="preserve"> might have encouraged a ghost writer to include the</w:t>
      </w:r>
      <w:r w:rsidR="007E7026">
        <w:t xml:space="preserve"> stories</w:t>
      </w:r>
      <w:r w:rsidR="00D468E1" w:rsidRPr="001F52A8">
        <w:t xml:space="preserve">. They undermine any </w:t>
      </w:r>
      <w:r w:rsidR="009B09F3">
        <w:t>claim</w:t>
      </w:r>
      <w:r w:rsidR="00D468E1" w:rsidRPr="001F52A8">
        <w:t xml:space="preserve"> that David had brought about Saul’s demise so that he could succeed him</w:t>
      </w:r>
      <w:r w:rsidR="0028459E">
        <w:t>. A</w:t>
      </w:r>
      <w:r w:rsidR="00D468E1" w:rsidRPr="001F52A8">
        <w:t>nd it would be in David’s interest to argue that killing the king was wrong</w:t>
      </w:r>
      <w:r w:rsidR="00F3372F">
        <w:t>.</w:t>
      </w:r>
      <w:r w:rsidR="00D468E1" w:rsidRPr="001F52A8">
        <w:t xml:space="preserve"> </w:t>
      </w:r>
      <w:r w:rsidR="00F3372F">
        <w:t>T</w:t>
      </w:r>
      <w:r w:rsidR="00D468E1" w:rsidRPr="001F52A8">
        <w:t xml:space="preserve">he prevalence of regicide in Kings would also mean that later </w:t>
      </w:r>
      <w:r w:rsidR="00F3372F">
        <w:t>monarchs</w:t>
      </w:r>
      <w:r w:rsidR="00D468E1" w:rsidRPr="001F52A8">
        <w:t xml:space="preserve"> </w:t>
      </w:r>
      <w:r w:rsidR="00AB72A2">
        <w:t>might appreciate</w:t>
      </w:r>
      <w:r w:rsidR="00D468E1" w:rsidRPr="001F52A8">
        <w:t xml:space="preserve"> the inclusion of the stories. </w:t>
      </w:r>
    </w:p>
    <w:p w14:paraId="1A4DC45A" w14:textId="363296CB" w:rsidR="000C5F9D" w:rsidRPr="001F52A8" w:rsidRDefault="00051B03" w:rsidP="000B0A0F">
      <w:pPr>
        <w:pStyle w:val="Heading2"/>
      </w:pPr>
      <w:r w:rsidRPr="001F52A8">
        <w:t>David</w:t>
      </w:r>
      <w:r w:rsidR="009C5705" w:rsidRPr="001F52A8">
        <w:t xml:space="preserve"> </w:t>
      </w:r>
      <w:r w:rsidR="00DE56BE" w:rsidRPr="001F52A8">
        <w:t>the Man of Action</w:t>
      </w:r>
    </w:p>
    <w:p w14:paraId="23594BDF" w14:textId="1A04AC7D" w:rsidR="001134AA" w:rsidRPr="001F52A8" w:rsidRDefault="006D09CF" w:rsidP="00FA7681">
      <w:r w:rsidRPr="001F52A8">
        <w:t>The ironic overwhelming by God’s spirit that prevents Saul and his henchmen seizing David (19:19-24) does not put an end to Saul’s preoccupation with David</w:t>
      </w:r>
      <w:r w:rsidR="00482269" w:rsidRPr="001F52A8">
        <w:t>.</w:t>
      </w:r>
      <w:r w:rsidRPr="001F52A8">
        <w:t xml:space="preserve"> </w:t>
      </w:r>
      <w:r w:rsidR="001134AA" w:rsidRPr="001F52A8">
        <w:t xml:space="preserve">David’s tortuous involvement with the royal family apparently continues for a period of years, as conflict with the Philistines recurs and Saul betroths more than one of his daughters to him. </w:t>
      </w:r>
      <w:r w:rsidR="00655563">
        <w:t>Although</w:t>
      </w:r>
      <w:r w:rsidR="009570D0" w:rsidRPr="001F52A8">
        <w:t xml:space="preserve"> </w:t>
      </w:r>
      <w:r w:rsidR="00F33708" w:rsidRPr="001F52A8">
        <w:t>“</w:t>
      </w:r>
      <w:r w:rsidR="009570D0" w:rsidRPr="001F52A8">
        <w:rPr>
          <w:rFonts w:ascii="Calibri" w:hAnsi="Calibri" w:cs="Calibri"/>
        </w:rPr>
        <w:t>r</w:t>
      </w:r>
      <w:r w:rsidR="00F33708" w:rsidRPr="001F52A8">
        <w:rPr>
          <w:rFonts w:ascii="Calibri" w:hAnsi="Calibri" w:cs="Calibri"/>
        </w:rPr>
        <w:t>esealing his covenant with Jonathan gave David a single safe port in a sea of</w:t>
      </w:r>
      <w:r w:rsidR="00F33708" w:rsidRPr="001F52A8">
        <w:t xml:space="preserve"> </w:t>
      </w:r>
      <w:r w:rsidR="00F33708" w:rsidRPr="001F52A8">
        <w:rPr>
          <w:rFonts w:ascii="Calibri" w:hAnsi="Calibri" w:cs="Calibri"/>
        </w:rPr>
        <w:t>enemies</w:t>
      </w:r>
      <w:r w:rsidR="00AF1518" w:rsidRPr="001F52A8">
        <w:rPr>
          <w:rFonts w:ascii="Calibri" w:hAnsi="Calibri" w:cs="Calibri"/>
        </w:rPr>
        <w:t>,</w:t>
      </w:r>
      <w:r w:rsidR="00F33708" w:rsidRPr="001F52A8">
        <w:rPr>
          <w:rFonts w:ascii="Calibri" w:hAnsi="Calibri" w:cs="Calibri"/>
        </w:rPr>
        <w:t>”</w:t>
      </w:r>
      <w:r w:rsidR="00F33708" w:rsidRPr="001F52A8">
        <w:rPr>
          <w:rStyle w:val="FootnoteReference"/>
          <w:rFonts w:ascii="Calibri" w:hAnsi="Calibri" w:cs="Calibri"/>
        </w:rPr>
        <w:footnoteReference w:id="219"/>
      </w:r>
      <w:r w:rsidR="00F33708" w:rsidRPr="001F52A8">
        <w:rPr>
          <w:rFonts w:ascii="GaramondPremrPro" w:hAnsi="GaramondPremrPro" w:cs="GaramondPremrPro"/>
        </w:rPr>
        <w:t xml:space="preserve"> </w:t>
      </w:r>
      <w:r w:rsidR="00AF1518" w:rsidRPr="001F52A8">
        <w:t xml:space="preserve">his involvement with the family </w:t>
      </w:r>
      <w:r w:rsidR="001134AA" w:rsidRPr="001F52A8">
        <w:t xml:space="preserve">comes to a conclusive end when Jonathan tells him of Saul’s definitive decision to execute </w:t>
      </w:r>
      <w:r w:rsidR="009A437C" w:rsidRPr="001F52A8">
        <w:t>him</w:t>
      </w:r>
      <w:r w:rsidR="001134AA" w:rsidRPr="001F52A8">
        <w:t xml:space="preserve"> (20:1-42). </w:t>
      </w:r>
      <w:r w:rsidR="00DC15A1" w:rsidRPr="001F52A8">
        <w:t>“</w:t>
      </w:r>
      <w:r w:rsidR="008415E6" w:rsidRPr="001F52A8">
        <w:t xml:space="preserve">David </w:t>
      </w:r>
      <w:r w:rsidR="00DC15A1" w:rsidRPr="001F52A8">
        <w:t>is</w:t>
      </w:r>
      <w:r w:rsidR="008415E6" w:rsidRPr="001F52A8">
        <w:t xml:space="preserve"> a </w:t>
      </w:r>
      <w:r w:rsidR="00DC15A1" w:rsidRPr="001F52A8">
        <w:t>‘</w:t>
      </w:r>
      <w:r w:rsidR="008415E6" w:rsidRPr="001F52A8">
        <w:t>son of death</w:t>
      </w:r>
      <w:r w:rsidR="00DC15A1" w:rsidRPr="001F52A8">
        <w:t>’</w:t>
      </w:r>
      <w:r w:rsidR="00001F1E" w:rsidRPr="001F52A8">
        <w:t xml:space="preserve"> (20.31).</w:t>
      </w:r>
      <w:r w:rsidR="00DC15A1" w:rsidRPr="001F52A8">
        <w:t>”</w:t>
      </w:r>
      <w:r w:rsidR="0099330D" w:rsidRPr="001F52A8">
        <w:rPr>
          <w:rStyle w:val="FootnoteReference"/>
        </w:rPr>
        <w:footnoteReference w:id="220"/>
      </w:r>
      <w:r w:rsidR="003A6344" w:rsidRPr="001F52A8">
        <w:t xml:space="preserve"> He</w:t>
      </w:r>
      <w:r w:rsidR="001134AA" w:rsidRPr="001F52A8">
        <w:t xml:space="preserve"> thus gives up on the situation in Gibeah in a final way and flees for his life (21:1, 10 [2, 11]; 22:17). It is not the first time he has “fled” (19:12, 18; 20:1) and it will not be the last (27:4). The chapters that follow comprise a series of stories about flights, pleas, chases, lies, prayers, strategies, threats, commissions, slaughterings, revelations, miscalculations, and follies. David is </w:t>
      </w:r>
      <w:r w:rsidR="00B04599">
        <w:t xml:space="preserve">thus </w:t>
      </w:r>
      <w:r w:rsidR="001134AA" w:rsidRPr="001F52A8">
        <w:t xml:space="preserve">on the run for </w:t>
      </w:r>
      <w:r w:rsidR="00503137" w:rsidRPr="001F52A8">
        <w:t>a</w:t>
      </w:r>
      <w:r w:rsidR="001134AA" w:rsidRPr="001F52A8">
        <w:t xml:space="preserve"> </w:t>
      </w:r>
      <w:r w:rsidR="00255231">
        <w:t xml:space="preserve">further </w:t>
      </w:r>
      <w:r w:rsidR="001134AA" w:rsidRPr="001F52A8">
        <w:t>period of years, mostly in Judah and some distance from Gibeah, until he comes to another decision about flight and escape that mean</w:t>
      </w:r>
      <w:r w:rsidR="00C15D49">
        <w:t>s</w:t>
      </w:r>
      <w:r w:rsidR="001134AA" w:rsidRPr="001F52A8">
        <w:t xml:space="preserve"> abandoning Judah and settling in Philistia, never to see Saul again (27:1). “</w:t>
      </w:r>
      <w:r w:rsidR="001134AA" w:rsidRPr="001F52A8">
        <w:rPr>
          <w:rFonts w:ascii="Calibri" w:hAnsi="Calibri" w:cs="Calibri"/>
        </w:rPr>
        <w:t>During these wilderness</w:t>
      </w:r>
      <w:r w:rsidR="001134AA" w:rsidRPr="001F52A8">
        <w:t xml:space="preserve"> </w:t>
      </w:r>
      <w:r w:rsidR="001134AA" w:rsidRPr="001F52A8">
        <w:rPr>
          <w:rFonts w:ascii="Calibri" w:hAnsi="Calibri" w:cs="Calibri"/>
        </w:rPr>
        <w:t>years his anointing to the kingship is contradicted detail after detail</w:t>
      </w:r>
      <w:r w:rsidR="001134AA" w:rsidRPr="001F52A8">
        <w:t xml:space="preserve"> </w:t>
      </w:r>
      <w:r w:rsidR="001134AA" w:rsidRPr="001F52A8">
        <w:rPr>
          <w:rFonts w:ascii="Calibri" w:hAnsi="Calibri" w:cs="Calibri"/>
        </w:rPr>
        <w:t>by daily events</w:t>
      </w:r>
      <w:r w:rsidR="00A016C9">
        <w:rPr>
          <w:rFonts w:ascii="Calibri" w:hAnsi="Calibri" w:cs="Calibri"/>
        </w:rPr>
        <w:t xml:space="preserve"> . . . .</w:t>
      </w:r>
      <w:r w:rsidR="001134AA" w:rsidRPr="001F52A8">
        <w:rPr>
          <w:rFonts w:ascii="Calibri" w:hAnsi="Calibri" w:cs="Calibri"/>
        </w:rPr>
        <w:t xml:space="preserve"> There are fifteen wilderness stories ahead.”</w:t>
      </w:r>
      <w:r w:rsidR="001134AA" w:rsidRPr="001F52A8">
        <w:rPr>
          <w:rStyle w:val="FootnoteReference"/>
          <w:rFonts w:ascii="Calibri" w:hAnsi="Calibri" w:cs="Calibri"/>
        </w:rPr>
        <w:footnoteReference w:id="221"/>
      </w:r>
    </w:p>
    <w:p w14:paraId="48CA2DC2" w14:textId="749D88BA" w:rsidR="00977996" w:rsidRDefault="005233EC" w:rsidP="005233EC">
      <w:r w:rsidRPr="001F52A8">
        <w:t xml:space="preserve">David is continuously active, never settling down for too long, and often taking initiatives, </w:t>
      </w:r>
      <w:r>
        <w:t>but t</w:t>
      </w:r>
      <w:r w:rsidR="002F4676" w:rsidRPr="001F52A8">
        <w:t>here is no indication that he knows what he is doing</w:t>
      </w:r>
      <w:r w:rsidR="00FA7681" w:rsidRPr="001F52A8">
        <w:t xml:space="preserve"> when he takes flight</w:t>
      </w:r>
      <w:r w:rsidR="002F4676" w:rsidRPr="001F52A8">
        <w:t>, that he has a plan, here or later</w:t>
      </w:r>
      <w:r w:rsidR="00F54CFE" w:rsidRPr="001F52A8">
        <w:t>.</w:t>
      </w:r>
      <w:r w:rsidR="00AC2983" w:rsidRPr="001F52A8">
        <w:rPr>
          <w:rStyle w:val="FootnoteReference"/>
        </w:rPr>
        <w:footnoteReference w:id="222"/>
      </w:r>
      <w:r w:rsidR="00F54CFE" w:rsidRPr="001F52A8">
        <w:t xml:space="preserve"> </w:t>
      </w:r>
      <w:r w:rsidR="00CA4BFD">
        <w:rPr>
          <w:rFonts w:ascii="Calibri" w:hAnsi="Calibri" w:cs="Calibri"/>
        </w:rPr>
        <w:t>He</w:t>
      </w:r>
      <w:r w:rsidR="008675AE" w:rsidRPr="001F52A8">
        <w:t xml:space="preserve"> </w:t>
      </w:r>
      <w:r w:rsidR="00482DA1" w:rsidRPr="001F52A8">
        <w:t xml:space="preserve">leaves </w:t>
      </w:r>
      <w:r w:rsidR="006A2A86">
        <w:t xml:space="preserve">Gibeah </w:t>
      </w:r>
      <w:r w:rsidR="00482DA1" w:rsidRPr="001F52A8">
        <w:t>without provisions or weapon</w:t>
      </w:r>
      <w:r w:rsidR="00D513D1" w:rsidRPr="001F52A8">
        <w:t>, but</w:t>
      </w:r>
      <w:r w:rsidR="00F54CFE" w:rsidRPr="001F52A8">
        <w:t xml:space="preserve"> </w:t>
      </w:r>
      <w:r w:rsidR="00612C85">
        <w:t>talks</w:t>
      </w:r>
      <w:r w:rsidR="00F54CFE" w:rsidRPr="001F52A8">
        <w:t xml:space="preserve"> his way into </w:t>
      </w:r>
      <w:r w:rsidR="00117557" w:rsidRPr="001F52A8">
        <w:t xml:space="preserve">obtaining </w:t>
      </w:r>
      <w:r w:rsidR="00800EF2">
        <w:t>them</w:t>
      </w:r>
      <w:r w:rsidR="00F54CFE" w:rsidRPr="001F52A8">
        <w:t xml:space="preserve"> at Nob, </w:t>
      </w:r>
      <w:r w:rsidR="00640EF3" w:rsidRPr="001F52A8">
        <w:t>not far away</w:t>
      </w:r>
      <w:r w:rsidR="006A2A86">
        <w:t>, which</w:t>
      </w:r>
      <w:r w:rsidR="00640EF3" w:rsidRPr="001F52A8">
        <w:t xml:space="preserve"> </w:t>
      </w:r>
      <w:r w:rsidR="00CD5C3F" w:rsidRPr="001F52A8">
        <w:t xml:space="preserve">has </w:t>
      </w:r>
      <w:r w:rsidR="00DD30DE" w:rsidRPr="001F52A8">
        <w:t xml:space="preserve">apparently </w:t>
      </w:r>
      <w:r w:rsidR="00CD5C3F" w:rsidRPr="001F52A8">
        <w:t>replaced Shiloh as Israel’s main sanctuary</w:t>
      </w:r>
      <w:r w:rsidR="004122FA" w:rsidRPr="001F52A8">
        <w:t xml:space="preserve"> (21:</w:t>
      </w:r>
      <w:r w:rsidR="00F23005" w:rsidRPr="001F52A8">
        <w:t>1-9 [2-10])</w:t>
      </w:r>
      <w:r w:rsidR="00DD30DE" w:rsidRPr="001F52A8">
        <w:t>.</w:t>
      </w:r>
      <w:r w:rsidR="002F2FA5" w:rsidRPr="001F52A8">
        <w:t xml:space="preserve"> </w:t>
      </w:r>
    </w:p>
    <w:p w14:paraId="24B0B1DF" w14:textId="01B2E659" w:rsidR="00E215EE" w:rsidRDefault="00CE478C" w:rsidP="00C92271">
      <w:r w:rsidRPr="001F52A8">
        <w:rPr>
          <w:rFonts w:ascii="Calibri" w:hAnsi="Calibri" w:cs="Calibri"/>
        </w:rPr>
        <w:t xml:space="preserve">The story introduces </w:t>
      </w:r>
      <w:r w:rsidR="00CF1E76">
        <w:rPr>
          <w:rFonts w:ascii="Calibri" w:hAnsi="Calibri" w:cs="Calibri"/>
        </w:rPr>
        <w:t>auditor</w:t>
      </w:r>
      <w:r w:rsidRPr="001F52A8">
        <w:rPr>
          <w:rFonts w:ascii="Calibri" w:hAnsi="Calibri" w:cs="Calibri"/>
        </w:rPr>
        <w:t>s to the ambiguity of these wilderness years.</w:t>
      </w:r>
      <w:r w:rsidRPr="001F52A8">
        <w:t xml:space="preserve"> </w:t>
      </w:r>
      <w:r w:rsidR="00E16779" w:rsidRPr="001F52A8">
        <w:rPr>
          <w:rFonts w:ascii="Calibri" w:hAnsi="Calibri" w:cs="Calibri"/>
        </w:rPr>
        <w:t xml:space="preserve">Israelites were aware that they needed both to take seriously the metaphysical distinction between humanity and God (let alone the moral one) </w:t>
      </w:r>
      <w:r w:rsidR="00631BB3">
        <w:rPr>
          <w:rFonts w:ascii="Calibri" w:hAnsi="Calibri" w:cs="Calibri"/>
        </w:rPr>
        <w:t>and</w:t>
      </w:r>
      <w:r w:rsidR="00020987" w:rsidRPr="001F52A8">
        <w:rPr>
          <w:rFonts w:ascii="Calibri" w:hAnsi="Calibri" w:cs="Calibri"/>
        </w:rPr>
        <w:t xml:space="preserve"> also</w:t>
      </w:r>
      <w:r w:rsidR="00E16779" w:rsidRPr="001F52A8">
        <w:rPr>
          <w:rFonts w:ascii="Calibri" w:hAnsi="Calibri" w:cs="Calibri"/>
        </w:rPr>
        <w:t xml:space="preserve"> to affirm the reality </w:t>
      </w:r>
      <w:r w:rsidR="00523312" w:rsidRPr="001F52A8">
        <w:rPr>
          <w:rFonts w:ascii="Calibri" w:hAnsi="Calibri" w:cs="Calibri"/>
        </w:rPr>
        <w:t xml:space="preserve">God’s approachability and </w:t>
      </w:r>
      <w:r w:rsidR="00E16779" w:rsidRPr="001F52A8">
        <w:rPr>
          <w:rFonts w:ascii="Calibri" w:hAnsi="Calibri" w:cs="Calibri"/>
        </w:rPr>
        <w:t xml:space="preserve">of their connection with God. </w:t>
      </w:r>
      <w:r w:rsidR="008B781F">
        <w:t>And</w:t>
      </w:r>
      <w:r w:rsidR="00BE0E07" w:rsidRPr="001F52A8">
        <w:t xml:space="preserve"> Israel</w:t>
      </w:r>
      <w:r w:rsidR="00E16779" w:rsidRPr="001F52A8">
        <w:t xml:space="preserve"> observes differences from Yahweh as the holy one in the way it manages contact with sex</w:t>
      </w:r>
      <w:r w:rsidR="00735853" w:rsidRPr="001F52A8">
        <w:t>,</w:t>
      </w:r>
      <w:r w:rsidR="00E16779" w:rsidRPr="001F52A8">
        <w:t xml:space="preserve"> with death</w:t>
      </w:r>
      <w:r w:rsidR="00735853" w:rsidRPr="001F52A8">
        <w:t>,</w:t>
      </w:r>
      <w:r w:rsidR="00E16779" w:rsidRPr="001F52A8">
        <w:t xml:space="preserve"> and with blood – so Bathsheba makes herself holy from her taboo at the end of her period (2 Sam 21:4). </w:t>
      </w:r>
      <w:r w:rsidR="00BC52EA">
        <w:t>Q</w:t>
      </w:r>
      <w:r w:rsidR="00E16779" w:rsidRPr="001F52A8">
        <w:t>uestions about taboo or defilement (</w:t>
      </w:r>
      <w:r w:rsidR="00E16779" w:rsidRPr="001F52A8">
        <w:rPr>
          <w:rFonts w:cstheme="minorHAnsi"/>
          <w:i/>
          <w:iCs/>
        </w:rPr>
        <w:t>ṭum’â</w:t>
      </w:r>
      <w:r w:rsidR="00E16779" w:rsidRPr="001F52A8">
        <w:rPr>
          <w:rFonts w:cstheme="minorHAnsi"/>
        </w:rPr>
        <w:t>)</w:t>
      </w:r>
      <w:r w:rsidR="00E16779" w:rsidRPr="001F52A8">
        <w:rPr>
          <w:rFonts w:cstheme="minorHAnsi"/>
          <w:i/>
          <w:iCs/>
        </w:rPr>
        <w:t xml:space="preserve"> </w:t>
      </w:r>
      <w:r w:rsidR="00E16779" w:rsidRPr="001F52A8">
        <w:t>and</w:t>
      </w:r>
      <w:r w:rsidR="00EE317C">
        <w:t xml:space="preserve"> about</w:t>
      </w:r>
      <w:r w:rsidR="00E16779" w:rsidRPr="001F52A8">
        <w:t xml:space="preserve"> whether someone is clean </w:t>
      </w:r>
      <w:r w:rsidR="00E16779" w:rsidRPr="001F52A8">
        <w:lastRenderedPageBreak/>
        <w:t>or pure (</w:t>
      </w:r>
      <w:r w:rsidR="00E16779" w:rsidRPr="001F52A8">
        <w:rPr>
          <w:rFonts w:cstheme="minorHAnsi"/>
          <w:i/>
          <w:iCs/>
        </w:rPr>
        <w:t>ṭāhôr</w:t>
      </w:r>
      <w:r w:rsidR="00E16779" w:rsidRPr="001F52A8">
        <w:rPr>
          <w:rFonts w:cstheme="minorHAnsi"/>
        </w:rPr>
        <w:t>,</w:t>
      </w:r>
      <w:r w:rsidR="00E16779" w:rsidRPr="001F52A8">
        <w:rPr>
          <w:rFonts w:cstheme="minorHAnsi"/>
          <w:i/>
          <w:iCs/>
        </w:rPr>
        <w:t xml:space="preserve"> </w:t>
      </w:r>
      <w:r w:rsidR="00E16779" w:rsidRPr="001F52A8">
        <w:t>1 Sam 20:26)</w:t>
      </w:r>
      <w:r w:rsidR="000704F0">
        <w:t xml:space="preserve"> thus</w:t>
      </w:r>
      <w:r w:rsidR="00E16779" w:rsidRPr="001F52A8">
        <w:t xml:space="preserve"> overlap with questions about holiness. </w:t>
      </w:r>
      <w:r w:rsidR="00316645">
        <w:t>W</w:t>
      </w:r>
      <w:r w:rsidR="00E16779" w:rsidRPr="001F52A8">
        <w:t>hen people are to meet with the holy one, they need to make themselves holy and they may need someone to help them manage that transition (16:5).</w:t>
      </w:r>
      <w:r w:rsidR="00020987" w:rsidRPr="001F52A8">
        <w:t xml:space="preserve"> </w:t>
      </w:r>
      <w:r w:rsidR="00020987" w:rsidRPr="001F52A8">
        <w:rPr>
          <w:rFonts w:ascii="Calibri" w:hAnsi="Calibri" w:cs="Calibri"/>
        </w:rPr>
        <w:t>The importance of food ma</w:t>
      </w:r>
      <w:r w:rsidR="000704F0">
        <w:rPr>
          <w:rFonts w:ascii="Calibri" w:hAnsi="Calibri" w:cs="Calibri"/>
        </w:rPr>
        <w:t>kes</w:t>
      </w:r>
      <w:r w:rsidR="00020987" w:rsidRPr="001F52A8">
        <w:rPr>
          <w:rFonts w:ascii="Calibri" w:hAnsi="Calibri" w:cs="Calibri"/>
        </w:rPr>
        <w:t xml:space="preserve"> food one natural </w:t>
      </w:r>
      <w:r w:rsidR="007D5210">
        <w:rPr>
          <w:rFonts w:ascii="Calibri" w:hAnsi="Calibri" w:cs="Calibri"/>
        </w:rPr>
        <w:t>arena</w:t>
      </w:r>
      <w:r w:rsidR="00EE3AD1">
        <w:rPr>
          <w:rFonts w:ascii="Calibri" w:hAnsi="Calibri" w:cs="Calibri"/>
        </w:rPr>
        <w:t xml:space="preserve"> for</w:t>
      </w:r>
      <w:r w:rsidR="00020987" w:rsidRPr="001F52A8">
        <w:rPr>
          <w:rFonts w:ascii="Calibri" w:hAnsi="Calibri" w:cs="Calibri"/>
        </w:rPr>
        <w:t xml:space="preserve"> </w:t>
      </w:r>
      <w:r w:rsidR="00EC3004">
        <w:rPr>
          <w:rFonts w:ascii="Calibri" w:hAnsi="Calibri" w:cs="Calibri"/>
        </w:rPr>
        <w:t xml:space="preserve">marking the difference </w:t>
      </w:r>
      <w:r w:rsidR="00500FA1">
        <w:rPr>
          <w:rFonts w:ascii="Calibri" w:hAnsi="Calibri" w:cs="Calibri"/>
        </w:rPr>
        <w:t>between humanity and God</w:t>
      </w:r>
      <w:r w:rsidR="00020987" w:rsidRPr="001F52A8">
        <w:rPr>
          <w:rFonts w:ascii="Calibri" w:hAnsi="Calibri" w:cs="Calibri"/>
        </w:rPr>
        <w:t xml:space="preserve"> (as is implicit in the story in 2:12-17)</w:t>
      </w:r>
      <w:r w:rsidR="004508AD">
        <w:rPr>
          <w:rFonts w:ascii="Calibri" w:hAnsi="Calibri" w:cs="Calibri"/>
        </w:rPr>
        <w:t>. O</w:t>
      </w:r>
      <w:r w:rsidR="00020987" w:rsidRPr="001F52A8">
        <w:rPr>
          <w:rFonts w:ascii="Calibri" w:hAnsi="Calibri" w:cs="Calibri"/>
        </w:rPr>
        <w:t>ne expression of that principle was the depositing each week of loaves of bread before Yahweh, the Presence Bread (traditionally, “showbread”)</w:t>
      </w:r>
      <w:r w:rsidR="004508AD">
        <w:rPr>
          <w:rFonts w:ascii="Calibri" w:hAnsi="Calibri" w:cs="Calibri"/>
        </w:rPr>
        <w:t>, which</w:t>
      </w:r>
      <w:r w:rsidR="00020987" w:rsidRPr="001F52A8">
        <w:rPr>
          <w:rFonts w:ascii="Calibri" w:hAnsi="Calibri" w:cs="Calibri"/>
        </w:rPr>
        <w:t xml:space="preserve"> </w:t>
      </w:r>
      <w:r w:rsidR="00E36ED9">
        <w:rPr>
          <w:rFonts w:ascii="Calibri" w:hAnsi="Calibri" w:cs="Calibri"/>
        </w:rPr>
        <w:t xml:space="preserve">thereby </w:t>
      </w:r>
      <w:r w:rsidR="00020987" w:rsidRPr="001F52A8">
        <w:rPr>
          <w:rFonts w:ascii="Calibri" w:hAnsi="Calibri" w:cs="Calibri"/>
        </w:rPr>
        <w:t>becomes holy rather than ordinary (</w:t>
      </w:r>
      <w:r w:rsidR="00020987" w:rsidRPr="001F52A8">
        <w:rPr>
          <w:rFonts w:ascii="Calibri" w:hAnsi="Calibri" w:cs="Calibri"/>
          <w:i/>
          <w:iCs/>
        </w:rPr>
        <w:t>ḥōl</w:t>
      </w:r>
      <w:r w:rsidR="00020987" w:rsidRPr="001F52A8">
        <w:rPr>
          <w:rFonts w:ascii="Calibri" w:hAnsi="Calibri" w:cs="Calibri"/>
        </w:rPr>
        <w:t xml:space="preserve">), and at the end of the week the priests would eat it. Possibly the rule at Nob was not quite so precise; Ahimelech is willing for David and his men to have it, but they need themselves to be holy </w:t>
      </w:r>
      <w:r w:rsidR="00020987" w:rsidRPr="001F52A8">
        <w:t>(21:3-6 [4-7])</w:t>
      </w:r>
      <w:r w:rsidR="009370E5">
        <w:t xml:space="preserve">. </w:t>
      </w:r>
      <w:r w:rsidR="00E8275F" w:rsidRPr="001F52A8">
        <w:t>While t</w:t>
      </w:r>
      <w:r w:rsidR="00E16779" w:rsidRPr="001F52A8">
        <w:t xml:space="preserve">he First Testament does not refer to “holy war” </w:t>
      </w:r>
      <w:r w:rsidR="00E8275F" w:rsidRPr="001F52A8">
        <w:t>and treats w</w:t>
      </w:r>
      <w:r w:rsidR="00E16779" w:rsidRPr="001F52A8">
        <w:t xml:space="preserve">ar </w:t>
      </w:r>
      <w:r w:rsidR="00E8275F" w:rsidRPr="001F52A8">
        <w:t>a</w:t>
      </w:r>
      <w:r w:rsidR="00E16779" w:rsidRPr="001F52A8">
        <w:t>s an ordinary thing, like food or buildings or times or possessions or people</w:t>
      </w:r>
      <w:r w:rsidR="00E8275F" w:rsidRPr="001F52A8">
        <w:t>, war</w:t>
      </w:r>
      <w:r w:rsidR="00E16779" w:rsidRPr="001F52A8">
        <w:t xml:space="preserve"> can be made holy as th</w:t>
      </w:r>
      <w:r w:rsidR="00761E73">
        <w:t>ose things</w:t>
      </w:r>
      <w:r w:rsidR="00E16779" w:rsidRPr="001F52A8">
        <w:t xml:space="preserve"> can, by being given over to Yahweh so that (for instance) you surrender any rights to it. </w:t>
      </w:r>
      <w:r w:rsidR="00D448D5" w:rsidRPr="001F52A8">
        <w:t>And m</w:t>
      </w:r>
      <w:r w:rsidR="00E16779" w:rsidRPr="001F52A8">
        <w:t>aking war in Yahweh’s name</w:t>
      </w:r>
      <w:r w:rsidR="00D448D5" w:rsidRPr="001F52A8">
        <w:t>, fighting Yahweh’s battles (2</w:t>
      </w:r>
      <w:r w:rsidR="00750D09" w:rsidRPr="001F52A8">
        <w:t>5:28),</w:t>
      </w:r>
      <w:r w:rsidR="00E16779" w:rsidRPr="001F52A8">
        <w:t xml:space="preserve"> involves being holy in th</w:t>
      </w:r>
      <w:r w:rsidR="00E6580A">
        <w:t>e</w:t>
      </w:r>
      <w:r w:rsidR="00E16779" w:rsidRPr="001F52A8">
        <w:t xml:space="preserve"> sense</w:t>
      </w:r>
      <w:r w:rsidR="00E6580A">
        <w:t xml:space="preserve"> o</w:t>
      </w:r>
      <w:r w:rsidR="00F82526">
        <w:t>f</w:t>
      </w:r>
      <w:r w:rsidR="00E6580A">
        <w:t xml:space="preserve"> observing those separations</w:t>
      </w:r>
      <w:r w:rsidR="00750D09" w:rsidRPr="001F52A8">
        <w:t xml:space="preserve">. </w:t>
      </w:r>
      <w:r w:rsidR="00E16779" w:rsidRPr="001F52A8">
        <w:t xml:space="preserve">David </w:t>
      </w:r>
      <w:r w:rsidR="003C6B5F">
        <w:t>can therefore plausibly</w:t>
      </w:r>
      <w:r w:rsidR="00E16779" w:rsidRPr="001F52A8">
        <w:t xml:space="preserve"> claim that his men are holy</w:t>
      </w:r>
      <w:r w:rsidR="00B9283A">
        <w:t xml:space="preserve"> and can eat the </w:t>
      </w:r>
      <w:r w:rsidR="003B6774">
        <w:t>Presence Bread</w:t>
      </w:r>
      <w:r w:rsidR="00E16779" w:rsidRPr="001F52A8">
        <w:t>.</w:t>
      </w:r>
      <w:r w:rsidR="00C92271" w:rsidRPr="001F52A8">
        <w:t xml:space="preserve"> </w:t>
      </w:r>
      <w:r w:rsidR="003B6774">
        <w:t>O</w:t>
      </w:r>
      <w:r w:rsidR="003B6774" w:rsidRPr="001F52A8">
        <w:t xml:space="preserve">ne might wonder whether his claims about </w:t>
      </w:r>
      <w:r w:rsidR="003B6774">
        <w:t xml:space="preserve">their </w:t>
      </w:r>
      <w:r w:rsidR="003B6774" w:rsidRPr="001F52A8">
        <w:t>holiness are true</w:t>
      </w:r>
      <w:r w:rsidR="003B6774">
        <w:t xml:space="preserve">, </w:t>
      </w:r>
      <w:r w:rsidR="002830C3">
        <w:t>but</w:t>
      </w:r>
      <w:r w:rsidR="003B6774">
        <w:t xml:space="preserve"> t</w:t>
      </w:r>
      <w:r w:rsidR="00C92271" w:rsidRPr="001F52A8">
        <w:t xml:space="preserve">he First Testament would have </w:t>
      </w:r>
      <w:r w:rsidR="002830C3">
        <w:t>little</w:t>
      </w:r>
      <w:r w:rsidR="00C92271" w:rsidRPr="001F52A8">
        <w:t xml:space="preserve"> worry about his </w:t>
      </w:r>
      <w:r w:rsidR="00C92271" w:rsidRPr="001F52A8">
        <w:rPr>
          <w:rFonts w:ascii="Calibri" w:hAnsi="Calibri" w:cs="Calibri"/>
        </w:rPr>
        <w:t>being “</w:t>
      </w:r>
      <w:r w:rsidR="00C92271" w:rsidRPr="001F52A8">
        <w:rPr>
          <w:rFonts w:ascii="Calibri" w:hAnsi="Calibri" w:cs="Calibri"/>
          <w:sz w:val="21"/>
          <w:szCs w:val="21"/>
        </w:rPr>
        <w:t>compelled to be a perfect liar</w:t>
      </w:r>
      <w:r w:rsidR="00C92271" w:rsidRPr="001F52A8">
        <w:rPr>
          <w:rFonts w:ascii="Calibri" w:hAnsi="Calibri" w:cs="Calibri"/>
        </w:rPr>
        <w:t>”</w:t>
      </w:r>
      <w:r w:rsidR="00C92271" w:rsidRPr="001F52A8">
        <w:rPr>
          <w:rStyle w:val="FootnoteReference"/>
          <w:rFonts w:ascii="Calibri" w:hAnsi="Calibri" w:cs="Calibri"/>
        </w:rPr>
        <w:footnoteReference w:id="223"/>
      </w:r>
      <w:r w:rsidR="00C92271" w:rsidRPr="001F52A8">
        <w:rPr>
          <w:rFonts w:ascii="Calibri" w:hAnsi="Calibri" w:cs="Calibri"/>
        </w:rPr>
        <w:t xml:space="preserve"> in </w:t>
      </w:r>
      <w:r w:rsidR="00AE79C1">
        <w:rPr>
          <w:rFonts w:ascii="Calibri" w:hAnsi="Calibri" w:cs="Calibri"/>
        </w:rPr>
        <w:t xml:space="preserve">some </w:t>
      </w:r>
      <w:r w:rsidR="00C92271" w:rsidRPr="001F52A8">
        <w:rPr>
          <w:rFonts w:ascii="Calibri" w:hAnsi="Calibri" w:cs="Calibri"/>
        </w:rPr>
        <w:t>circumstances</w:t>
      </w:r>
      <w:r w:rsidR="00C92271" w:rsidRPr="001F52A8">
        <w:t xml:space="preserve">. </w:t>
      </w:r>
    </w:p>
    <w:p w14:paraId="2DA2868F" w14:textId="29B5E586" w:rsidR="00377916" w:rsidRPr="00E30E41" w:rsidRDefault="00C92271" w:rsidP="00E30E41">
      <w:r w:rsidRPr="001F52A8">
        <w:t>David also acquires Goliath’s</w:t>
      </w:r>
      <w:r w:rsidRPr="001F52A8">
        <w:rPr>
          <w:rFonts w:ascii="Calibri" w:hAnsi="Calibri" w:cs="Calibri"/>
        </w:rPr>
        <w:t xml:space="preserve"> sword, which would be “charged with symbolic meanings: a trophy of the</w:t>
      </w:r>
      <w:r w:rsidRPr="001F52A8">
        <w:t xml:space="preserve"> </w:t>
      </w:r>
      <w:r w:rsidRPr="001F52A8">
        <w:rPr>
          <w:rFonts w:ascii="Calibri" w:hAnsi="Calibri" w:cs="Calibri"/>
        </w:rPr>
        <w:t>unconquerable enemy conquered by faith; a token of the first great</w:t>
      </w:r>
      <w:r w:rsidRPr="001F52A8">
        <w:t xml:space="preserve"> </w:t>
      </w:r>
      <w:r w:rsidRPr="001F52A8">
        <w:rPr>
          <w:rFonts w:ascii="Calibri" w:hAnsi="Calibri" w:cs="Calibri"/>
        </w:rPr>
        <w:t>Davidic victory in the service of Saul, and now used in defense</w:t>
      </w:r>
      <w:r w:rsidRPr="001F52A8">
        <w:t xml:space="preserve"> </w:t>
      </w:r>
      <w:r w:rsidRPr="001F52A8">
        <w:rPr>
          <w:rFonts w:ascii="Calibri" w:hAnsi="Calibri" w:cs="Calibri"/>
        </w:rPr>
        <w:t>against Saul.”</w:t>
      </w:r>
      <w:r w:rsidRPr="001F52A8">
        <w:rPr>
          <w:rStyle w:val="FootnoteReference"/>
          <w:rFonts w:ascii="Calibri" w:hAnsi="Calibri" w:cs="Calibri"/>
        </w:rPr>
        <w:footnoteReference w:id="224"/>
      </w:r>
      <w:r w:rsidR="001372A1">
        <w:rPr>
          <w:rFonts w:ascii="Calibri" w:hAnsi="Calibri" w:cs="Calibri"/>
        </w:rPr>
        <w:t xml:space="preserve"> </w:t>
      </w:r>
      <w:r w:rsidR="002F2FA5" w:rsidRPr="001F52A8">
        <w:t>So equi</w:t>
      </w:r>
      <w:r w:rsidR="00252BD9" w:rsidRPr="001F52A8">
        <w:t>pped, he</w:t>
      </w:r>
      <w:r w:rsidR="00306B3D" w:rsidRPr="001F52A8">
        <w:t xml:space="preserve"> flees down off the mountain ridge </w:t>
      </w:r>
      <w:r w:rsidR="00881DAF" w:rsidRPr="001F52A8">
        <w:t xml:space="preserve">a day or two’s journey west </w:t>
      </w:r>
      <w:r w:rsidR="00306B3D" w:rsidRPr="001F52A8">
        <w:t xml:space="preserve">to </w:t>
      </w:r>
      <w:r w:rsidR="001F6C09" w:rsidRPr="001F52A8">
        <w:t>Philistine territory</w:t>
      </w:r>
      <w:r w:rsidR="00850CE0" w:rsidRPr="001F52A8">
        <w:t>,</w:t>
      </w:r>
      <w:r w:rsidR="00C84851" w:rsidRPr="001F52A8">
        <w:t xml:space="preserve"> to</w:t>
      </w:r>
      <w:r w:rsidR="00252BD9" w:rsidRPr="001F52A8">
        <w:t xml:space="preserve"> </w:t>
      </w:r>
      <w:r w:rsidR="00C84851" w:rsidRPr="001F52A8">
        <w:t>Gath</w:t>
      </w:r>
      <w:r w:rsidR="00F23005" w:rsidRPr="001F52A8">
        <w:t xml:space="preserve"> (21:10-15 [</w:t>
      </w:r>
      <w:r w:rsidR="00722E8B" w:rsidRPr="001F52A8">
        <w:t>11-16])</w:t>
      </w:r>
      <w:r w:rsidR="00C84851" w:rsidRPr="001F52A8">
        <w:t xml:space="preserve">, </w:t>
      </w:r>
      <w:r w:rsidR="00802439" w:rsidRPr="001F52A8">
        <w:t>Goliath’s town</w:t>
      </w:r>
      <w:r w:rsidR="008176A8" w:rsidRPr="001F52A8">
        <w:t xml:space="preserve">. </w:t>
      </w:r>
      <w:r w:rsidR="00850CE0" w:rsidRPr="001F52A8">
        <w:t>People</w:t>
      </w:r>
      <w:r w:rsidR="00B1253A" w:rsidRPr="001F52A8">
        <w:t xml:space="preserve"> know about him there</w:t>
      </w:r>
      <w:r w:rsidR="00036871" w:rsidRPr="001F52A8">
        <w:t>,</w:t>
      </w:r>
      <w:r w:rsidR="00B1253A" w:rsidRPr="001F52A8">
        <w:t xml:space="preserve"> and </w:t>
      </w:r>
      <w:r w:rsidR="00036871" w:rsidRPr="001F52A8">
        <w:t xml:space="preserve">they </w:t>
      </w:r>
      <w:r w:rsidR="00B1253A" w:rsidRPr="001F52A8">
        <w:t xml:space="preserve">intriguingly call him “king of the country,” </w:t>
      </w:r>
      <w:r w:rsidR="00CB67FC" w:rsidRPr="001F52A8">
        <w:t xml:space="preserve">by </w:t>
      </w:r>
      <w:r w:rsidR="00B1253A" w:rsidRPr="001F52A8">
        <w:t xml:space="preserve">which </w:t>
      </w:r>
      <w:r w:rsidR="002C0206" w:rsidRPr="001F52A8">
        <w:t>maybe</w:t>
      </w:r>
      <w:r w:rsidR="00B1253A" w:rsidRPr="001F52A8">
        <w:t xml:space="preserve"> they mean “</w:t>
      </w:r>
      <w:r w:rsidR="00CB67FC" w:rsidRPr="001F52A8">
        <w:t xml:space="preserve">the kind of person who could be </w:t>
      </w:r>
      <w:r w:rsidR="00E3690B" w:rsidRPr="001F52A8">
        <w:t xml:space="preserve">ruler of a city state </w:t>
      </w:r>
      <w:r w:rsidR="00036871" w:rsidRPr="001F52A8">
        <w:t>in Israel</w:t>
      </w:r>
      <w:r w:rsidR="002C0206" w:rsidRPr="001F52A8">
        <w:t>”</w:t>
      </w:r>
      <w:r w:rsidR="00036871" w:rsidRPr="001F52A8">
        <w:t xml:space="preserve"> </w:t>
      </w:r>
      <w:r w:rsidR="00E3690B" w:rsidRPr="001F52A8">
        <w:t xml:space="preserve">like </w:t>
      </w:r>
      <w:r w:rsidR="00E236BE">
        <w:t xml:space="preserve">their “king” </w:t>
      </w:r>
      <w:r w:rsidR="00764D35" w:rsidRPr="001F52A8">
        <w:t>Achish</w:t>
      </w:r>
      <w:r w:rsidR="00EA66B5">
        <w:t>, though</w:t>
      </w:r>
      <w:r w:rsidR="00036871" w:rsidRPr="001F52A8">
        <w:t xml:space="preserve"> </w:t>
      </w:r>
      <w:r w:rsidR="00CF1E76">
        <w:t>auditor</w:t>
      </w:r>
      <w:r w:rsidR="005F699E" w:rsidRPr="001F52A8">
        <w:t xml:space="preserve">s would </w:t>
      </w:r>
      <w:r w:rsidR="00CF1E76">
        <w:t>catch</w:t>
      </w:r>
      <w:r w:rsidR="005F699E" w:rsidRPr="001F52A8">
        <w:t xml:space="preserve"> another significance in </w:t>
      </w:r>
      <w:r w:rsidR="00036871" w:rsidRPr="001F52A8">
        <w:t xml:space="preserve">the </w:t>
      </w:r>
      <w:r w:rsidR="005F699E" w:rsidRPr="001F52A8">
        <w:t xml:space="preserve">comment. </w:t>
      </w:r>
      <w:r w:rsidR="00B0003B">
        <w:t xml:space="preserve">It’s but a first indication of a potentially friendly relationship between </w:t>
      </w:r>
      <w:r w:rsidR="00572C79">
        <w:t>Gath and David’s Israel,</w:t>
      </w:r>
      <w:r w:rsidR="00572C79">
        <w:rPr>
          <w:rStyle w:val="FootnoteReference"/>
        </w:rPr>
        <w:footnoteReference w:id="225"/>
      </w:r>
      <w:r w:rsidR="00572C79">
        <w:t xml:space="preserve"> but </w:t>
      </w:r>
      <w:r w:rsidR="001F1A11" w:rsidRPr="001F52A8">
        <w:t>David is afraid</w:t>
      </w:r>
      <w:r w:rsidR="000044C0" w:rsidRPr="001F52A8">
        <w:t xml:space="preserve"> of the consequences of this recognition</w:t>
      </w:r>
      <w:r w:rsidR="005629FF">
        <w:t>. He</w:t>
      </w:r>
      <w:r w:rsidR="001B5E50" w:rsidRPr="001F52A8">
        <w:t xml:space="preserve"> again </w:t>
      </w:r>
      <w:r w:rsidR="0016230F" w:rsidRPr="001F52A8">
        <w:t>gets by through</w:t>
      </w:r>
      <w:r w:rsidR="001B5E50" w:rsidRPr="001F52A8">
        <w:t xml:space="preserve"> </w:t>
      </w:r>
      <w:r w:rsidR="002A7C46" w:rsidRPr="001F52A8">
        <w:t>deception</w:t>
      </w:r>
      <w:r w:rsidR="00F23D01" w:rsidRPr="001F52A8">
        <w:t>, behaving like someone crazy</w:t>
      </w:r>
      <w:r w:rsidR="00C471CB" w:rsidRPr="001F52A8">
        <w:t xml:space="preserve"> or </w:t>
      </w:r>
      <w:r w:rsidR="00D83855" w:rsidRPr="001F52A8">
        <w:t xml:space="preserve">weird or </w:t>
      </w:r>
      <w:r w:rsidR="00C471CB" w:rsidRPr="001F52A8">
        <w:t>“erratic</w:t>
      </w:r>
      <w:r w:rsidR="004D2857">
        <w:t>.</w:t>
      </w:r>
      <w:r w:rsidR="00C471CB" w:rsidRPr="001F52A8">
        <w:t>”</w:t>
      </w:r>
      <w:r w:rsidR="00C471CB" w:rsidRPr="001F52A8">
        <w:rPr>
          <w:rStyle w:val="FootnoteReference"/>
        </w:rPr>
        <w:footnoteReference w:id="226"/>
      </w:r>
      <w:r w:rsidR="00C471CB" w:rsidRPr="001F52A8">
        <w:t xml:space="preserve"> </w:t>
      </w:r>
      <w:r w:rsidR="004D2857">
        <w:t>W</w:t>
      </w:r>
      <w:r w:rsidR="00E07188" w:rsidRPr="001F52A8">
        <w:t>e should not interpret this description too technically</w:t>
      </w:r>
      <w:r w:rsidR="004D2857">
        <w:t xml:space="preserve">, </w:t>
      </w:r>
      <w:r w:rsidR="003B3C05">
        <w:t>though</w:t>
      </w:r>
      <w:r w:rsidR="004D2857">
        <w:t xml:space="preserve"> it does seem</w:t>
      </w:r>
      <w:r w:rsidR="004B2546" w:rsidRPr="001F52A8">
        <w:t xml:space="preserve"> humiliating in light of the recognition of him as </w:t>
      </w:r>
      <w:r w:rsidR="004D2857">
        <w:t xml:space="preserve">a </w:t>
      </w:r>
      <w:r w:rsidR="004B2546" w:rsidRPr="001F52A8">
        <w:t xml:space="preserve">king and </w:t>
      </w:r>
      <w:r w:rsidR="003E71F1">
        <w:t>his</w:t>
      </w:r>
      <w:r w:rsidR="004B2546" w:rsidRPr="001F52A8">
        <w:t xml:space="preserve"> destin</w:t>
      </w:r>
      <w:r w:rsidR="003E71F1">
        <w:t>y</w:t>
      </w:r>
      <w:r w:rsidR="004B2546" w:rsidRPr="001F52A8">
        <w:t xml:space="preserve"> to be king. </w:t>
      </w:r>
      <w:r w:rsidR="003B3C05">
        <w:t>But</w:t>
      </w:r>
      <w:r w:rsidR="00E80A41" w:rsidRPr="001F52A8">
        <w:t xml:space="preserve"> there is no future </w:t>
      </w:r>
      <w:r w:rsidR="00186B13" w:rsidRPr="001F52A8">
        <w:t xml:space="preserve">for him in Gath </w:t>
      </w:r>
      <w:r w:rsidR="00873DAB" w:rsidRPr="001F52A8">
        <w:t xml:space="preserve">except life in a care home, so </w:t>
      </w:r>
      <w:r w:rsidR="003D3353" w:rsidRPr="001F52A8">
        <w:t xml:space="preserve">David </w:t>
      </w:r>
      <w:r w:rsidR="00757805" w:rsidRPr="001F52A8">
        <w:t>“</w:t>
      </w:r>
      <w:r w:rsidR="00AF1BE7" w:rsidRPr="001F52A8">
        <w:t>escapes</w:t>
      </w:r>
      <w:r w:rsidR="00F7456A" w:rsidRPr="001F52A8">
        <w:t>,”</w:t>
      </w:r>
      <w:r w:rsidR="00AF1BE7" w:rsidRPr="001F52A8">
        <w:t xml:space="preserve"> another important verb </w:t>
      </w:r>
      <w:r w:rsidR="00F7456A" w:rsidRPr="001F52A8">
        <w:t xml:space="preserve">alongside “flee” </w:t>
      </w:r>
      <w:r w:rsidR="00AF1BE7" w:rsidRPr="001F52A8">
        <w:t>(22:1</w:t>
      </w:r>
      <w:r w:rsidR="00787DD4" w:rsidRPr="001F52A8">
        <w:t>; 23:13; 27:1</w:t>
      </w:r>
      <w:r w:rsidR="00CF0976" w:rsidRPr="001F52A8">
        <w:t xml:space="preserve">; cf.19:10, </w:t>
      </w:r>
      <w:r w:rsidR="00E72B1C" w:rsidRPr="001F52A8">
        <w:t>12, 17, 18; 20:29</w:t>
      </w:r>
      <w:r w:rsidR="00191886" w:rsidRPr="001F52A8">
        <w:t>)</w:t>
      </w:r>
      <w:r w:rsidR="00AF1BE7" w:rsidRPr="001F52A8">
        <w:t>.</w:t>
      </w:r>
      <w:r w:rsidR="009A053A" w:rsidRPr="001F52A8">
        <w:t xml:space="preserve"> H</w:t>
      </w:r>
      <w:r w:rsidR="00873DAB" w:rsidRPr="001F52A8">
        <w:t>e moves half way back to</w:t>
      </w:r>
      <w:r w:rsidR="002E7737" w:rsidRPr="001F52A8">
        <w:t>wards</w:t>
      </w:r>
      <w:r w:rsidR="00873DAB" w:rsidRPr="001F52A8">
        <w:t xml:space="preserve"> the mountain ridge to Adullam</w:t>
      </w:r>
      <w:r w:rsidR="00CB68F3" w:rsidRPr="001F52A8">
        <w:t xml:space="preserve"> to what is variously descri</w:t>
      </w:r>
      <w:r w:rsidR="00722E8B" w:rsidRPr="001F52A8">
        <w:t>b</w:t>
      </w:r>
      <w:r w:rsidR="00CB68F3" w:rsidRPr="001F52A8">
        <w:t>ed as a cave and a stronghold there (22:</w:t>
      </w:r>
      <w:r w:rsidR="00980B3D" w:rsidRPr="001F52A8">
        <w:t>1</w:t>
      </w:r>
      <w:r w:rsidR="00526327" w:rsidRPr="001F52A8">
        <w:t>-5)</w:t>
      </w:r>
      <w:r w:rsidR="009C0124" w:rsidRPr="001F52A8">
        <w:t>. Its</w:t>
      </w:r>
      <w:r w:rsidR="00A44C0A" w:rsidRPr="001F52A8">
        <w:t xml:space="preserve"> location</w:t>
      </w:r>
      <w:r w:rsidR="002E7737" w:rsidRPr="001F52A8">
        <w:t xml:space="preserve"> enables it to become </w:t>
      </w:r>
      <w:r w:rsidR="0005426A" w:rsidRPr="001F52A8">
        <w:t>a refuge for people who might be in danger</w:t>
      </w:r>
      <w:r w:rsidR="00D209BD" w:rsidRPr="001F52A8">
        <w:t xml:space="preserve"> and</w:t>
      </w:r>
      <w:r w:rsidR="00CA20CF">
        <w:t>/</w:t>
      </w:r>
      <w:r w:rsidR="00D51308" w:rsidRPr="001F52A8">
        <w:t xml:space="preserve">or </w:t>
      </w:r>
      <w:r w:rsidR="005C1EF3">
        <w:t xml:space="preserve">who </w:t>
      </w:r>
      <w:r w:rsidR="00D209BD" w:rsidRPr="001F52A8">
        <w:t xml:space="preserve">a gathering point for </w:t>
      </w:r>
      <w:r w:rsidR="00762014" w:rsidRPr="001F52A8">
        <w:t>dissidents</w:t>
      </w:r>
      <w:r w:rsidR="00B60644" w:rsidRPr="001F52A8">
        <w:t xml:space="preserve">. </w:t>
      </w:r>
      <w:r w:rsidR="00AF07B4" w:rsidRPr="001F52A8">
        <w:t>It suggests</w:t>
      </w:r>
      <w:r w:rsidR="00E34A2A" w:rsidRPr="001F52A8">
        <w:t xml:space="preserve"> a</w:t>
      </w:r>
      <w:r w:rsidR="001F787F">
        <w:t>nother</w:t>
      </w:r>
      <w:r w:rsidR="00E34A2A" w:rsidRPr="001F52A8">
        <w:t xml:space="preserve"> contrast over against </w:t>
      </w:r>
      <w:r w:rsidR="00466814" w:rsidRPr="001F52A8">
        <w:t>the Gittites</w:t>
      </w:r>
      <w:r w:rsidR="00146433" w:rsidRPr="001F52A8">
        <w:t>’</w:t>
      </w:r>
      <w:r w:rsidR="00466814" w:rsidRPr="001F52A8">
        <w:t xml:space="preserve"> description of him as a kin</w:t>
      </w:r>
      <w:r w:rsidR="00CC492B" w:rsidRPr="001F52A8">
        <w:t>g</w:t>
      </w:r>
      <w:r w:rsidR="00646DFC" w:rsidRPr="001F52A8">
        <w:t xml:space="preserve"> and the prestige</w:t>
      </w:r>
      <w:r w:rsidR="00463065" w:rsidRPr="001F52A8">
        <w:t>, security,</w:t>
      </w:r>
      <w:r w:rsidR="00646DFC" w:rsidRPr="001F52A8">
        <w:t xml:space="preserve"> and salary of a position at Gibeah (22:7).</w:t>
      </w:r>
      <w:r w:rsidR="001F787F">
        <w:t xml:space="preserve"> But s</w:t>
      </w:r>
      <w:r w:rsidR="00377916" w:rsidRPr="00E30E41">
        <w:rPr>
          <w:rFonts w:ascii="Calibri" w:hAnsi="Calibri" w:cs="Calibri"/>
        </w:rPr>
        <w:t xml:space="preserve">ome “genius” is involved in the way </w:t>
      </w:r>
      <w:r w:rsidR="00E30E41" w:rsidRPr="00E30E41">
        <w:rPr>
          <w:rFonts w:ascii="Calibri" w:hAnsi="Calibri" w:cs="Calibri"/>
        </w:rPr>
        <w:t>“David manages</w:t>
      </w:r>
      <w:r w:rsidR="00E30E41">
        <w:t xml:space="preserve"> </w:t>
      </w:r>
      <w:r w:rsidR="00E30E41" w:rsidRPr="00E30E41">
        <w:rPr>
          <w:rFonts w:ascii="Calibri" w:hAnsi="Calibri" w:cs="Calibri"/>
        </w:rPr>
        <w:t>to throw in his lot with Israel's enemies, the Philistines, while retaining</w:t>
      </w:r>
      <w:r w:rsidR="00E30E41">
        <w:t xml:space="preserve"> </w:t>
      </w:r>
      <w:r w:rsidR="00E30E41" w:rsidRPr="00E30E41">
        <w:rPr>
          <w:rFonts w:ascii="Calibri" w:hAnsi="Calibri" w:cs="Calibri"/>
        </w:rPr>
        <w:t>the affection of the Israelite populace.</w:t>
      </w:r>
      <w:r w:rsidR="00536FCB">
        <w:rPr>
          <w:rFonts w:ascii="Calibri" w:hAnsi="Calibri" w:cs="Calibri"/>
        </w:rPr>
        <w:t>”</w:t>
      </w:r>
      <w:r w:rsidR="00E30E41" w:rsidRPr="00E30E41">
        <w:rPr>
          <w:rStyle w:val="FootnoteReference"/>
          <w:rFonts w:ascii="Calibri" w:hAnsi="Calibri" w:cs="Calibri"/>
        </w:rPr>
        <w:t xml:space="preserve"> </w:t>
      </w:r>
      <w:r w:rsidR="00E30E41" w:rsidRPr="001F52A8">
        <w:rPr>
          <w:rStyle w:val="FootnoteReference"/>
          <w:rFonts w:ascii="Calibri" w:hAnsi="Calibri" w:cs="Calibri"/>
        </w:rPr>
        <w:footnoteReference w:id="227"/>
      </w:r>
    </w:p>
    <w:p w14:paraId="42AEEBE4" w14:textId="5549DDC3" w:rsidR="005E4AF2" w:rsidRPr="001F52A8" w:rsidRDefault="00CF69E6" w:rsidP="005E4AF2">
      <w:r w:rsidRPr="001F52A8">
        <w:t>For safety h</w:t>
      </w:r>
      <w:r w:rsidR="00B60644" w:rsidRPr="001F52A8">
        <w:t xml:space="preserve">e </w:t>
      </w:r>
      <w:r w:rsidR="00030309" w:rsidRPr="001F52A8">
        <w:t>takes his parents to Moab</w:t>
      </w:r>
      <w:r w:rsidR="004F3753" w:rsidRPr="001F52A8">
        <w:t>,</w:t>
      </w:r>
      <w:r w:rsidR="00835674" w:rsidRPr="001F52A8">
        <w:t xml:space="preserve"> </w:t>
      </w:r>
      <w:r w:rsidR="00D76DAA" w:rsidRPr="001F52A8">
        <w:t>the home of</w:t>
      </w:r>
      <w:r w:rsidRPr="001F52A8">
        <w:t xml:space="preserve"> </w:t>
      </w:r>
      <w:r w:rsidR="00F20A63" w:rsidRPr="001F52A8">
        <w:t>Jesse’s</w:t>
      </w:r>
      <w:r w:rsidRPr="001F52A8">
        <w:t xml:space="preserve"> gra</w:t>
      </w:r>
      <w:r w:rsidR="00550DBB" w:rsidRPr="001F52A8">
        <w:t>ndmother</w:t>
      </w:r>
      <w:r w:rsidR="007F3773" w:rsidRPr="001F52A8">
        <w:t xml:space="preserve"> and </w:t>
      </w:r>
      <w:r w:rsidR="000D0A8A" w:rsidRPr="001F52A8">
        <w:t>the refuge of</w:t>
      </w:r>
      <w:r w:rsidR="007F3773" w:rsidRPr="001F52A8">
        <w:t xml:space="preserve"> </w:t>
      </w:r>
      <w:r w:rsidR="004F3753" w:rsidRPr="001F52A8">
        <w:t xml:space="preserve">her original parents-in-law </w:t>
      </w:r>
      <w:r w:rsidR="000D0A8A" w:rsidRPr="001F52A8">
        <w:t>during</w:t>
      </w:r>
      <w:r w:rsidR="004F3753" w:rsidRPr="001F52A8">
        <w:t xml:space="preserve"> a fam</w:t>
      </w:r>
      <w:r w:rsidR="00F52326" w:rsidRPr="001F52A8">
        <w:t>i</w:t>
      </w:r>
      <w:r w:rsidR="004F3753" w:rsidRPr="001F52A8">
        <w:t>ne</w:t>
      </w:r>
      <w:r w:rsidR="000D0A8A" w:rsidRPr="001F52A8">
        <w:t xml:space="preserve"> </w:t>
      </w:r>
      <w:r w:rsidR="00F52326" w:rsidRPr="001F52A8">
        <w:t xml:space="preserve">according to Ruth </w:t>
      </w:r>
      <w:r w:rsidR="0064288A" w:rsidRPr="001F52A8">
        <w:t>1:1-2; 4:14-22</w:t>
      </w:r>
      <w:r w:rsidR="00D76DAA" w:rsidRPr="001F52A8">
        <w:t>. E</w:t>
      </w:r>
      <w:r w:rsidR="0084691A" w:rsidRPr="001F52A8">
        <w:t xml:space="preserve">ventually </w:t>
      </w:r>
      <w:r w:rsidR="009A0817">
        <w:t xml:space="preserve">he </w:t>
      </w:r>
      <w:r w:rsidR="0084691A" w:rsidRPr="001F52A8">
        <w:t xml:space="preserve">leaves for </w:t>
      </w:r>
      <w:r w:rsidR="0046277B" w:rsidRPr="001F52A8">
        <w:t xml:space="preserve">the </w:t>
      </w:r>
      <w:r w:rsidR="0084691A" w:rsidRPr="001F52A8">
        <w:t>Heret</w:t>
      </w:r>
      <w:r w:rsidR="0046277B" w:rsidRPr="001F52A8">
        <w:t xml:space="preserve"> Forest</w:t>
      </w:r>
      <w:r w:rsidR="00AB7307" w:rsidRPr="001F52A8">
        <w:t xml:space="preserve"> in Judah, apparently further up the ridge</w:t>
      </w:r>
      <w:r w:rsidR="004A69BB" w:rsidRPr="001F52A8">
        <w:t>.</w:t>
      </w:r>
      <w:r w:rsidR="00CC4949" w:rsidRPr="001F52A8">
        <w:t xml:space="preserve"> </w:t>
      </w:r>
      <w:r w:rsidR="00AA64B5" w:rsidRPr="001F52A8">
        <w:t xml:space="preserve">From there he ventures down </w:t>
      </w:r>
      <w:r w:rsidR="002169A2" w:rsidRPr="001F52A8">
        <w:t>to Keilah, a town nearer the Philistines’ are</w:t>
      </w:r>
      <w:r w:rsidR="00885512" w:rsidRPr="001F52A8">
        <w:t>a</w:t>
      </w:r>
      <w:r w:rsidR="007A2FA0" w:rsidRPr="001F52A8">
        <w:t xml:space="preserve"> that</w:t>
      </w:r>
      <w:r w:rsidR="009E06CF" w:rsidRPr="001F52A8">
        <w:t xml:space="preserve"> is</w:t>
      </w:r>
      <w:r w:rsidR="002169A2" w:rsidRPr="001F52A8">
        <w:t xml:space="preserve"> subject to </w:t>
      </w:r>
      <w:r w:rsidR="00BC7FB3" w:rsidRPr="001F52A8">
        <w:t>Philistine</w:t>
      </w:r>
      <w:r w:rsidR="002169A2" w:rsidRPr="001F52A8">
        <w:t xml:space="preserve"> raids</w:t>
      </w:r>
      <w:r w:rsidR="00065C6B" w:rsidRPr="001F52A8">
        <w:t xml:space="preserve"> on </w:t>
      </w:r>
      <w:r w:rsidR="009E06CF" w:rsidRPr="001F52A8">
        <w:t>its</w:t>
      </w:r>
      <w:r w:rsidR="00065C6B" w:rsidRPr="001F52A8">
        <w:t xml:space="preserve"> threshing floors</w:t>
      </w:r>
      <w:r w:rsidR="00090FC0" w:rsidRPr="001F52A8">
        <w:t xml:space="preserve"> and thus on its grain </w:t>
      </w:r>
      <w:r w:rsidR="00090FC0" w:rsidRPr="001F52A8">
        <w:lastRenderedPageBreak/>
        <w:t>supply for the next year</w:t>
      </w:r>
      <w:r w:rsidR="002061DC" w:rsidRPr="001F52A8">
        <w:t>.</w:t>
      </w:r>
      <w:r w:rsidR="000D27B4" w:rsidRPr="001F52A8">
        <w:t xml:space="preserve"> David </w:t>
      </w:r>
      <w:r w:rsidR="004A4BB2" w:rsidRPr="001F52A8">
        <w:t>“delivers” Keilah from</w:t>
      </w:r>
      <w:r w:rsidR="00DA6519" w:rsidRPr="001F52A8">
        <w:t xml:space="preserve"> the Philistines</w:t>
      </w:r>
      <w:r w:rsidR="009A50C3" w:rsidRPr="001F52A8">
        <w:t xml:space="preserve"> (arguably doing Saul’s work)</w:t>
      </w:r>
      <w:r w:rsidR="009A50C3" w:rsidRPr="001F52A8">
        <w:rPr>
          <w:rStyle w:val="FootnoteReference"/>
        </w:rPr>
        <w:footnoteReference w:id="228"/>
      </w:r>
      <w:r w:rsidR="0086126A" w:rsidRPr="001F52A8">
        <w:t xml:space="preserve"> and</w:t>
      </w:r>
      <w:r w:rsidR="00DA6519" w:rsidRPr="001F52A8">
        <w:t xml:space="preserve"> appropriates their livestock</w:t>
      </w:r>
      <w:r w:rsidR="0086126A" w:rsidRPr="001F52A8">
        <w:t xml:space="preserve"> (provisioning his gang would be an ongoing </w:t>
      </w:r>
      <w:r w:rsidR="002C61B4" w:rsidRPr="001F52A8">
        <w:t>challenge</w:t>
      </w:r>
      <w:r w:rsidR="0086126A" w:rsidRPr="001F52A8">
        <w:t>)</w:t>
      </w:r>
      <w:r w:rsidR="0085543F" w:rsidRPr="001F52A8">
        <w:t xml:space="preserve">. </w:t>
      </w:r>
      <w:r w:rsidR="008856C8" w:rsidRPr="001F52A8">
        <w:t>Saul seeks him out there</w:t>
      </w:r>
      <w:r w:rsidR="00FB65F9" w:rsidRPr="001F52A8">
        <w:t xml:space="preserve"> and the people of Keilah are going to </w:t>
      </w:r>
      <w:r w:rsidR="00360C25" w:rsidRPr="001F52A8">
        <w:t>surrender him</w:t>
      </w:r>
      <w:r w:rsidR="00820F38" w:rsidRPr="001F52A8">
        <w:t>. H</w:t>
      </w:r>
      <w:r w:rsidR="0086126A" w:rsidRPr="001F52A8">
        <w:t>ad the livestock originally belonged to them?</w:t>
      </w:r>
      <w:r w:rsidR="001777FD" w:rsidRPr="001F52A8">
        <w:t>!</w:t>
      </w:r>
      <w:r w:rsidR="00820F38" w:rsidRPr="001F52A8">
        <w:t xml:space="preserve"> </w:t>
      </w:r>
      <w:r w:rsidR="00BD504D" w:rsidRPr="001F52A8">
        <w:t>For</w:t>
      </w:r>
      <w:r w:rsidR="00D36AC0">
        <w:t xml:space="preserve"> Keilah</w:t>
      </w:r>
      <w:r w:rsidR="00BD504D" w:rsidRPr="001F52A8">
        <w:t>, w</w:t>
      </w:r>
      <w:r w:rsidR="00820F38" w:rsidRPr="001F52A8">
        <w:t>as</w:t>
      </w:r>
      <w:r w:rsidR="00B35E45" w:rsidRPr="001F52A8">
        <w:t xml:space="preserve"> </w:t>
      </w:r>
      <w:r w:rsidR="00A96AAF" w:rsidRPr="001F52A8">
        <w:t>hav</w:t>
      </w:r>
      <w:r w:rsidR="00A96AAF">
        <w:t>ing</w:t>
      </w:r>
      <w:r w:rsidR="00A96AAF" w:rsidRPr="001F52A8">
        <w:t xml:space="preserve"> David’s gang around</w:t>
      </w:r>
      <w:r w:rsidR="00B35E45" w:rsidRPr="001F52A8">
        <w:t xml:space="preserve"> as much of a liability as </w:t>
      </w:r>
      <w:r w:rsidR="00627EBA" w:rsidRPr="001F52A8">
        <w:t>a</w:t>
      </w:r>
      <w:r w:rsidR="00B35E45" w:rsidRPr="001F52A8">
        <w:t>n asset?</w:t>
      </w:r>
      <w:r w:rsidR="001777FD" w:rsidRPr="001F52A8">
        <w:t xml:space="preserve"> </w:t>
      </w:r>
      <w:r w:rsidR="002631AD" w:rsidRPr="001F52A8">
        <w:t>Were the</w:t>
      </w:r>
      <w:r w:rsidR="00930288">
        <w:t>y</w:t>
      </w:r>
      <w:r w:rsidR="002631AD" w:rsidRPr="001F52A8">
        <w:t xml:space="preserve"> more scared of Saul than of David? </w:t>
      </w:r>
      <w:r w:rsidR="00577B46" w:rsidRPr="001F52A8">
        <w:t>D</w:t>
      </w:r>
      <w:r w:rsidR="00B35E45" w:rsidRPr="001F52A8">
        <w:t>avid</w:t>
      </w:r>
      <w:r w:rsidR="008856C8" w:rsidRPr="001F52A8">
        <w:t xml:space="preserve"> </w:t>
      </w:r>
      <w:r w:rsidR="00ED363F" w:rsidRPr="001F52A8">
        <w:t xml:space="preserve">escapes and stays on the move </w:t>
      </w:r>
      <w:r w:rsidR="00E93A75" w:rsidRPr="001F52A8">
        <w:t>for some time</w:t>
      </w:r>
      <w:r w:rsidR="00D368B8" w:rsidRPr="001F52A8">
        <w:t xml:space="preserve"> in the </w:t>
      </w:r>
      <w:r w:rsidR="000D6342" w:rsidRPr="001F52A8">
        <w:t>area south and east of Hebron</w:t>
      </w:r>
      <w:r w:rsidR="00E1238F" w:rsidRPr="001F52A8">
        <w:t>, focusing on evading Saul</w:t>
      </w:r>
      <w:r w:rsidR="0028669E" w:rsidRPr="001F52A8">
        <w:t>;</w:t>
      </w:r>
      <w:r w:rsidR="00A47F92" w:rsidRPr="001F52A8">
        <w:t xml:space="preserve"> </w:t>
      </w:r>
      <w:r w:rsidR="0028669E" w:rsidRPr="001F52A8">
        <w:t>he</w:t>
      </w:r>
      <w:r w:rsidR="00A47F92" w:rsidRPr="001F52A8">
        <w:t xml:space="preserve"> has more than one fortunate escape</w:t>
      </w:r>
      <w:r w:rsidR="009A21B6" w:rsidRPr="001F52A8">
        <w:t>.</w:t>
      </w:r>
    </w:p>
    <w:p w14:paraId="677FD056" w14:textId="149AC854" w:rsidR="0019500B" w:rsidRPr="001F52A8" w:rsidRDefault="00FF17EF" w:rsidP="0019500B">
      <w:r w:rsidRPr="001F52A8">
        <w:t>The story of David, Nabal, and Abigail</w:t>
      </w:r>
      <w:r w:rsidR="00341A71" w:rsidRPr="001F52A8">
        <w:t xml:space="preserve"> </w:t>
      </w:r>
      <w:r w:rsidR="00B922E2" w:rsidRPr="001F52A8">
        <w:t>(25:1-</w:t>
      </w:r>
      <w:r w:rsidR="00EE45E7" w:rsidRPr="001F52A8">
        <w:t>42)</w:t>
      </w:r>
      <w:r w:rsidR="00C80A9D" w:rsidRPr="001F52A8">
        <w:t xml:space="preserve"> incidentally </w:t>
      </w:r>
      <w:r w:rsidR="00341A71" w:rsidRPr="001F52A8">
        <w:t>ope</w:t>
      </w:r>
      <w:r w:rsidR="00B922E2" w:rsidRPr="001F52A8">
        <w:t>n</w:t>
      </w:r>
      <w:r w:rsidR="00341A71" w:rsidRPr="001F52A8">
        <w:t xml:space="preserve"> another window on</w:t>
      </w:r>
      <w:r w:rsidR="00C80A9D" w:rsidRPr="001F52A8">
        <w:t xml:space="preserve"> </w:t>
      </w:r>
      <w:r w:rsidR="0087779D" w:rsidRPr="001F52A8">
        <w:t>the means whereby David and his bandit group survive through this period</w:t>
      </w:r>
      <w:r w:rsidR="00294EA2">
        <w:t>,</w:t>
      </w:r>
      <w:r w:rsidR="00B922E2" w:rsidRPr="001F52A8">
        <w:t xml:space="preserve"> if</w:t>
      </w:r>
      <w:r w:rsidR="0087779D" w:rsidRPr="001F52A8">
        <w:t xml:space="preserve"> </w:t>
      </w:r>
      <w:r w:rsidR="00EE45E7" w:rsidRPr="001F52A8">
        <w:t xml:space="preserve">it indicates that </w:t>
      </w:r>
      <w:r w:rsidR="00A235EE" w:rsidRPr="001F52A8">
        <w:t>hi</w:t>
      </w:r>
      <w:r w:rsidR="0087779D" w:rsidRPr="001F52A8">
        <w:t>s men</w:t>
      </w:r>
      <w:r w:rsidR="00D7038E" w:rsidRPr="001F52A8">
        <w:t xml:space="preserve"> r</w:t>
      </w:r>
      <w:r w:rsidR="00CC01DF" w:rsidRPr="001F52A8">
        <w:t>un</w:t>
      </w:r>
      <w:r w:rsidR="00D7038E" w:rsidRPr="001F52A8">
        <w:t xml:space="preserve"> a protection </w:t>
      </w:r>
      <w:r w:rsidR="00100407" w:rsidRPr="001F52A8">
        <w:t>business</w:t>
      </w:r>
      <w:r w:rsidR="00491B81">
        <w:t xml:space="preserve">. </w:t>
      </w:r>
      <w:r w:rsidR="00294EA2">
        <w:t>I</w:t>
      </w:r>
      <w:r w:rsidR="00491B81">
        <w:t xml:space="preserve">t is </w:t>
      </w:r>
      <w:r w:rsidR="0023351C">
        <w:t>activity</w:t>
      </w:r>
      <w:r w:rsidR="005853B5" w:rsidRPr="001F52A8">
        <w:t xml:space="preserve"> </w:t>
      </w:r>
      <w:r w:rsidR="00AC3038" w:rsidRPr="001F52A8">
        <w:t xml:space="preserve">about which he feels </w:t>
      </w:r>
      <w:r w:rsidR="003144E0" w:rsidRPr="001F52A8">
        <w:t>proud and honorable</w:t>
      </w:r>
      <w:r w:rsidR="00C5776B" w:rsidRPr="001F52A8">
        <w:t xml:space="preserve">, </w:t>
      </w:r>
      <w:r w:rsidR="00884241" w:rsidRPr="001F52A8">
        <w:t>th</w:t>
      </w:r>
      <w:r w:rsidR="00A235EE" w:rsidRPr="001F52A8">
        <w:t>r</w:t>
      </w:r>
      <w:r w:rsidR="00884241" w:rsidRPr="001F52A8">
        <w:t xml:space="preserve">ough which </w:t>
      </w:r>
      <w:r w:rsidR="001F30CE">
        <w:t>he</w:t>
      </w:r>
      <w:r w:rsidR="00884241" w:rsidRPr="001F52A8">
        <w:t xml:space="preserve"> is arguably continuing to do Saul’s business</w:t>
      </w:r>
      <w:r w:rsidR="00C5776B" w:rsidRPr="001F52A8">
        <w:t>,</w:t>
      </w:r>
      <w:r w:rsidR="00884241" w:rsidRPr="001F52A8">
        <w:t xml:space="preserve"> a</w:t>
      </w:r>
      <w:r w:rsidR="006163E0" w:rsidRPr="001F52A8">
        <w:t>n</w:t>
      </w:r>
      <w:r w:rsidR="00884241" w:rsidRPr="001F52A8">
        <w:t xml:space="preserve">d </w:t>
      </w:r>
      <w:r w:rsidR="005853B5" w:rsidRPr="001F52A8">
        <w:t>Nabal</w:t>
      </w:r>
      <w:r w:rsidR="00FB5A4B" w:rsidRPr="001F52A8">
        <w:t>’</w:t>
      </w:r>
      <w:r w:rsidR="00C4384B" w:rsidRPr="001F52A8">
        <w:t>s</w:t>
      </w:r>
      <w:r w:rsidR="00D7038E" w:rsidRPr="001F52A8">
        <w:t xml:space="preserve"> </w:t>
      </w:r>
      <w:r w:rsidR="005853B5" w:rsidRPr="001F52A8">
        <w:t xml:space="preserve">staff accept </w:t>
      </w:r>
      <w:r w:rsidR="00C805FC">
        <w:t xml:space="preserve">its </w:t>
      </w:r>
      <w:r w:rsidR="00C805FC" w:rsidRPr="001F52A8">
        <w:t xml:space="preserve">usefulness </w:t>
      </w:r>
      <w:r w:rsidR="00D7038E" w:rsidRPr="001F52A8">
        <w:t>(</w:t>
      </w:r>
      <w:r w:rsidR="00B17CC5" w:rsidRPr="001F52A8">
        <w:t>25:7</w:t>
      </w:r>
      <w:r w:rsidR="005853B5" w:rsidRPr="001F52A8">
        <w:t>, 15-16</w:t>
      </w:r>
      <w:r w:rsidR="00AC3038" w:rsidRPr="001F52A8">
        <w:t>, 21</w:t>
      </w:r>
      <w:r w:rsidR="00B17CC5" w:rsidRPr="001F52A8">
        <w:t>).</w:t>
      </w:r>
      <w:r w:rsidR="003F7F9A" w:rsidRPr="001F52A8">
        <w:t xml:space="preserve"> Nabal</w:t>
      </w:r>
      <w:r w:rsidR="00FB5A4B" w:rsidRPr="001F52A8">
        <w:t>, however,</w:t>
      </w:r>
      <w:r w:rsidR="003F7F9A" w:rsidRPr="001F52A8">
        <w:t xml:space="preserve"> </w:t>
      </w:r>
      <w:r w:rsidR="00150DFB" w:rsidRPr="001F52A8">
        <w:t>who might be seen as Saul’s</w:t>
      </w:r>
      <w:r w:rsidR="000D4B4A" w:rsidRPr="001F52A8">
        <w:t xml:space="preserve"> </w:t>
      </w:r>
      <w:r w:rsidR="000D4B4A" w:rsidRPr="001F52A8">
        <w:rPr>
          <w:i/>
          <w:iCs/>
        </w:rPr>
        <w:t>alter ego</w:t>
      </w:r>
      <w:r w:rsidR="008C5447" w:rsidRPr="001F52A8">
        <w:rPr>
          <w:rStyle w:val="FootnoteReference"/>
        </w:rPr>
        <w:footnoteReference w:id="229"/>
      </w:r>
      <w:r w:rsidR="000D4B4A" w:rsidRPr="001F52A8">
        <w:rPr>
          <w:i/>
          <w:iCs/>
        </w:rPr>
        <w:t xml:space="preserve"> </w:t>
      </w:r>
      <w:r w:rsidR="003F7F9A" w:rsidRPr="001F52A8">
        <w:t>does not see David as a king but as a</w:t>
      </w:r>
      <w:r w:rsidR="001766A0">
        <w:t xml:space="preserve"> runaway</w:t>
      </w:r>
      <w:r w:rsidR="003F7F9A" w:rsidRPr="001F52A8">
        <w:t xml:space="preserve"> servant</w:t>
      </w:r>
      <w:r w:rsidR="006D7DD3" w:rsidRPr="001F52A8">
        <w:t xml:space="preserve"> (25:10)</w:t>
      </w:r>
      <w:r w:rsidR="00533AC6">
        <w:t>.</w:t>
      </w:r>
      <w:r w:rsidR="00755F43" w:rsidRPr="001F52A8">
        <w:t xml:space="preserve"> </w:t>
      </w:r>
      <w:r w:rsidR="007F0B1E">
        <w:t xml:space="preserve">When </w:t>
      </w:r>
      <w:r w:rsidR="00755F43" w:rsidRPr="001F52A8">
        <w:t xml:space="preserve">David determines to </w:t>
      </w:r>
      <w:r w:rsidR="003C70D4" w:rsidRPr="001F52A8">
        <w:t xml:space="preserve">slaughter </w:t>
      </w:r>
      <w:r w:rsidR="00BF4AF1" w:rsidRPr="001F52A8">
        <w:t>Nabal</w:t>
      </w:r>
      <w:r w:rsidR="003C70D4" w:rsidRPr="001F52A8">
        <w:t xml:space="preserve"> and his c</w:t>
      </w:r>
      <w:r w:rsidR="00D53861" w:rsidRPr="001F52A8">
        <w:t>lan</w:t>
      </w:r>
      <w:r w:rsidR="00302881" w:rsidRPr="001F52A8">
        <w:t xml:space="preserve"> (25:22)</w:t>
      </w:r>
      <w:r w:rsidR="00533AC6">
        <w:t xml:space="preserve">, </w:t>
      </w:r>
      <w:r w:rsidR="00B55CFB" w:rsidRPr="001F52A8">
        <w:t>Abigail maneuvers him out of his plan</w:t>
      </w:r>
      <w:r w:rsidR="00CE2D34" w:rsidRPr="001F52A8">
        <w:t>, “t</w:t>
      </w:r>
      <w:r w:rsidR="00CE2D34" w:rsidRPr="001F52A8">
        <w:rPr>
          <w:rFonts w:cstheme="minorHAnsi"/>
        </w:rPr>
        <w:t>ranscending the violence that marks her community . . . through acts of hospitality</w:t>
      </w:r>
      <w:r w:rsidR="009A6542" w:rsidRPr="001F52A8">
        <w:rPr>
          <w:rFonts w:cstheme="minorHAnsi"/>
        </w:rPr>
        <w:t xml:space="preserve"> . . .</w:t>
      </w:r>
      <w:r w:rsidR="009A6542" w:rsidRPr="001F52A8">
        <w:rPr>
          <w:rFonts w:ascii="MinionPro-Regular" w:hAnsi="MinionPro-Regular" w:cs="MinionPro-Regular"/>
          <w:sz w:val="20"/>
          <w:szCs w:val="20"/>
        </w:rPr>
        <w:t xml:space="preserve"> </w:t>
      </w:r>
      <w:r w:rsidR="009A6542" w:rsidRPr="001F52A8">
        <w:rPr>
          <w:rFonts w:ascii="Calibri" w:hAnsi="Calibri" w:cs="Calibri"/>
        </w:rPr>
        <w:t>to the hungry, to the landless, to the marginalized.”</w:t>
      </w:r>
      <w:r w:rsidR="0020472E" w:rsidRPr="001F52A8">
        <w:rPr>
          <w:rStyle w:val="FootnoteReference"/>
          <w:rFonts w:ascii="Calibri" w:hAnsi="Calibri" w:cs="Calibri"/>
        </w:rPr>
        <w:footnoteReference w:id="230"/>
      </w:r>
      <w:r w:rsidR="00BF4AF1" w:rsidRPr="001F52A8">
        <w:rPr>
          <w:rFonts w:ascii="Calibri" w:hAnsi="Calibri" w:cs="Calibri"/>
        </w:rPr>
        <w:t xml:space="preserve"> </w:t>
      </w:r>
      <w:r w:rsidR="00B55CFB" w:rsidRPr="001F52A8">
        <w:t xml:space="preserve">Nabal </w:t>
      </w:r>
      <w:r w:rsidR="00635C91" w:rsidRPr="001F52A8">
        <w:t>pays a price for his hard-heartedness</w:t>
      </w:r>
      <w:r w:rsidR="007151C0">
        <w:t>;</w:t>
      </w:r>
      <w:r w:rsidR="003D37DF" w:rsidRPr="001F52A8">
        <w:rPr>
          <w:rStyle w:val="FootnoteReference"/>
        </w:rPr>
        <w:footnoteReference w:id="231"/>
      </w:r>
      <w:r w:rsidR="00635C91" w:rsidRPr="001F52A8">
        <w:t xml:space="preserve"> </w:t>
      </w:r>
      <w:r w:rsidR="007151C0">
        <w:t>he</w:t>
      </w:r>
      <w:r w:rsidR="003D37DF" w:rsidRPr="001F52A8">
        <w:t xml:space="preserve"> </w:t>
      </w:r>
      <w:r w:rsidR="00B55CFB" w:rsidRPr="001F52A8">
        <w:t>fortuitously drops dead</w:t>
      </w:r>
      <w:r w:rsidR="003D37DF" w:rsidRPr="001F52A8">
        <w:t>.</w:t>
      </w:r>
      <w:r w:rsidR="00B55CFB" w:rsidRPr="001F52A8">
        <w:t xml:space="preserve"> </w:t>
      </w:r>
      <w:r w:rsidR="00680B03" w:rsidRPr="001F52A8">
        <w:t xml:space="preserve">It enables </w:t>
      </w:r>
      <w:r w:rsidR="00B55CFB" w:rsidRPr="001F52A8">
        <w:t xml:space="preserve">David </w:t>
      </w:r>
      <w:r w:rsidR="00680B03" w:rsidRPr="001F52A8">
        <w:t>to</w:t>
      </w:r>
      <w:r w:rsidR="00B55CFB" w:rsidRPr="001F52A8">
        <w:t xml:space="preserve"> add</w:t>
      </w:r>
      <w:r w:rsidR="007178A1" w:rsidRPr="001F52A8">
        <w:t xml:space="preserve"> Abigail to his harem </w:t>
      </w:r>
      <w:r w:rsidR="00CE64ED" w:rsidRPr="001F52A8">
        <w:t xml:space="preserve">along with </w:t>
      </w:r>
      <w:r w:rsidR="00E728BF" w:rsidRPr="001F52A8">
        <w:t xml:space="preserve">Ahinoam from </w:t>
      </w:r>
      <w:r w:rsidR="00134A0C">
        <w:t>elsewhere</w:t>
      </w:r>
      <w:r w:rsidR="00E728BF" w:rsidRPr="001F52A8">
        <w:t xml:space="preserve"> in the area, though </w:t>
      </w:r>
      <w:r w:rsidR="000528FB" w:rsidRPr="001F52A8">
        <w:t>he loses Michal</w:t>
      </w:r>
      <w:r w:rsidR="00DA137C" w:rsidRPr="001F52A8">
        <w:t xml:space="preserve"> (25:</w:t>
      </w:r>
      <w:r w:rsidR="00280378" w:rsidRPr="001F52A8">
        <w:t>39-44). P</w:t>
      </w:r>
      <w:r w:rsidR="007F0B1E">
        <w:t>erhaps</w:t>
      </w:r>
      <w:r w:rsidR="00670B1F" w:rsidRPr="001F52A8">
        <w:t xml:space="preserve"> Abigail brings </w:t>
      </w:r>
      <w:r w:rsidR="00350EA5" w:rsidRPr="001F52A8">
        <w:t xml:space="preserve">Nabal’s impressive estate with her into the marriage, </w:t>
      </w:r>
      <w:r w:rsidR="007F0B1E">
        <w:t>eas</w:t>
      </w:r>
      <w:r w:rsidR="00680B03" w:rsidRPr="001F52A8">
        <w:t>ing</w:t>
      </w:r>
      <w:r w:rsidR="00350EA5" w:rsidRPr="001F52A8">
        <w:t xml:space="preserve"> David’s economic position.</w:t>
      </w:r>
    </w:p>
    <w:p w14:paraId="5FD3107B" w14:textId="3A61E127" w:rsidR="00C743CD" w:rsidRPr="001F52A8" w:rsidRDefault="00C743CD" w:rsidP="005F081B">
      <w:pPr>
        <w:autoSpaceDE w:val="0"/>
        <w:autoSpaceDN w:val="0"/>
        <w:adjustRightInd w:val="0"/>
        <w:spacing w:line="240" w:lineRule="auto"/>
      </w:pPr>
      <w:r w:rsidRPr="001F52A8">
        <w:t>David’s s</w:t>
      </w:r>
      <w:r w:rsidR="0082143E" w:rsidRPr="001F52A8">
        <w:t xml:space="preserve">eries of unplanned </w:t>
      </w:r>
      <w:r w:rsidR="000E3642" w:rsidRPr="001F52A8">
        <w:t xml:space="preserve">(and not always thought-through) </w:t>
      </w:r>
      <w:r w:rsidR="005D49E0" w:rsidRPr="001F52A8">
        <w:t>ventures</w:t>
      </w:r>
      <w:r w:rsidR="0082143E" w:rsidRPr="001F52A8">
        <w:t xml:space="preserve"> </w:t>
      </w:r>
      <w:r w:rsidR="000E3642" w:rsidRPr="001F52A8">
        <w:t>ends</w:t>
      </w:r>
      <w:r w:rsidR="0082143E" w:rsidRPr="001F52A8">
        <w:t xml:space="preserve"> with</w:t>
      </w:r>
      <w:r w:rsidR="005D49E0" w:rsidRPr="001F52A8">
        <w:t xml:space="preserve"> a move </w:t>
      </w:r>
      <w:r w:rsidR="00B11DF0" w:rsidRPr="001F52A8">
        <w:t>back</w:t>
      </w:r>
      <w:r w:rsidR="00DA137C" w:rsidRPr="001F52A8">
        <w:t xml:space="preserve"> </w:t>
      </w:r>
      <w:r w:rsidR="005D49E0" w:rsidRPr="001F52A8">
        <w:t>to Gath</w:t>
      </w:r>
      <w:r w:rsidR="00B11DF0" w:rsidRPr="001F52A8">
        <w:t xml:space="preserve">, </w:t>
      </w:r>
      <w:r w:rsidR="005D49E0" w:rsidRPr="001F52A8">
        <w:t xml:space="preserve">which does make Saul give up </w:t>
      </w:r>
      <w:r w:rsidR="00DA137C" w:rsidRPr="001F52A8">
        <w:t>chasing him</w:t>
      </w:r>
      <w:r w:rsidR="00844A3E" w:rsidRPr="001F52A8">
        <w:t xml:space="preserve"> (27:1-7)</w:t>
      </w:r>
      <w:r w:rsidR="00360BF2" w:rsidRPr="001F52A8">
        <w:t xml:space="preserve">. </w:t>
      </w:r>
      <w:r w:rsidR="00C80685">
        <w:t>A</w:t>
      </w:r>
      <w:r w:rsidR="00C80685" w:rsidRPr="001F52A8">
        <w:t xml:space="preserve">s in 20:1, it looks as if </w:t>
      </w:r>
      <w:r w:rsidR="00C80685">
        <w:t>he</w:t>
      </w:r>
      <w:r w:rsidR="00C80685" w:rsidRPr="001F52A8">
        <w:t xml:space="preserve"> is not relying on Yahweh but on “self-help.”</w:t>
      </w:r>
      <w:r w:rsidR="00C80685" w:rsidRPr="001F52A8">
        <w:rPr>
          <w:rStyle w:val="FootnoteReference"/>
        </w:rPr>
        <w:footnoteReference w:id="232"/>
      </w:r>
      <w:r w:rsidR="00C80685">
        <w:t xml:space="preserve"> </w:t>
      </w:r>
      <w:r w:rsidR="00D8115C" w:rsidRPr="001F52A8">
        <w:t>With his large company</w:t>
      </w:r>
      <w:r w:rsidR="000B0D20" w:rsidRPr="001F52A8">
        <w:t xml:space="preserve">, </w:t>
      </w:r>
      <w:r w:rsidR="00C80685">
        <w:t>he</w:t>
      </w:r>
      <w:r w:rsidR="00D8115C" w:rsidRPr="001F52A8">
        <w:t xml:space="preserve"> wou</w:t>
      </w:r>
      <w:r w:rsidR="00580A68" w:rsidRPr="001F52A8">
        <w:t>l</w:t>
      </w:r>
      <w:r w:rsidR="00D8115C" w:rsidRPr="001F52A8">
        <w:t xml:space="preserve">d look more impressive than when </w:t>
      </w:r>
      <w:r w:rsidR="00580A68" w:rsidRPr="001F52A8">
        <w:t>seemed a bit crazy</w:t>
      </w:r>
      <w:r w:rsidR="00545C16" w:rsidRPr="001F52A8">
        <w:t xml:space="preserve">. </w:t>
      </w:r>
      <w:r w:rsidR="00360BF2" w:rsidRPr="001F52A8">
        <w:t xml:space="preserve">He persuades Achish to </w:t>
      </w:r>
      <w:r w:rsidR="00E7339E" w:rsidRPr="001F52A8">
        <w:t xml:space="preserve">give </w:t>
      </w:r>
      <w:r w:rsidR="00450023" w:rsidRPr="001F52A8">
        <w:t>him Ziklag</w:t>
      </w:r>
      <w:r w:rsidR="000209FE" w:rsidRPr="001F52A8">
        <w:t>, which is nominally a Judahite town anyway</w:t>
      </w:r>
      <w:r w:rsidR="00041795" w:rsidRPr="001F52A8">
        <w:t>, apparently in reward for services about to be rendered</w:t>
      </w:r>
      <w:r w:rsidR="00C11066" w:rsidRPr="001F52A8">
        <w:t xml:space="preserve"> concerning whose nature David consistently lies (</w:t>
      </w:r>
      <w:r w:rsidR="004F6E2D" w:rsidRPr="001F52A8">
        <w:t xml:space="preserve">27:8-12). </w:t>
      </w:r>
      <w:r w:rsidR="001243B9" w:rsidRPr="001F52A8">
        <w:t xml:space="preserve">“This time, </w:t>
      </w:r>
      <w:r w:rsidR="00FF7F13" w:rsidRPr="001F52A8">
        <w:t>David makes a fool of Achish.”</w:t>
      </w:r>
      <w:r w:rsidR="00FF7F13" w:rsidRPr="001F52A8">
        <w:rPr>
          <w:rStyle w:val="FootnoteReference"/>
        </w:rPr>
        <w:footnoteReference w:id="233"/>
      </w:r>
      <w:r w:rsidR="00C867A7" w:rsidRPr="00C867A7">
        <w:rPr>
          <w:rFonts w:ascii="Calibri" w:hAnsi="Calibri" w:cs="Calibri"/>
        </w:rPr>
        <w:t xml:space="preserve"> </w:t>
      </w:r>
      <w:r w:rsidR="00C867A7">
        <w:rPr>
          <w:rFonts w:ascii="Calibri" w:hAnsi="Calibri" w:cs="Calibri"/>
        </w:rPr>
        <w:t>With his</w:t>
      </w:r>
      <w:r w:rsidR="00C867A7" w:rsidRPr="001F52A8">
        <w:rPr>
          <w:rFonts w:ascii="Calibri" w:hAnsi="Calibri" w:cs="Calibri"/>
        </w:rPr>
        <w:t xml:space="preserve"> braggadocio</w:t>
      </w:r>
      <w:r w:rsidR="00C867A7">
        <w:rPr>
          <w:rFonts w:ascii="Calibri" w:hAnsi="Calibri" w:cs="Calibri"/>
        </w:rPr>
        <w:t>,</w:t>
      </w:r>
      <w:r w:rsidR="00C867A7" w:rsidRPr="001F52A8">
        <w:rPr>
          <w:rStyle w:val="FootnoteReference"/>
          <w:rFonts w:ascii="Calibri" w:hAnsi="Calibri" w:cs="Calibri"/>
        </w:rPr>
        <w:footnoteReference w:id="234"/>
      </w:r>
      <w:r w:rsidR="00ED4F7B">
        <w:rPr>
          <w:rFonts w:ascii="Calibri" w:hAnsi="Calibri" w:cs="Calibri"/>
        </w:rPr>
        <w:t xml:space="preserve"> </w:t>
      </w:r>
      <w:r w:rsidR="00C867A7">
        <w:t>f</w:t>
      </w:r>
      <w:r w:rsidR="00FE790C" w:rsidRPr="001F52A8">
        <w:t xml:space="preserve">rom Ziklag </w:t>
      </w:r>
      <w:r w:rsidR="00C867A7">
        <w:rPr>
          <w:rFonts w:ascii="Calibri" w:hAnsi="Calibri" w:cs="Calibri"/>
        </w:rPr>
        <w:t>he</w:t>
      </w:r>
      <w:r w:rsidR="00FE790C" w:rsidRPr="001F52A8">
        <w:rPr>
          <w:rFonts w:ascii="Calibri" w:hAnsi="Calibri" w:cs="Calibri"/>
        </w:rPr>
        <w:t xml:space="preserve"> raids and slaughters and leaves no one alive, telling Achish that he has been raiding in Judah</w:t>
      </w:r>
      <w:r w:rsidR="00F563E8" w:rsidRPr="001F52A8">
        <w:rPr>
          <w:rFonts w:ascii="Calibri" w:hAnsi="Calibri" w:cs="Calibri"/>
        </w:rPr>
        <w:t xml:space="preserve">. </w:t>
      </w:r>
      <w:r w:rsidR="00B45205" w:rsidRPr="001F52A8">
        <w:rPr>
          <w:rFonts w:ascii="Calibri" w:hAnsi="Calibri" w:cs="Calibri"/>
        </w:rPr>
        <w:t>Such was his rule (</w:t>
      </w:r>
      <w:r w:rsidR="00B45205" w:rsidRPr="001F52A8">
        <w:rPr>
          <w:rFonts w:ascii="Calibri" w:hAnsi="Calibri" w:cs="Calibri"/>
          <w:i/>
          <w:iCs/>
        </w:rPr>
        <w:t>mišpāṭ</w:t>
      </w:r>
      <w:r w:rsidR="00B45205" w:rsidRPr="001F52A8">
        <w:rPr>
          <w:rFonts w:ascii="Calibri" w:hAnsi="Calibri" w:cs="Calibri"/>
        </w:rPr>
        <w:t>).</w:t>
      </w:r>
      <w:r w:rsidR="00B45205" w:rsidRPr="001F52A8">
        <w:rPr>
          <w:rFonts w:ascii="Calibri" w:hAnsi="Calibri" w:cs="Calibri"/>
          <w:i/>
          <w:iCs/>
        </w:rPr>
        <w:t xml:space="preserve"> </w:t>
      </w:r>
      <w:r w:rsidR="00F563E8" w:rsidRPr="001F52A8">
        <w:rPr>
          <w:rFonts w:ascii="Calibri" w:hAnsi="Calibri" w:cs="Calibri"/>
        </w:rPr>
        <w:t xml:space="preserve">There is </w:t>
      </w:r>
      <w:r w:rsidR="002961F3" w:rsidRPr="001F52A8">
        <w:rPr>
          <w:rFonts w:ascii="Calibri" w:hAnsi="Calibri" w:cs="Calibri"/>
        </w:rPr>
        <w:t xml:space="preserve">no </w:t>
      </w:r>
      <w:r w:rsidR="00F563E8" w:rsidRPr="001F52A8">
        <w:rPr>
          <w:rFonts w:ascii="Calibri" w:hAnsi="Calibri" w:cs="Calibri"/>
        </w:rPr>
        <w:t xml:space="preserve">talk of “devoting” here; it is just </w:t>
      </w:r>
      <w:r w:rsidR="00C13F01" w:rsidRPr="001F52A8">
        <w:rPr>
          <w:rFonts w:ascii="Calibri" w:hAnsi="Calibri" w:cs="Calibri"/>
        </w:rPr>
        <w:t xml:space="preserve">slaughter, </w:t>
      </w:r>
      <w:r w:rsidR="00E2399C" w:rsidRPr="001F52A8">
        <w:rPr>
          <w:rFonts w:ascii="Calibri" w:hAnsi="Calibri" w:cs="Calibri"/>
        </w:rPr>
        <w:t xml:space="preserve">ensuring no </w:t>
      </w:r>
      <w:r w:rsidR="00623875" w:rsidRPr="001F52A8">
        <w:rPr>
          <w:rFonts w:ascii="Calibri" w:hAnsi="Calibri" w:cs="Calibri"/>
        </w:rPr>
        <w:t xml:space="preserve">reports </w:t>
      </w:r>
      <w:r w:rsidR="009E1894">
        <w:rPr>
          <w:rFonts w:ascii="Calibri" w:hAnsi="Calibri" w:cs="Calibri"/>
        </w:rPr>
        <w:t xml:space="preserve">get </w:t>
      </w:r>
      <w:r w:rsidR="00623875" w:rsidRPr="001F52A8">
        <w:rPr>
          <w:rFonts w:ascii="Calibri" w:hAnsi="Calibri" w:cs="Calibri"/>
        </w:rPr>
        <w:t>back to Achish</w:t>
      </w:r>
      <w:r w:rsidR="00111FB4">
        <w:rPr>
          <w:rFonts w:ascii="Calibri" w:hAnsi="Calibri" w:cs="Calibri"/>
        </w:rPr>
        <w:t>. T</w:t>
      </w:r>
      <w:r w:rsidR="00C13F01" w:rsidRPr="001F52A8">
        <w:rPr>
          <w:rFonts w:ascii="Calibri" w:hAnsi="Calibri" w:cs="Calibri"/>
        </w:rPr>
        <w:t xml:space="preserve">he profits </w:t>
      </w:r>
      <w:r w:rsidR="001167CD" w:rsidRPr="001F52A8">
        <w:rPr>
          <w:rFonts w:ascii="Calibri" w:hAnsi="Calibri" w:cs="Calibri"/>
        </w:rPr>
        <w:t xml:space="preserve">apparently </w:t>
      </w:r>
      <w:r w:rsidR="00C13F01" w:rsidRPr="001F52A8">
        <w:rPr>
          <w:rFonts w:ascii="Calibri" w:hAnsi="Calibri" w:cs="Calibri"/>
        </w:rPr>
        <w:t xml:space="preserve">go to </w:t>
      </w:r>
      <w:r w:rsidR="00111FB4">
        <w:rPr>
          <w:rFonts w:ascii="Calibri" w:hAnsi="Calibri" w:cs="Calibri"/>
        </w:rPr>
        <w:t>him,</w:t>
      </w:r>
      <w:r w:rsidR="001167CD" w:rsidRPr="001F52A8">
        <w:rPr>
          <w:rFonts w:ascii="Calibri" w:hAnsi="Calibri" w:cs="Calibri"/>
        </w:rPr>
        <w:t xml:space="preserve"> presumably with the cut for David and his men that they need</w:t>
      </w:r>
      <w:r w:rsidR="00C13F01" w:rsidRPr="001F52A8">
        <w:rPr>
          <w:rFonts w:ascii="Calibri" w:hAnsi="Calibri" w:cs="Calibri"/>
        </w:rPr>
        <w:t xml:space="preserve">. </w:t>
      </w:r>
      <w:r w:rsidR="004F6E2D" w:rsidRPr="001F52A8">
        <w:rPr>
          <w:rFonts w:ascii="Calibri" w:hAnsi="Calibri" w:cs="Calibri"/>
        </w:rPr>
        <w:t>It</w:t>
      </w:r>
      <w:r w:rsidR="004F6E2D" w:rsidRPr="001F52A8">
        <w:t xml:space="preserve"> is here that we get the only piece of chronological information in the narrative: David was at Ziklag for sixteen months</w:t>
      </w:r>
      <w:r w:rsidR="00FF3B33" w:rsidRPr="001F52A8">
        <w:t>, up until Saul’s death</w:t>
      </w:r>
      <w:r w:rsidR="004F6E2D" w:rsidRPr="001F52A8">
        <w:t xml:space="preserve">. </w:t>
      </w:r>
      <w:r w:rsidR="00553B55" w:rsidRPr="001F52A8">
        <w:t xml:space="preserve">The well-founded suspicions </w:t>
      </w:r>
      <w:r w:rsidR="00D93E4B" w:rsidRPr="001F52A8">
        <w:t xml:space="preserve">of </w:t>
      </w:r>
      <w:r w:rsidR="00C123F8" w:rsidRPr="001F52A8">
        <w:t xml:space="preserve">other </w:t>
      </w:r>
      <w:r w:rsidR="00D93E4B" w:rsidRPr="001F52A8">
        <w:t xml:space="preserve">Philistine </w:t>
      </w:r>
      <w:r w:rsidR="00C123F8" w:rsidRPr="001F52A8">
        <w:t>leaders</w:t>
      </w:r>
      <w:r w:rsidR="008521A1" w:rsidRPr="001F52A8">
        <w:t xml:space="preserve"> (presumably the rulers of the other Philistine towns</w:t>
      </w:r>
      <w:r w:rsidR="00C84F2A" w:rsidRPr="001F52A8">
        <w:t>) rescue David from having to fight for the Philistines against Judah</w:t>
      </w:r>
      <w:r w:rsidR="005F081B" w:rsidRPr="001F52A8">
        <w:t xml:space="preserve">. </w:t>
      </w:r>
      <w:r w:rsidR="005F081B" w:rsidRPr="001F52A8">
        <w:rPr>
          <w:rFonts w:cstheme="minorHAnsi"/>
        </w:rPr>
        <w:t>“Whether David, lacking this providential way out, would really have pitted himself against his own people is another imponderable in the character of this elusive figure.”</w:t>
      </w:r>
      <w:r w:rsidR="005F081B" w:rsidRPr="001F52A8">
        <w:rPr>
          <w:rStyle w:val="FootnoteReference"/>
          <w:rFonts w:cstheme="minorHAnsi"/>
        </w:rPr>
        <w:footnoteReference w:id="235"/>
      </w:r>
      <w:r w:rsidR="005F081B" w:rsidRPr="001F52A8">
        <w:rPr>
          <w:rFonts w:cstheme="minorHAnsi"/>
        </w:rPr>
        <w:t xml:space="preserve"> </w:t>
      </w:r>
      <w:r w:rsidR="005F081B" w:rsidRPr="001F52A8">
        <w:t>One su</w:t>
      </w:r>
      <w:r w:rsidR="00454D86" w:rsidRPr="001F52A8">
        <w:t>s</w:t>
      </w:r>
      <w:r w:rsidR="005F081B" w:rsidRPr="001F52A8">
        <w:t>pects that</w:t>
      </w:r>
      <w:r w:rsidR="00C84F2A" w:rsidRPr="001F52A8">
        <w:t xml:space="preserve"> </w:t>
      </w:r>
      <w:r w:rsidR="00435F0D" w:rsidRPr="001F52A8">
        <w:t xml:space="preserve">David would have found a way of making things work his way in such a battle </w:t>
      </w:r>
      <w:r w:rsidR="00780E3E" w:rsidRPr="001F52A8">
        <w:t>(29:1-11).</w:t>
      </w:r>
      <w:r w:rsidR="00ED4F7B">
        <w:t xml:space="preserve"> </w:t>
      </w:r>
    </w:p>
    <w:p w14:paraId="35CE74F1" w14:textId="12F786AE" w:rsidR="00DD253A" w:rsidRPr="001F52A8" w:rsidRDefault="00783B00" w:rsidP="000B0A0F">
      <w:pPr>
        <w:pStyle w:val="Heading2"/>
      </w:pPr>
      <w:r w:rsidRPr="001F52A8">
        <w:lastRenderedPageBreak/>
        <w:t xml:space="preserve">David </w:t>
      </w:r>
      <w:r w:rsidR="00DE56BE" w:rsidRPr="001F52A8">
        <w:t xml:space="preserve">the Man Who </w:t>
      </w:r>
      <w:r w:rsidR="00157628" w:rsidRPr="001F52A8">
        <w:t>Ack</w:t>
      </w:r>
      <w:r w:rsidR="00E35E4E" w:rsidRPr="001F52A8">
        <w:t>nowledges</w:t>
      </w:r>
      <w:r w:rsidR="00DE56BE" w:rsidRPr="001F52A8">
        <w:t xml:space="preserve"> Yahweh</w:t>
      </w:r>
    </w:p>
    <w:p w14:paraId="5C8B6B5A" w14:textId="77777777" w:rsidR="000E7A44" w:rsidRPr="008875E9" w:rsidRDefault="00C92271" w:rsidP="000E7A44">
      <w:pPr>
        <w:rPr>
          <w:rFonts w:ascii="Calibri" w:hAnsi="Calibri" w:cs="Calibri"/>
        </w:rPr>
      </w:pPr>
      <w:r w:rsidRPr="001F52A8">
        <w:t>The ambiguity of the David narrative means</w:t>
      </w:r>
      <w:r w:rsidR="00B921FC" w:rsidRPr="001F52A8">
        <w:t xml:space="preserve"> there is </w:t>
      </w:r>
      <w:r w:rsidR="00DF2A22" w:rsidRPr="001F52A8">
        <w:t>another aspect</w:t>
      </w:r>
      <w:r w:rsidR="00B921FC" w:rsidRPr="001F52A8">
        <w:t xml:space="preserve"> to David</w:t>
      </w:r>
      <w:r w:rsidR="0097265A" w:rsidRPr="001F52A8">
        <w:t>’s story</w:t>
      </w:r>
      <w:r w:rsidR="00B921FC" w:rsidRPr="001F52A8">
        <w:t xml:space="preserve">. </w:t>
      </w:r>
      <w:r w:rsidR="009B77B8" w:rsidRPr="001F52A8">
        <w:t>W</w:t>
      </w:r>
      <w:r w:rsidR="00B921FC" w:rsidRPr="001F52A8">
        <w:t xml:space="preserve">oven </w:t>
      </w:r>
      <w:r w:rsidR="005C0F16" w:rsidRPr="001F52A8">
        <w:t>in</w:t>
      </w:r>
      <w:r w:rsidR="009B77B8" w:rsidRPr="001F52A8">
        <w:t>to</w:t>
      </w:r>
      <w:r w:rsidR="005C0F16" w:rsidRPr="001F52A8">
        <w:t xml:space="preserve"> the reports of</w:t>
      </w:r>
      <w:r w:rsidR="00B921FC" w:rsidRPr="001F52A8">
        <w:t xml:space="preserve"> ventures and flights that </w:t>
      </w:r>
      <w:r w:rsidR="00881DB9" w:rsidRPr="001F52A8">
        <w:t xml:space="preserve">claim no religious or ethical </w:t>
      </w:r>
      <w:r w:rsidR="0099627F" w:rsidRPr="001F52A8">
        <w:t>grounds or significance</w:t>
      </w:r>
      <w:r w:rsidR="00662580" w:rsidRPr="001F52A8">
        <w:t>,</w:t>
      </w:r>
      <w:r w:rsidR="0099627F" w:rsidRPr="001F52A8">
        <w:t xml:space="preserve"> and </w:t>
      </w:r>
      <w:r w:rsidR="00801FA4" w:rsidRPr="001F52A8">
        <w:t xml:space="preserve">that </w:t>
      </w:r>
      <w:r w:rsidR="0099627F" w:rsidRPr="001F52A8">
        <w:t>may look as if they could have none</w:t>
      </w:r>
      <w:r w:rsidR="00662580" w:rsidRPr="001F52A8">
        <w:t>,</w:t>
      </w:r>
      <w:r w:rsidR="0099627F" w:rsidRPr="001F52A8">
        <w:t xml:space="preserve"> </w:t>
      </w:r>
      <w:r w:rsidR="00E0089F" w:rsidRPr="001F52A8">
        <w:t xml:space="preserve">are </w:t>
      </w:r>
      <w:r w:rsidR="005C0F16" w:rsidRPr="001F52A8">
        <w:t xml:space="preserve">notes of </w:t>
      </w:r>
      <w:r w:rsidR="006A54D1" w:rsidRPr="001F52A8">
        <w:t>a religious or ethical kind</w:t>
      </w:r>
      <w:r w:rsidR="00732052" w:rsidRPr="001F52A8">
        <w:t xml:space="preserve">. </w:t>
      </w:r>
      <w:r w:rsidR="000E7A44">
        <w:t>David has a capacity “</w:t>
      </w:r>
      <w:r w:rsidR="000E7A44" w:rsidRPr="008875E9">
        <w:rPr>
          <w:rFonts w:ascii="Calibri" w:hAnsi="Calibri" w:cs="Calibri"/>
        </w:rPr>
        <w:t>for combining</w:t>
      </w:r>
      <w:r w:rsidR="000E7A44">
        <w:rPr>
          <w:rFonts w:ascii="Calibri" w:hAnsi="Calibri" w:cs="Calibri"/>
        </w:rPr>
        <w:t xml:space="preserve"> </w:t>
      </w:r>
      <w:r w:rsidR="000E7A44" w:rsidRPr="008875E9">
        <w:rPr>
          <w:rFonts w:ascii="Calibri" w:hAnsi="Calibri" w:cs="Calibri"/>
        </w:rPr>
        <w:t>political savvy with a surprising morality and genuine devotion</w:t>
      </w:r>
      <w:r w:rsidR="000E7A44">
        <w:rPr>
          <w:rFonts w:ascii="Calibri" w:hAnsi="Calibri" w:cs="Calibri"/>
        </w:rPr>
        <w:t xml:space="preserve"> </w:t>
      </w:r>
      <w:r w:rsidR="000E7A44" w:rsidRPr="008875E9">
        <w:rPr>
          <w:rFonts w:ascii="Calibri" w:hAnsi="Calibri" w:cs="Calibri"/>
        </w:rPr>
        <w:t>to God.</w:t>
      </w:r>
      <w:r w:rsidR="000E7A44">
        <w:rPr>
          <w:rFonts w:ascii="Calibri" w:hAnsi="Calibri" w:cs="Calibri"/>
        </w:rPr>
        <w:t>”</w:t>
      </w:r>
      <w:r w:rsidR="000E7A44">
        <w:rPr>
          <w:rStyle w:val="FootnoteReference"/>
          <w:rFonts w:ascii="Calibri" w:hAnsi="Calibri" w:cs="Calibri"/>
        </w:rPr>
        <w:footnoteReference w:id="236"/>
      </w:r>
    </w:p>
    <w:p w14:paraId="01849354" w14:textId="6BA23DA0" w:rsidR="00FE3227" w:rsidRDefault="00130E50" w:rsidP="00534622">
      <w:r w:rsidRPr="001F52A8">
        <w:t xml:space="preserve">Doeg </w:t>
      </w:r>
      <w:r w:rsidR="00547ACB" w:rsidRPr="001F52A8">
        <w:t>reports</w:t>
      </w:r>
      <w:r w:rsidRPr="001F52A8">
        <w:t xml:space="preserve"> that</w:t>
      </w:r>
      <w:r w:rsidR="00172451" w:rsidRPr="001F52A8">
        <w:t xml:space="preserve"> </w:t>
      </w:r>
      <w:r w:rsidR="00760CBE" w:rsidRPr="001F52A8">
        <w:t xml:space="preserve">Ahimelech </w:t>
      </w:r>
      <w:r w:rsidR="00477CA3">
        <w:t xml:space="preserve">had </w:t>
      </w:r>
      <w:r w:rsidR="00760CBE" w:rsidRPr="001F52A8">
        <w:t>inquire</w:t>
      </w:r>
      <w:r w:rsidRPr="001F52A8">
        <w:t>d</w:t>
      </w:r>
      <w:r w:rsidR="00760CBE" w:rsidRPr="001F52A8">
        <w:t xml:space="preserve"> of Yahweh for David</w:t>
      </w:r>
      <w:r w:rsidR="00CE38FE">
        <w:t>, and</w:t>
      </w:r>
      <w:r w:rsidR="00B52DF1" w:rsidRPr="001F52A8">
        <w:t xml:space="preserve"> Ahim</w:t>
      </w:r>
      <w:r w:rsidR="00633A61" w:rsidRPr="001F52A8">
        <w:t xml:space="preserve">elech confirms it </w:t>
      </w:r>
      <w:r w:rsidR="00891C57" w:rsidRPr="001F52A8">
        <w:t>(22:10</w:t>
      </w:r>
      <w:r w:rsidR="00633A61" w:rsidRPr="001F52A8">
        <w:t>, 15</w:t>
      </w:r>
      <w:r w:rsidR="00891C57" w:rsidRPr="001F52A8">
        <w:t>)</w:t>
      </w:r>
      <w:r w:rsidR="00172451" w:rsidRPr="001F52A8">
        <w:t xml:space="preserve">. </w:t>
      </w:r>
      <w:r w:rsidR="00932608" w:rsidRPr="001F52A8">
        <w:t>David’</w:t>
      </w:r>
      <w:r w:rsidR="00534622" w:rsidRPr="001F52A8">
        <w:t xml:space="preserve">s </w:t>
      </w:r>
      <w:r w:rsidR="008B5FEC" w:rsidRPr="001F52A8">
        <w:t>calling on</w:t>
      </w:r>
      <w:r w:rsidR="00534622" w:rsidRPr="001F52A8">
        <w:t xml:space="preserve"> Ahimelech issues in “the darkest passage in the story of David’s rise to power</w:t>
      </w:r>
      <w:r w:rsidR="000F36BD" w:rsidRPr="001F52A8">
        <w:t>,</w:t>
      </w:r>
      <w:r w:rsidR="00534622" w:rsidRPr="001F52A8">
        <w:t>”</w:t>
      </w:r>
      <w:r w:rsidR="00534622" w:rsidRPr="001F52A8">
        <w:rPr>
          <w:rStyle w:val="FootnoteReference"/>
        </w:rPr>
        <w:footnoteReference w:id="237"/>
      </w:r>
      <w:r w:rsidR="00534622" w:rsidRPr="001F52A8">
        <w:t xml:space="preserve"> </w:t>
      </w:r>
      <w:r w:rsidR="000F36BD" w:rsidRPr="001F52A8">
        <w:t xml:space="preserve">and </w:t>
      </w:r>
      <w:r w:rsidR="00932608" w:rsidRPr="001F52A8">
        <w:t xml:space="preserve">David himself </w:t>
      </w:r>
      <w:r w:rsidR="00F42058" w:rsidRPr="001F52A8">
        <w:t>ac</w:t>
      </w:r>
      <w:r w:rsidR="00932608" w:rsidRPr="001F52A8">
        <w:t>know</w:t>
      </w:r>
      <w:r w:rsidR="00F42058" w:rsidRPr="001F52A8">
        <w:t>ledge</w:t>
      </w:r>
      <w:r w:rsidR="00932608" w:rsidRPr="001F52A8">
        <w:t xml:space="preserve">s </w:t>
      </w:r>
      <w:r w:rsidR="00703483" w:rsidRPr="001F52A8">
        <w:t xml:space="preserve">some </w:t>
      </w:r>
      <w:r w:rsidR="00206799" w:rsidRPr="001F52A8">
        <w:t>responsib</w:t>
      </w:r>
      <w:r w:rsidR="00AB0D08" w:rsidRPr="001F52A8">
        <w:t>i</w:t>
      </w:r>
      <w:r w:rsidR="00703483" w:rsidRPr="001F52A8">
        <w:t>li</w:t>
      </w:r>
      <w:r w:rsidR="00AB0D08" w:rsidRPr="001F52A8">
        <w:t>ty</w:t>
      </w:r>
      <w:r w:rsidR="00206799" w:rsidRPr="001F52A8">
        <w:t xml:space="preserve"> (22:22). </w:t>
      </w:r>
      <w:r w:rsidR="002E0507">
        <w:t xml:space="preserve">The Talmud (Yoma 22b) nicely comments that Saul falls foul of both halves of Qohelet’s exhortation (7:17) that one should neither be too righteous (in being merciful to Amalek) or too wicked (in the slaughter at Nob). </w:t>
      </w:r>
      <w:r w:rsidR="009F3984" w:rsidRPr="001F52A8">
        <w:t xml:space="preserve">When </w:t>
      </w:r>
      <w:r w:rsidR="002E0507">
        <w:t>David</w:t>
      </w:r>
      <w:r w:rsidR="009F3984" w:rsidRPr="001F52A8">
        <w:t xml:space="preserve"> t</w:t>
      </w:r>
      <w:r w:rsidR="00206799" w:rsidRPr="001F52A8">
        <w:t>akes</w:t>
      </w:r>
      <w:r w:rsidR="009F3984" w:rsidRPr="001F52A8">
        <w:t xml:space="preserve"> his parents to</w:t>
      </w:r>
      <w:r w:rsidR="0001004F" w:rsidRPr="001F52A8">
        <w:t xml:space="preserve"> </w:t>
      </w:r>
      <w:r w:rsidR="00206799" w:rsidRPr="001F52A8">
        <w:t>find</w:t>
      </w:r>
      <w:r w:rsidR="0001004F" w:rsidRPr="001F52A8">
        <w:t xml:space="preserve"> refuge in Moab</w:t>
      </w:r>
      <w:r w:rsidR="0066481E" w:rsidRPr="001F52A8">
        <w:t xml:space="preserve"> it </w:t>
      </w:r>
      <w:r w:rsidR="00206799" w:rsidRPr="001F52A8">
        <w:t>i</w:t>
      </w:r>
      <w:r w:rsidR="0066481E" w:rsidRPr="001F52A8">
        <w:t>s</w:t>
      </w:r>
      <w:r w:rsidR="0001004F" w:rsidRPr="001F52A8">
        <w:t xml:space="preserve"> “until </w:t>
      </w:r>
      <w:r w:rsidR="00AD1F2A" w:rsidRPr="001F52A8">
        <w:t>I know what God will do for me” (22:</w:t>
      </w:r>
      <w:r w:rsidR="00B9398D" w:rsidRPr="001F52A8">
        <w:t>3</w:t>
      </w:r>
      <w:r w:rsidR="00E54B88" w:rsidRPr="001F52A8">
        <w:t>)</w:t>
      </w:r>
      <w:r w:rsidR="001B04C6">
        <w:t>; w</w:t>
      </w:r>
      <w:r w:rsidR="00E54B88" w:rsidRPr="001F52A8">
        <w:t>e actually never hear of them again</w:t>
      </w:r>
      <w:r w:rsidR="00707C19" w:rsidRPr="001F52A8">
        <w:t xml:space="preserve">. </w:t>
      </w:r>
      <w:r w:rsidR="001B04C6">
        <w:t>I</w:t>
      </w:r>
      <w:r w:rsidR="00B9398D" w:rsidRPr="001F52A8">
        <w:t>t is a wildly open phrase</w:t>
      </w:r>
      <w:r w:rsidR="00A3647D" w:rsidRPr="001F52A8">
        <w:t>:</w:t>
      </w:r>
      <w:r w:rsidR="005C79E9" w:rsidRPr="001F52A8">
        <w:t xml:space="preserve"> “until </w:t>
      </w:r>
      <w:r w:rsidR="00A3647D" w:rsidRPr="001F52A8">
        <w:t xml:space="preserve">God gets Saul to stop pursuing me? Until </w:t>
      </w:r>
      <w:r w:rsidR="0066481E" w:rsidRPr="001F52A8">
        <w:t>he makes me</w:t>
      </w:r>
      <w:r w:rsidR="00A3647D" w:rsidRPr="001F52A8">
        <w:t xml:space="preserve"> king?”</w:t>
      </w:r>
      <w:r w:rsidR="0066481E" w:rsidRPr="001F52A8">
        <w:t xml:space="preserve"> </w:t>
      </w:r>
      <w:r w:rsidR="00E65183" w:rsidRPr="001F52A8">
        <w:t>T</w:t>
      </w:r>
      <w:r w:rsidR="008A04B6" w:rsidRPr="001F52A8">
        <w:t>here are no reports of such hopes on his part</w:t>
      </w:r>
      <w:r w:rsidR="00A7423C" w:rsidRPr="001F52A8">
        <w:t xml:space="preserve">, </w:t>
      </w:r>
      <w:r w:rsidR="00E65183" w:rsidRPr="001F52A8">
        <w:t xml:space="preserve">but </w:t>
      </w:r>
      <w:r w:rsidR="00A7423C" w:rsidRPr="001F52A8">
        <w:t>d</w:t>
      </w:r>
      <w:r w:rsidR="000147ED" w:rsidRPr="001F52A8">
        <w:t xml:space="preserve">o comments along these lines suggest that </w:t>
      </w:r>
      <w:r w:rsidR="008A04B6" w:rsidRPr="001F52A8">
        <w:t>we should read them between the lines</w:t>
      </w:r>
      <w:r w:rsidR="00E97F99">
        <w:t xml:space="preserve"> elsewhere</w:t>
      </w:r>
      <w:r w:rsidR="000147ED" w:rsidRPr="001F52A8">
        <w:t>, or that on the contrary we should not?</w:t>
      </w:r>
      <w:r w:rsidR="007567C6" w:rsidRPr="001F52A8">
        <w:t xml:space="preserve"> </w:t>
      </w:r>
      <w:r w:rsidR="009F50AF">
        <w:t xml:space="preserve">Is </w:t>
      </w:r>
      <w:r w:rsidR="00CE3C51" w:rsidRPr="001F52A8">
        <w:t>David’s “until . . .”</w:t>
      </w:r>
      <w:r w:rsidR="007567C6" w:rsidRPr="001F52A8">
        <w:t xml:space="preserve"> a statement of trust that stands in tension with </w:t>
      </w:r>
      <w:r w:rsidR="00A71586" w:rsidRPr="001F52A8">
        <w:t>the reports of decisive action</w:t>
      </w:r>
      <w:r w:rsidR="009F50AF">
        <w:t>?</w:t>
      </w:r>
    </w:p>
    <w:p w14:paraId="281E109F" w14:textId="5129B3A4" w:rsidR="00E339A3" w:rsidRPr="001F52A8" w:rsidRDefault="00107969" w:rsidP="006202E5">
      <w:r w:rsidRPr="001F52A8">
        <w:t>References to</w:t>
      </w:r>
      <w:r w:rsidR="00504769" w:rsidRPr="001F52A8">
        <w:t xml:space="preserve"> </w:t>
      </w:r>
      <w:r w:rsidR="00CE3C51" w:rsidRPr="001F52A8">
        <w:t>David’s</w:t>
      </w:r>
      <w:r w:rsidRPr="001F52A8">
        <w:t xml:space="preserve"> inquiring of Yahweh </w:t>
      </w:r>
      <w:r w:rsidR="002E5509" w:rsidRPr="001F52A8">
        <w:t>interweave t</w:t>
      </w:r>
      <w:r w:rsidR="00504769" w:rsidRPr="001F52A8">
        <w:t>he account of the Keilah adventure</w:t>
      </w:r>
      <w:r w:rsidR="00210113" w:rsidRPr="001F52A8">
        <w:t xml:space="preserve"> (23:</w:t>
      </w:r>
      <w:r w:rsidR="00F05A05" w:rsidRPr="001F52A8">
        <w:t>1-13)</w:t>
      </w:r>
      <w:r w:rsidR="002E5509" w:rsidRPr="001F52A8">
        <w:t>. When he heard that its people were in trouble, he inquired about whether</w:t>
      </w:r>
      <w:r w:rsidR="00210113" w:rsidRPr="001F52A8">
        <w:t xml:space="preserve"> to go and defend them. When his men raise questions</w:t>
      </w:r>
      <w:r w:rsidR="00F05A05" w:rsidRPr="001F52A8">
        <w:t xml:space="preserve"> about the wisdom of this plan</w:t>
      </w:r>
      <w:r w:rsidR="00210113" w:rsidRPr="001F52A8">
        <w:t>, he checks out with Yahweh again</w:t>
      </w:r>
      <w:r w:rsidR="00F05A05" w:rsidRPr="001F52A8">
        <w:t xml:space="preserve">. </w:t>
      </w:r>
      <w:r w:rsidR="002D3304" w:rsidRPr="001F52A8">
        <w:t xml:space="preserve">It’s not clear how he does this inquiry, in that </w:t>
      </w:r>
      <w:r w:rsidR="006C77D9" w:rsidRPr="001F52A8">
        <w:t xml:space="preserve">the story only </w:t>
      </w:r>
      <w:r w:rsidR="002D3304" w:rsidRPr="001F52A8">
        <w:t xml:space="preserve">subsequently </w:t>
      </w:r>
      <w:r w:rsidR="006C77D9" w:rsidRPr="001F52A8">
        <w:t>reports</w:t>
      </w:r>
      <w:r w:rsidR="002D3304" w:rsidRPr="001F52A8">
        <w:t xml:space="preserve"> Abiathar</w:t>
      </w:r>
      <w:r w:rsidR="006C77D9" w:rsidRPr="001F52A8">
        <w:t>’s</w:t>
      </w:r>
      <w:r w:rsidR="002D3304" w:rsidRPr="001F52A8">
        <w:t xml:space="preserve"> arriv</w:t>
      </w:r>
      <w:r w:rsidR="006C77D9" w:rsidRPr="001F52A8">
        <w:t>al</w:t>
      </w:r>
      <w:r w:rsidR="002D3304" w:rsidRPr="001F52A8">
        <w:t xml:space="preserve"> with </w:t>
      </w:r>
      <w:r w:rsidR="00D1324B" w:rsidRPr="001F52A8">
        <w:t>a</w:t>
      </w:r>
      <w:r w:rsidR="002D3304" w:rsidRPr="001F52A8">
        <w:t xml:space="preserve"> </w:t>
      </w:r>
      <w:r w:rsidR="00D1324B" w:rsidRPr="001F52A8">
        <w:t>chasuble; but when he does arrive</w:t>
      </w:r>
      <w:r w:rsidR="00807E51" w:rsidRPr="001F52A8">
        <w:t xml:space="preserve"> and Saul </w:t>
      </w:r>
      <w:r w:rsidR="004579E5" w:rsidRPr="001F52A8">
        <w:t xml:space="preserve">threatens to </w:t>
      </w:r>
      <w:r w:rsidR="00F85F0A" w:rsidRPr="001F52A8">
        <w:t xml:space="preserve">attack, David asks Yahweh whether Saul will do so and then whether the people of Keilah will </w:t>
      </w:r>
      <w:r w:rsidR="00BB5353" w:rsidRPr="001F52A8">
        <w:t xml:space="preserve">surrender David and his men, which leads them to make scarce. </w:t>
      </w:r>
      <w:r w:rsidR="00E10FFA" w:rsidRPr="001F52A8">
        <w:t xml:space="preserve">David has access to information </w:t>
      </w:r>
      <w:r w:rsidR="005E4247" w:rsidRPr="001F52A8">
        <w:t>and direction from Yahweh; Saul works in ig</w:t>
      </w:r>
      <w:r w:rsidR="0077371C" w:rsidRPr="001F52A8">
        <w:t>norance</w:t>
      </w:r>
      <w:r w:rsidR="00533DF0" w:rsidRPr="001F52A8">
        <w:t>.</w:t>
      </w:r>
      <w:r w:rsidR="0033778B" w:rsidRPr="001F52A8">
        <w:rPr>
          <w:rStyle w:val="FootnoteReference"/>
        </w:rPr>
        <w:footnoteReference w:id="238"/>
      </w:r>
    </w:p>
    <w:p w14:paraId="1B2A8522" w14:textId="4CC30454" w:rsidR="00A91730" w:rsidRPr="001F52A8" w:rsidRDefault="00D06620" w:rsidP="00A91730">
      <w:r w:rsidRPr="001F52A8">
        <w:t>In the first account</w:t>
      </w:r>
      <w:r>
        <w:t xml:space="preserve"> of</w:t>
      </w:r>
      <w:r w:rsidR="00B06E90" w:rsidRPr="001F52A8">
        <w:t xml:space="preserve"> </w:t>
      </w:r>
      <w:r w:rsidR="00A213C1" w:rsidRPr="001F52A8">
        <w:t>David ha</w:t>
      </w:r>
      <w:r>
        <w:t>ving</w:t>
      </w:r>
      <w:r w:rsidR="00A213C1" w:rsidRPr="001F52A8">
        <w:t xml:space="preserve"> chance to kill Saul (24:</w:t>
      </w:r>
      <w:r w:rsidR="00AD6527" w:rsidRPr="001F52A8">
        <w:t>1-22)</w:t>
      </w:r>
      <w:r w:rsidR="00641F7F">
        <w:t>, his</w:t>
      </w:r>
      <w:r w:rsidR="00F12718" w:rsidRPr="001F52A8">
        <w:t xml:space="preserve"> men remind him that Yahweh</w:t>
      </w:r>
      <w:r w:rsidR="009166D0" w:rsidRPr="001F52A8">
        <w:t xml:space="preserve"> had told him he</w:t>
      </w:r>
      <w:r w:rsidR="00C86231" w:rsidRPr="001F52A8">
        <w:t xml:space="preserve"> would</w:t>
      </w:r>
      <w:r w:rsidR="009166D0" w:rsidRPr="001F52A8">
        <w:t xml:space="preserve"> surrender Saul to him</w:t>
      </w:r>
      <w:r w:rsidR="00C86231" w:rsidRPr="001F52A8">
        <w:t xml:space="preserve"> and that he could then do as he saw fit. </w:t>
      </w:r>
      <w:r w:rsidR="007137B0" w:rsidRPr="001F52A8">
        <w:t>T</w:t>
      </w:r>
      <w:r w:rsidR="0037170D" w:rsidRPr="001F52A8">
        <w:t xml:space="preserve">he reminder </w:t>
      </w:r>
      <w:r w:rsidR="000123B6" w:rsidRPr="001F52A8">
        <w:t xml:space="preserve">(or invention) </w:t>
      </w:r>
      <w:r w:rsidR="0037170D" w:rsidRPr="001F52A8">
        <w:t xml:space="preserve">gives David chance to show that what he sees fit is </w:t>
      </w:r>
      <w:r w:rsidR="00F60F73" w:rsidRPr="001F52A8">
        <w:t>not to raise his hand against Yahweh’s anointed</w:t>
      </w:r>
      <w:r w:rsidR="00C308C2" w:rsidRPr="001F52A8">
        <w:t>. H</w:t>
      </w:r>
      <w:r w:rsidR="00F60F73" w:rsidRPr="001F52A8">
        <w:t>e repeats the phrase</w:t>
      </w:r>
      <w:r w:rsidR="00C97EBE" w:rsidRPr="001F52A8">
        <w:t>, and utters it again later</w:t>
      </w:r>
      <w:r w:rsidR="00F84876" w:rsidRPr="001F52A8">
        <w:t xml:space="preserve"> </w:t>
      </w:r>
      <w:r w:rsidR="00E95B44" w:rsidRPr="001F52A8">
        <w:t xml:space="preserve">(and three more times in </w:t>
      </w:r>
      <w:r w:rsidR="00F2136B" w:rsidRPr="001F52A8">
        <w:t>the second story)</w:t>
      </w:r>
      <w:r w:rsidR="00F60F73" w:rsidRPr="001F52A8">
        <w:t xml:space="preserve">. </w:t>
      </w:r>
      <w:r w:rsidR="004378D9" w:rsidRPr="001F52A8">
        <w:t>Anointing signifies being set apart by and for Yahweh</w:t>
      </w:r>
      <w:r w:rsidR="00A30682" w:rsidRPr="001F52A8">
        <w:t>.</w:t>
      </w:r>
      <w:r w:rsidR="004B530E" w:rsidRPr="001F52A8">
        <w:t xml:space="preserve"> Anyone or anything anointed if off-limits.</w:t>
      </w:r>
      <w:r w:rsidR="00FE32DE" w:rsidRPr="001F52A8">
        <w:t xml:space="preserve"> David’s attitude contrasts with Saul’s at Nob.</w:t>
      </w:r>
      <w:r w:rsidR="00786AFA" w:rsidRPr="001F52A8">
        <w:t xml:space="preserve"> </w:t>
      </w:r>
      <w:r w:rsidR="000970D3" w:rsidRPr="001F52A8">
        <w:t xml:space="preserve">David </w:t>
      </w:r>
      <w:r w:rsidR="00786AFA" w:rsidRPr="001F52A8">
        <w:t xml:space="preserve">does </w:t>
      </w:r>
      <w:r w:rsidR="000970D3" w:rsidRPr="001F52A8">
        <w:t>cut off a corner of Saul’s coat</w:t>
      </w:r>
      <w:r w:rsidR="00893B51" w:rsidRPr="001F52A8">
        <w:t>,</w:t>
      </w:r>
      <w:r w:rsidR="00E25615" w:rsidRPr="001F52A8">
        <w:t xml:space="preserve"> a</w:t>
      </w:r>
      <w:r w:rsidR="00893B51" w:rsidRPr="001F52A8">
        <w:t>fter which</w:t>
      </w:r>
      <w:r w:rsidR="00E25615" w:rsidRPr="001F52A8">
        <w:t xml:space="preserve"> his </w:t>
      </w:r>
      <w:r w:rsidR="00B069D7" w:rsidRPr="001F52A8">
        <w:t>heart strikes him</w:t>
      </w:r>
      <w:r w:rsidR="00856BA5">
        <w:t xml:space="preserve"> </w:t>
      </w:r>
      <w:r w:rsidR="00856BA5" w:rsidRPr="001F52A8">
        <w:t>(2 Sam 24:10)</w:t>
      </w:r>
      <w:r w:rsidR="00856BA5">
        <w:t>. T</w:t>
      </w:r>
      <w:r w:rsidR="00A81E84" w:rsidRPr="001F52A8">
        <w:t>hat expression could suggest guilt</w:t>
      </w:r>
      <w:r w:rsidR="00856BA5">
        <w:t>,</w:t>
      </w:r>
      <w:r w:rsidR="00A81E84" w:rsidRPr="001F52A8">
        <w:t xml:space="preserve"> but </w:t>
      </w:r>
      <w:r w:rsidR="006A76EF" w:rsidRPr="001F52A8">
        <w:t>David</w:t>
      </w:r>
      <w:r w:rsidR="00CE2B5A" w:rsidRPr="001F52A8">
        <w:t xml:space="preserve"> does not speak of guilt</w:t>
      </w:r>
      <w:r w:rsidR="00831797" w:rsidRPr="001F52A8">
        <w:t>,</w:t>
      </w:r>
      <w:r w:rsidR="00CE2B5A" w:rsidRPr="001F52A8">
        <w:t xml:space="preserve"> and more likely </w:t>
      </w:r>
      <w:r w:rsidR="00893B51" w:rsidRPr="001F52A8">
        <w:t>the feeling</w:t>
      </w:r>
      <w:r w:rsidR="00CE2B5A" w:rsidRPr="001F52A8">
        <w:t xml:space="preserve"> is </w:t>
      </w:r>
      <w:r w:rsidR="00D83855" w:rsidRPr="001F52A8">
        <w:t>something lik</w:t>
      </w:r>
      <w:r w:rsidR="006A7171" w:rsidRPr="001F52A8">
        <w:t>e dread over what he has had chance to do</w:t>
      </w:r>
      <w:r w:rsidR="00BF4E20" w:rsidRPr="001F52A8">
        <w:t>.</w:t>
      </w:r>
      <w:r w:rsidR="00893B51" w:rsidRPr="001F52A8">
        <w:t xml:space="preserve"> </w:t>
      </w:r>
      <w:r w:rsidR="00420294" w:rsidRPr="001F52A8">
        <w:t>Yahweh can decide on the rightness or wrongness of their action towards one another, David says.</w:t>
      </w:r>
      <w:r w:rsidR="00A91730" w:rsidRPr="001F52A8">
        <w:t xml:space="preserve"> And </w:t>
      </w:r>
      <w:r w:rsidR="00D026D8" w:rsidRPr="001F52A8">
        <w:t>yes, he will</w:t>
      </w:r>
      <w:r w:rsidR="00A91730" w:rsidRPr="001F52A8">
        <w:t xml:space="preserve"> be faithful to Saul’s descendants as well as to Saul himself.</w:t>
      </w:r>
    </w:p>
    <w:p w14:paraId="4364B597" w14:textId="1706F86B" w:rsidR="00E31EDD" w:rsidRPr="001F52A8" w:rsidRDefault="00893B51" w:rsidP="008E6787">
      <w:r w:rsidRPr="001F52A8">
        <w:t>On</w:t>
      </w:r>
      <w:r w:rsidR="004F412E" w:rsidRPr="001F52A8">
        <w:t xml:space="preserve"> the second occasion</w:t>
      </w:r>
      <w:r w:rsidR="00D06620">
        <w:t xml:space="preserve"> (</w:t>
      </w:r>
      <w:r w:rsidR="00D06620" w:rsidRPr="001F52A8">
        <w:t>26:1-25</w:t>
      </w:r>
      <w:r w:rsidR="00D06620">
        <w:t>)</w:t>
      </w:r>
      <w:r w:rsidR="00C308C2" w:rsidRPr="001F52A8">
        <w:t xml:space="preserve">, </w:t>
      </w:r>
      <w:r w:rsidR="004A1D86" w:rsidRPr="001F52A8">
        <w:t>Ab</w:t>
      </w:r>
      <w:r w:rsidR="00356CD2" w:rsidRPr="001F52A8">
        <w:t>ishai</w:t>
      </w:r>
      <w:r w:rsidR="004A1D86" w:rsidRPr="001F52A8">
        <w:t xml:space="preserve"> </w:t>
      </w:r>
      <w:r w:rsidR="0093650D" w:rsidRPr="001F52A8">
        <w:t xml:space="preserve">says something similar </w:t>
      </w:r>
      <w:r w:rsidR="009F50FD" w:rsidRPr="001F52A8">
        <w:t>to David’s men:</w:t>
      </w:r>
      <w:r w:rsidR="0093650D" w:rsidRPr="001F52A8">
        <w:t xml:space="preserve"> Yahweh has given Saul into David’s power</w:t>
      </w:r>
      <w:r w:rsidR="0045434B" w:rsidRPr="001F52A8">
        <w:t xml:space="preserve">. </w:t>
      </w:r>
      <w:r w:rsidR="00B6353E" w:rsidRPr="001F52A8">
        <w:t>One</w:t>
      </w:r>
      <w:r w:rsidR="00E31EDD" w:rsidRPr="001F52A8">
        <w:t xml:space="preserve"> lectionary </w:t>
      </w:r>
      <w:r w:rsidR="00025BB6" w:rsidRPr="001F52A8">
        <w:t>nicely links this story</w:t>
      </w:r>
      <w:r w:rsidR="00E31EDD" w:rsidRPr="001F52A8">
        <w:t xml:space="preserve"> with </w:t>
      </w:r>
      <w:r w:rsidR="0005521D" w:rsidRPr="001F52A8">
        <w:t>Luke 6:27-38</w:t>
      </w:r>
      <w:r w:rsidR="00F97A35" w:rsidRPr="001F52A8">
        <w:t>. “The real sermon on the Sermon on the Mount is the way David dramatizes the divine injunction to be merciful, given to him in the signs of spear and jug. He plays the magnanimous king by taking the “fool’s” (1 Sam. 26:21) life in his hands and giving it back, because it belongs to the Lord.”</w:t>
      </w:r>
      <w:r w:rsidR="002E4085" w:rsidRPr="001F52A8">
        <w:rPr>
          <w:rStyle w:val="FootnoteReference"/>
        </w:rPr>
        <w:footnoteReference w:id="239"/>
      </w:r>
      <w:r w:rsidR="005A55A9" w:rsidRPr="001F52A8">
        <w:t xml:space="preserve"> </w:t>
      </w:r>
      <w:r w:rsidR="0039252B">
        <w:t>This</w:t>
      </w:r>
      <w:r w:rsidR="005A55A9" w:rsidRPr="001F52A8">
        <w:t xml:space="preserve"> second story </w:t>
      </w:r>
      <w:r w:rsidR="00250632" w:rsidRPr="001F52A8">
        <w:t xml:space="preserve">goes beyond the </w:t>
      </w:r>
      <w:r w:rsidR="00250632" w:rsidRPr="001F52A8">
        <w:lastRenderedPageBreak/>
        <w:t>first, as one would expect.</w:t>
      </w:r>
      <w:r w:rsidR="009B183A">
        <w:rPr>
          <w:rStyle w:val="FootnoteReference"/>
        </w:rPr>
        <w:footnoteReference w:id="240"/>
      </w:r>
      <w:r w:rsidR="00250632" w:rsidRPr="001F52A8">
        <w:t xml:space="preserve"> </w:t>
      </w:r>
      <w:r w:rsidR="0039252B" w:rsidRPr="001F52A8">
        <w:t>David’s profession of innocence in the relationship is even more profuse</w:t>
      </w:r>
      <w:r w:rsidR="0039252B">
        <w:t>.</w:t>
      </w:r>
      <w:r w:rsidR="0039252B" w:rsidRPr="001F52A8">
        <w:t xml:space="preserve"> </w:t>
      </w:r>
      <w:r w:rsidR="00E06EC7">
        <w:t>He</w:t>
      </w:r>
      <w:r w:rsidR="00391D79" w:rsidRPr="001F52A8">
        <w:t xml:space="preserve"> challenges Saul’s staff about fail</w:t>
      </w:r>
      <w:r w:rsidR="00E06EC7">
        <w:t>ing</w:t>
      </w:r>
      <w:r w:rsidR="00391D79" w:rsidRPr="001F52A8">
        <w:t xml:space="preserve"> to look after </w:t>
      </w:r>
      <w:r w:rsidR="00231F08">
        <w:t>Saul</w:t>
      </w:r>
      <w:r w:rsidR="00391D79" w:rsidRPr="001F52A8">
        <w:t xml:space="preserve"> </w:t>
      </w:r>
      <w:r w:rsidR="00231F08">
        <w:t>and</w:t>
      </w:r>
      <w:r w:rsidR="00391D79" w:rsidRPr="001F52A8">
        <w:t xml:space="preserve"> </w:t>
      </w:r>
      <w:r w:rsidR="00786F8A" w:rsidRPr="001F52A8">
        <w:t>protect him from assassin</w:t>
      </w:r>
      <w:r w:rsidR="00231F08">
        <w:t>ation</w:t>
      </w:r>
      <w:r w:rsidR="00786F8A" w:rsidRPr="001F52A8">
        <w:t xml:space="preserve">. </w:t>
      </w:r>
      <w:r w:rsidR="00384EE6" w:rsidRPr="001F52A8">
        <w:t>He grieves over be</w:t>
      </w:r>
      <w:r w:rsidR="00C81BFC">
        <w:t>ing</w:t>
      </w:r>
      <w:r w:rsidR="00384EE6" w:rsidRPr="001F52A8">
        <w:t xml:space="preserve"> </w:t>
      </w:r>
      <w:r w:rsidR="00D00129" w:rsidRPr="001F52A8">
        <w:t xml:space="preserve">driven away from his </w:t>
      </w:r>
      <w:r w:rsidR="008073EC" w:rsidRPr="001F52A8">
        <w:t>share in the country that is Yahweh’s domain</w:t>
      </w:r>
      <w:r w:rsidR="00A45770" w:rsidRPr="001F52A8">
        <w:t xml:space="preserve">, as if to encourage him to go and serve other gods in the countries that </w:t>
      </w:r>
      <w:r w:rsidR="00120A28" w:rsidRPr="001F52A8">
        <w:t>belong to them</w:t>
      </w:r>
      <w:r w:rsidR="00C81BFC">
        <w:t>,</w:t>
      </w:r>
      <w:r w:rsidR="00120A28" w:rsidRPr="001F52A8">
        <w:t xml:space="preserve"> </w:t>
      </w:r>
      <w:r w:rsidR="00DB4C53" w:rsidRPr="001F52A8">
        <w:t xml:space="preserve">and </w:t>
      </w:r>
      <w:r w:rsidR="009222CF">
        <w:t xml:space="preserve">to </w:t>
      </w:r>
      <w:r w:rsidR="00DB4C53" w:rsidRPr="001F52A8">
        <w:t xml:space="preserve">meet his death away from Yahweh’s </w:t>
      </w:r>
      <w:r w:rsidR="00342AAE" w:rsidRPr="001F52A8">
        <w:t xml:space="preserve">presence </w:t>
      </w:r>
      <w:r w:rsidR="00120A28" w:rsidRPr="001F52A8">
        <w:t xml:space="preserve">(we know that </w:t>
      </w:r>
      <w:r w:rsidR="00342AAE" w:rsidRPr="001F52A8">
        <w:t xml:space="preserve">he knows that </w:t>
      </w:r>
      <w:r w:rsidR="00120A28" w:rsidRPr="001F52A8">
        <w:t>actually</w:t>
      </w:r>
      <w:r w:rsidR="00342AAE" w:rsidRPr="001F52A8">
        <w:t xml:space="preserve"> </w:t>
      </w:r>
      <w:r w:rsidR="00120A28" w:rsidRPr="001F52A8">
        <w:t xml:space="preserve">Yahweh </w:t>
      </w:r>
      <w:r w:rsidR="00342AAE" w:rsidRPr="001F52A8">
        <w:t xml:space="preserve">is there </w:t>
      </w:r>
      <w:r w:rsidR="00120A28" w:rsidRPr="001F52A8">
        <w:t>in those ot</w:t>
      </w:r>
      <w:r w:rsidR="00317883" w:rsidRPr="001F52A8">
        <w:t>h</w:t>
      </w:r>
      <w:r w:rsidR="00120A28" w:rsidRPr="001F52A8">
        <w:t>er countr</w:t>
      </w:r>
      <w:r w:rsidR="00317883" w:rsidRPr="001F52A8">
        <w:t>i</w:t>
      </w:r>
      <w:r w:rsidR="00120A28" w:rsidRPr="001F52A8">
        <w:t>es</w:t>
      </w:r>
      <w:r w:rsidR="00D41CDD">
        <w:t xml:space="preserve"> – he </w:t>
      </w:r>
      <w:r w:rsidR="00342AAE" w:rsidRPr="001F52A8">
        <w:t>calls on them there</w:t>
      </w:r>
      <w:r w:rsidR="00317883" w:rsidRPr="001F52A8">
        <w:t xml:space="preserve">). </w:t>
      </w:r>
    </w:p>
    <w:p w14:paraId="54D9DE84" w14:textId="77777777" w:rsidR="00FD0FC3" w:rsidRDefault="003D520E" w:rsidP="00CB4693">
      <w:r w:rsidRPr="001F52A8">
        <w:t>In between the two stor</w:t>
      </w:r>
      <w:r w:rsidR="00916256" w:rsidRPr="001F52A8">
        <w:t>i</w:t>
      </w:r>
      <w:r w:rsidRPr="001F52A8">
        <w:t>es is the acc</w:t>
      </w:r>
      <w:r w:rsidR="00916256" w:rsidRPr="001F52A8">
        <w:t xml:space="preserve">ount of David, Nabal, and Abigail. </w:t>
      </w:r>
      <w:r w:rsidR="004F34B4" w:rsidRPr="001F52A8">
        <w:t xml:space="preserve">Here David swears by God </w:t>
      </w:r>
      <w:r w:rsidR="008B307C" w:rsidRPr="001F52A8">
        <w:t xml:space="preserve">that he will slaughter Nabal’s entire </w:t>
      </w:r>
      <w:r w:rsidR="00BC4A6D" w:rsidRPr="001F52A8">
        <w:t>clan</w:t>
      </w:r>
      <w:r w:rsidR="00ED5ACC" w:rsidRPr="001F52A8">
        <w:t xml:space="preserve">, but then thanks Yahweh </w:t>
      </w:r>
      <w:r w:rsidR="00F41AE8">
        <w:t>when</w:t>
      </w:r>
      <w:r w:rsidR="00801D73" w:rsidRPr="001F52A8">
        <w:t xml:space="preserve"> Abigail prevail</w:t>
      </w:r>
      <w:r w:rsidR="00F41AE8">
        <w:t>s</w:t>
      </w:r>
      <w:r w:rsidR="00801D73" w:rsidRPr="001F52A8">
        <w:t xml:space="preserve"> over him to do no such thing</w:t>
      </w:r>
      <w:r w:rsidR="00A96B20" w:rsidRPr="001F52A8">
        <w:t xml:space="preserve"> and </w:t>
      </w:r>
      <w:r w:rsidR="00F41AE8">
        <w:t>Yahweh</w:t>
      </w:r>
      <w:r w:rsidR="00A96B20" w:rsidRPr="001F52A8">
        <w:t xml:space="preserve"> </w:t>
      </w:r>
      <w:r w:rsidR="002C0A30" w:rsidRPr="001F52A8">
        <w:t>bring</w:t>
      </w:r>
      <w:r w:rsidR="00F41AE8">
        <w:t>s</w:t>
      </w:r>
      <w:r w:rsidR="002C0A30" w:rsidRPr="001F52A8">
        <w:t xml:space="preserve"> Nabal’s wrongdoing down on his own head</w:t>
      </w:r>
      <w:r w:rsidR="00511D75" w:rsidRPr="001F52A8">
        <w:t xml:space="preserve">. </w:t>
      </w:r>
      <w:r w:rsidR="00F569AF">
        <w:t xml:space="preserve">In </w:t>
      </w:r>
      <w:r w:rsidR="00CB4693" w:rsidRPr="001F52A8">
        <w:rPr>
          <w:rFonts w:ascii="Calibri" w:hAnsi="Calibri" w:cs="Calibri"/>
        </w:rPr>
        <w:t>buy</w:t>
      </w:r>
      <w:r w:rsidR="00F569AF">
        <w:rPr>
          <w:rFonts w:ascii="Calibri" w:hAnsi="Calibri" w:cs="Calibri"/>
        </w:rPr>
        <w:t>ing</w:t>
      </w:r>
      <w:r w:rsidR="00CB4693" w:rsidRPr="001F52A8">
        <w:rPr>
          <w:rFonts w:ascii="Calibri" w:hAnsi="Calibri" w:cs="Calibri"/>
        </w:rPr>
        <w:t xml:space="preserve"> David off</w:t>
      </w:r>
      <w:r w:rsidR="00F569AF">
        <w:rPr>
          <w:rFonts w:ascii="Calibri" w:hAnsi="Calibri" w:cs="Calibri"/>
        </w:rPr>
        <w:t>, Abigail</w:t>
      </w:r>
      <w:r w:rsidR="00CB4693" w:rsidRPr="001F52A8">
        <w:rPr>
          <w:rFonts w:ascii="Calibri" w:hAnsi="Calibri" w:cs="Calibri"/>
        </w:rPr>
        <w:t xml:space="preserve"> declares a particularly wide-ranging and systemic recognition of him (25</w:t>
      </w:r>
      <w:r w:rsidR="00CB4693">
        <w:rPr>
          <w:rFonts w:ascii="Calibri" w:hAnsi="Calibri" w:cs="Calibri"/>
        </w:rPr>
        <w:t>:</w:t>
      </w:r>
      <w:r w:rsidR="00CB4693" w:rsidRPr="001F52A8">
        <w:rPr>
          <w:rFonts w:ascii="Calibri" w:hAnsi="Calibri" w:cs="Calibri"/>
        </w:rPr>
        <w:t>28-31). “</w:t>
      </w:r>
      <w:r w:rsidR="00CB4693" w:rsidRPr="001F52A8">
        <w:t xml:space="preserve">Yahweh will definitely make for my lord a trustworthy household.” The words are Yahweh’s declaration from way back (2:35) and they anticipate the promise that will come later (2 Sam 7:16; cf. also 1 Kgs 11:38). Here the reason is that “my lord is engaged in Yahweh’s battles” with people such as the Philistines, whose final defeat will be one of David’s most important achievements. “And nothing bad will be found in you through your days,” she adds. It sounds like an exaggeration, whatever she means by “bad,” but perhaps it is explained by what follows: </w:t>
      </w:r>
    </w:p>
    <w:p w14:paraId="6B566095" w14:textId="77777777" w:rsidR="00FD0FC3" w:rsidRDefault="00FD0FC3" w:rsidP="00CB4693"/>
    <w:p w14:paraId="6088B917" w14:textId="4C939A81" w:rsidR="00FD0FC3" w:rsidRDefault="00CB4693" w:rsidP="00FD0FC3">
      <w:pPr>
        <w:pStyle w:val="Quote"/>
      </w:pPr>
      <w:r w:rsidRPr="001F52A8">
        <w:t>When someone sets about pursuing you and seeking your life, my lord’s life will be bound up in the bundle of the living with Yahweh your God, but the life of your enemies he will hurl away, in the middle of a sling’s hollow. And when Yahweh acts toward my lord in accordance with everything good that he has spoken concerning you, and charges you to be ruler</w:t>
      </w:r>
      <w:r w:rsidRPr="001F52A8">
        <w:rPr>
          <w:rFonts w:cstheme="minorHAnsi"/>
          <w:i/>
        </w:rPr>
        <w:t xml:space="preserve"> </w:t>
      </w:r>
      <w:r w:rsidRPr="001F52A8">
        <w:t xml:space="preserve">over Israel, this is not to be a cause of collapsing or stumbling of mind for my lord—to have shed blood for nothing and for my lord to have found deliverance for himself. </w:t>
      </w:r>
    </w:p>
    <w:p w14:paraId="215548E3" w14:textId="77777777" w:rsidR="00FD0FC3" w:rsidRDefault="00FD0FC3" w:rsidP="00CB4693"/>
    <w:p w14:paraId="2256B4B7" w14:textId="720B9105" w:rsidR="00CB4693" w:rsidRPr="001F52A8" w:rsidRDefault="00CB4693" w:rsidP="00CB4693">
      <w:r w:rsidRPr="001F52A8">
        <w:t xml:space="preserve">The “this” is what she goes on to refer to: shedding blood needlessly in order to </w:t>
      </w:r>
      <w:r w:rsidRPr="001F52A8">
        <w:rPr>
          <w:rFonts w:ascii="Calibri" w:hAnsi="Calibri" w:cs="Calibri"/>
        </w:rPr>
        <w:t>find deliverance for himself. Such action is set over against leaving it to Yahweh, and leaving it to Yahweh would be the appropriate stance of a commandant (</w:t>
      </w:r>
      <w:r w:rsidRPr="001F52A8">
        <w:rPr>
          <w:rFonts w:ascii="Calibri" w:hAnsi="Calibri" w:cs="Calibri"/>
          <w:i/>
          <w:iCs/>
        </w:rPr>
        <w:t>nāgîd</w:t>
      </w:r>
      <w:r w:rsidRPr="001F52A8">
        <w:rPr>
          <w:rFonts w:ascii="Calibri" w:hAnsi="Calibri" w:cs="Calibri"/>
        </w:rPr>
        <w:t>), one who stands between Yahweh and his people and rules them as his appointee.</w:t>
      </w:r>
      <w:r w:rsidRPr="001F52A8">
        <w:rPr>
          <w:rStyle w:val="FootnoteReference"/>
          <w:rFonts w:ascii="Calibri" w:hAnsi="Calibri" w:cs="Calibri"/>
        </w:rPr>
        <w:footnoteReference w:id="241"/>
      </w:r>
      <w:r w:rsidRPr="001F52A8">
        <w:rPr>
          <w:rFonts w:ascii="Calibri" w:hAnsi="Calibri" w:cs="Calibri"/>
        </w:rPr>
        <w:t xml:space="preserve"> “Abigail functions as a prophet</w:t>
      </w:r>
      <w:r w:rsidR="00E30B4F">
        <w:rPr>
          <w:rFonts w:ascii="Calibri" w:hAnsi="Calibri" w:cs="Calibri"/>
        </w:rPr>
        <w:t>,</w:t>
      </w:r>
      <w:r w:rsidRPr="001F52A8">
        <w:rPr>
          <w:rFonts w:ascii="Calibri" w:hAnsi="Calibri" w:cs="Calibri"/>
        </w:rPr>
        <w:t>”</w:t>
      </w:r>
      <w:r w:rsidRPr="001F52A8">
        <w:rPr>
          <w:rStyle w:val="FootnoteReference"/>
          <w:rFonts w:ascii="Calibri" w:hAnsi="Calibri" w:cs="Calibri"/>
        </w:rPr>
        <w:footnoteReference w:id="242"/>
      </w:r>
      <w:r w:rsidRPr="001F52A8">
        <w:rPr>
          <w:rFonts w:ascii="Calibri" w:hAnsi="Calibri" w:cs="Calibri"/>
        </w:rPr>
        <w:t xml:space="preserve"> </w:t>
      </w:r>
      <w:r w:rsidR="00E30B4F">
        <w:t>though</w:t>
      </w:r>
      <w:r w:rsidR="00E30B4F" w:rsidRPr="001F52A8">
        <w:t xml:space="preserve"> the narrator is </w:t>
      </w:r>
      <w:r w:rsidR="00F210D7">
        <w:t xml:space="preserve">of course </w:t>
      </w:r>
      <w:r w:rsidR="00E30B4F">
        <w:t>imagining</w:t>
      </w:r>
      <w:r w:rsidR="00E30B4F" w:rsidRPr="001F52A8">
        <w:t xml:space="preserve"> </w:t>
      </w:r>
      <w:r w:rsidR="00E30B4F">
        <w:t>the speeches</w:t>
      </w:r>
      <w:r w:rsidR="006D5D70">
        <w:t xml:space="preserve"> in the story as </w:t>
      </w:r>
      <w:r w:rsidR="006D5D70" w:rsidRPr="001F52A8">
        <w:t>in the stories on either side,</w:t>
      </w:r>
      <w:r w:rsidR="00E30B4F" w:rsidRPr="001F52A8">
        <w:t xml:space="preserve"> imagining what would or should or might be said.</w:t>
      </w:r>
      <w:r w:rsidR="006D5D70">
        <w:rPr>
          <w:rFonts w:ascii="Calibri" w:hAnsi="Calibri" w:cs="Calibri"/>
        </w:rPr>
        <w:t xml:space="preserve"> Abigail</w:t>
      </w:r>
      <w:r w:rsidRPr="001F52A8">
        <w:rPr>
          <w:rFonts w:ascii="Calibri" w:hAnsi="Calibri" w:cs="Calibri"/>
        </w:rPr>
        <w:t xml:space="preserve"> does not mention that Yahweh will make her husband drop dead (25:38), which could have aroused commentators’ suspicions. But she is “</w:t>
      </w:r>
      <w:r w:rsidR="00DA3867">
        <w:rPr>
          <w:rFonts w:ascii="Calibri" w:hAnsi="Calibri" w:cs="Calibri"/>
        </w:rPr>
        <w:t xml:space="preserve">a </w:t>
      </w:r>
      <w:r w:rsidRPr="001F52A8">
        <w:rPr>
          <w:rFonts w:ascii="Calibri" w:hAnsi="Calibri" w:cs="Calibri"/>
        </w:rPr>
        <w:t>woman of good insight” (25:3), “a woman of wisdom and decisive action,”</w:t>
      </w:r>
      <w:r w:rsidRPr="001F52A8">
        <w:rPr>
          <w:rStyle w:val="FootnoteReference"/>
          <w:rFonts w:ascii="Calibri" w:hAnsi="Calibri" w:cs="Calibri"/>
        </w:rPr>
        <w:footnoteReference w:id="243"/>
      </w:r>
      <w:r w:rsidRPr="001F52A8">
        <w:rPr>
          <w:rFonts w:ascii="Calibri" w:hAnsi="Calibri" w:cs="Calibri"/>
        </w:rPr>
        <w:t xml:space="preserve"> who though married to a stupid man (or perhaps through being married to a </w:t>
      </w:r>
      <w:r w:rsidRPr="001F52A8">
        <w:rPr>
          <w:rFonts w:ascii="Calibri" w:hAnsi="Calibri" w:cs="Calibri"/>
        </w:rPr>
        <w:lastRenderedPageBreak/>
        <w:t>stupid man) is able to counsel David in wise ways.</w:t>
      </w:r>
      <w:r w:rsidRPr="001F52A8">
        <w:rPr>
          <w:rStyle w:val="FootnoteReference"/>
          <w:rFonts w:ascii="Calibri" w:hAnsi="Calibri" w:cs="Calibri"/>
        </w:rPr>
        <w:footnoteReference w:id="244"/>
      </w:r>
      <w:r>
        <w:rPr>
          <w:rFonts w:ascii="Calibri" w:hAnsi="Calibri" w:cs="Calibri"/>
        </w:rPr>
        <w:t xml:space="preserve"> </w:t>
      </w:r>
      <w:r w:rsidR="00F569AF">
        <w:rPr>
          <w:rFonts w:ascii="Calibri" w:hAnsi="Calibri" w:cs="Calibri"/>
        </w:rPr>
        <w:t xml:space="preserve">So </w:t>
      </w:r>
      <w:r w:rsidRPr="001F52A8">
        <w:t xml:space="preserve">Yahweh </w:t>
      </w:r>
      <w:r w:rsidR="00DB2CE0">
        <w:t xml:space="preserve">again </w:t>
      </w:r>
      <w:r w:rsidRPr="001F52A8">
        <w:t xml:space="preserve">protects </w:t>
      </w:r>
      <w:r>
        <w:t>David</w:t>
      </w:r>
      <w:r w:rsidRPr="001F52A8">
        <w:t xml:space="preserve"> from his temptations here.</w:t>
      </w:r>
      <w:r w:rsidRPr="001F52A8">
        <w:rPr>
          <w:rStyle w:val="FootnoteReference"/>
        </w:rPr>
        <w:footnoteReference w:id="245"/>
      </w:r>
    </w:p>
    <w:p w14:paraId="185668DD" w14:textId="03D99474" w:rsidR="0067107C" w:rsidRPr="001F52A8" w:rsidRDefault="005375A5" w:rsidP="00A40D7D">
      <w:pPr>
        <w:rPr>
          <w:rFonts w:ascii="Calibri" w:hAnsi="Calibri" w:cs="Calibri"/>
        </w:rPr>
      </w:pPr>
      <w:r w:rsidRPr="001F52A8">
        <w:t xml:space="preserve">The </w:t>
      </w:r>
      <w:r w:rsidR="00AB4EB7" w:rsidRPr="001F52A8">
        <w:t xml:space="preserve">subsequent </w:t>
      </w:r>
      <w:r w:rsidRPr="001F52A8">
        <w:t>story about David and Ziklag (30:</w:t>
      </w:r>
      <w:r w:rsidR="005719D0" w:rsidRPr="001F52A8">
        <w:t>1-31) compares and contrasts.</w:t>
      </w:r>
      <w:r w:rsidR="00D36762" w:rsidRPr="001F52A8">
        <w:t xml:space="preserve"> Returning to Ziklag after being </w:t>
      </w:r>
      <w:r w:rsidR="003B4004" w:rsidRPr="001F52A8">
        <w:t xml:space="preserve">ousted from the Philistine </w:t>
      </w:r>
      <w:r w:rsidR="00C77D21" w:rsidRPr="001F52A8">
        <w:t xml:space="preserve">force, </w:t>
      </w:r>
      <w:r w:rsidR="00813413" w:rsidRPr="001F52A8">
        <w:t xml:space="preserve">he and his men find that </w:t>
      </w:r>
      <w:r w:rsidR="005C277E" w:rsidRPr="001F52A8">
        <w:t>the Amalekites have been on a raid, burned the town down, and taken the women and children captive</w:t>
      </w:r>
      <w:r w:rsidR="00D02843" w:rsidRPr="001F52A8">
        <w:t xml:space="preserve">. </w:t>
      </w:r>
      <w:r w:rsidR="00014D85" w:rsidRPr="001F52A8">
        <w:t xml:space="preserve">It is presumably a reprisal </w:t>
      </w:r>
      <w:r w:rsidR="00D20321" w:rsidRPr="001F52A8">
        <w:t xml:space="preserve">for </w:t>
      </w:r>
      <w:r w:rsidR="003540FF">
        <w:t>the ra</w:t>
      </w:r>
      <w:r w:rsidR="00D20321" w:rsidRPr="001F52A8">
        <w:t>id</w:t>
      </w:r>
      <w:r w:rsidR="003540FF">
        <w:t>s</w:t>
      </w:r>
      <w:r w:rsidR="00D20321" w:rsidRPr="001F52A8">
        <w:t xml:space="preserve"> reported earlier (27:</w:t>
      </w:r>
      <w:r w:rsidR="00740E91" w:rsidRPr="001F52A8">
        <w:t>8)</w:t>
      </w:r>
      <w:r w:rsidR="00ED3B02" w:rsidRPr="001F52A8">
        <w:t>. T</w:t>
      </w:r>
      <w:r w:rsidR="00740E91" w:rsidRPr="001F52A8">
        <w:t>he Amaleki</w:t>
      </w:r>
      <w:r w:rsidR="00EF6E9A" w:rsidRPr="001F52A8">
        <w:t>t</w:t>
      </w:r>
      <w:r w:rsidR="00740E91" w:rsidRPr="001F52A8">
        <w:t>es are not people you can mess with</w:t>
      </w:r>
      <w:r w:rsidR="00EF6E9A" w:rsidRPr="001F52A8">
        <w:t>, even when they have been eliminated</w:t>
      </w:r>
      <w:r w:rsidR="00CB78F6" w:rsidRPr="001F52A8">
        <w:t xml:space="preserve">, </w:t>
      </w:r>
      <w:r w:rsidR="00AA543B" w:rsidRPr="001F52A8">
        <w:t xml:space="preserve">but fortunately </w:t>
      </w:r>
      <w:r w:rsidR="00A0077D" w:rsidRPr="001F52A8">
        <w:t>they do not practice “devoting</w:t>
      </w:r>
      <w:r w:rsidR="00E55D4D">
        <w:t>.</w:t>
      </w:r>
      <w:r w:rsidR="00A0077D" w:rsidRPr="001F52A8">
        <w:t xml:space="preserve">” </w:t>
      </w:r>
      <w:r w:rsidR="00E55D4D">
        <w:t>T</w:t>
      </w:r>
      <w:r w:rsidR="00AA543B" w:rsidRPr="001F52A8">
        <w:t xml:space="preserve">aking </w:t>
      </w:r>
      <w:r w:rsidR="00D77E61" w:rsidRPr="001F52A8">
        <w:t>people captive is economically more sensible than killing them</w:t>
      </w:r>
      <w:r w:rsidR="00C1324F" w:rsidRPr="001F52A8">
        <w:t>.</w:t>
      </w:r>
      <w:r w:rsidR="00740E91" w:rsidRPr="001F52A8">
        <w:t xml:space="preserve"> </w:t>
      </w:r>
      <w:r w:rsidR="00D02843" w:rsidRPr="001F52A8">
        <w:t>David’s men turn on him</w:t>
      </w:r>
      <w:r w:rsidR="002725A2" w:rsidRPr="001F52A8">
        <w:t>; he is under pressure (</w:t>
      </w:r>
      <w:r w:rsidR="002725A2" w:rsidRPr="001F52A8">
        <w:rPr>
          <w:rFonts w:cstheme="minorHAnsi"/>
          <w:i/>
          <w:iCs/>
        </w:rPr>
        <w:t>ṣā</w:t>
      </w:r>
      <w:r w:rsidR="00F61C72" w:rsidRPr="001F52A8">
        <w:rPr>
          <w:i/>
          <w:iCs/>
        </w:rPr>
        <w:t>rar</w:t>
      </w:r>
      <w:r w:rsidR="00F61C72" w:rsidRPr="001F52A8">
        <w:t xml:space="preserve">), </w:t>
      </w:r>
      <w:r w:rsidR="007F3BBB" w:rsidRPr="001F52A8">
        <w:t>l</w:t>
      </w:r>
      <w:r w:rsidR="00F61C72" w:rsidRPr="001F52A8">
        <w:t xml:space="preserve">ike </w:t>
      </w:r>
      <w:r w:rsidR="007F3BBB" w:rsidRPr="001F52A8">
        <w:t>Saul (28:1</w:t>
      </w:r>
      <w:r w:rsidR="00844EB8" w:rsidRPr="001F52A8">
        <w:t>5</w:t>
      </w:r>
      <w:r w:rsidR="007F3BBB" w:rsidRPr="001F52A8">
        <w:t>)</w:t>
      </w:r>
      <w:r w:rsidR="00752068" w:rsidRPr="001F52A8">
        <w:t xml:space="preserve">, who had prayed for Yahweh to deliver </w:t>
      </w:r>
      <w:r w:rsidR="002216F2" w:rsidRPr="001F52A8">
        <w:t>David</w:t>
      </w:r>
      <w:r w:rsidR="00752068" w:rsidRPr="001F52A8">
        <w:t xml:space="preserve"> from pressure (26:24)</w:t>
      </w:r>
      <w:r w:rsidR="007F3BBB" w:rsidRPr="001F52A8">
        <w:t>. B</w:t>
      </w:r>
      <w:r w:rsidR="00A152F6" w:rsidRPr="001F52A8">
        <w:t xml:space="preserve">ut </w:t>
      </w:r>
      <w:r w:rsidR="00DD0002" w:rsidRPr="001F52A8">
        <w:t>“</w:t>
      </w:r>
      <w:r w:rsidR="00A40D7D" w:rsidRPr="001F52A8">
        <w:rPr>
          <w:rFonts w:ascii="Calibri" w:hAnsi="Calibri" w:cs="Calibri"/>
        </w:rPr>
        <w:t>David strengthen</w:t>
      </w:r>
      <w:r w:rsidR="00492DA8" w:rsidRPr="001F52A8">
        <w:rPr>
          <w:rFonts w:ascii="Calibri" w:hAnsi="Calibri" w:cs="Calibri"/>
        </w:rPr>
        <w:t>ed</w:t>
      </w:r>
      <w:r w:rsidR="00A40D7D" w:rsidRPr="001F52A8">
        <w:rPr>
          <w:rFonts w:ascii="Calibri" w:hAnsi="Calibri" w:cs="Calibri"/>
        </w:rPr>
        <w:t xml:space="preserve"> himself </w:t>
      </w:r>
      <w:r w:rsidR="00492DA8" w:rsidRPr="001F52A8">
        <w:rPr>
          <w:rFonts w:ascii="Calibri" w:hAnsi="Calibri" w:cs="Calibri"/>
        </w:rPr>
        <w:t>through</w:t>
      </w:r>
      <w:r w:rsidR="00A40D7D" w:rsidRPr="001F52A8">
        <w:rPr>
          <w:rFonts w:ascii="Calibri" w:hAnsi="Calibri" w:cs="Calibri"/>
        </w:rPr>
        <w:t xml:space="preserve"> Yahweh </w:t>
      </w:r>
      <w:r w:rsidR="00492DA8" w:rsidRPr="001F52A8">
        <w:rPr>
          <w:rFonts w:ascii="Calibri" w:hAnsi="Calibri" w:cs="Calibri"/>
        </w:rPr>
        <w:t>his God</w:t>
      </w:r>
      <w:r w:rsidR="004F404A" w:rsidRPr="001F52A8">
        <w:rPr>
          <w:rFonts w:ascii="Calibri" w:hAnsi="Calibri" w:cs="Calibri"/>
        </w:rPr>
        <w:t>”</w:t>
      </w:r>
      <w:r w:rsidR="00264813" w:rsidRPr="001F52A8">
        <w:rPr>
          <w:rFonts w:ascii="Calibri" w:hAnsi="Calibri" w:cs="Calibri"/>
        </w:rPr>
        <w:t xml:space="preserve"> </w:t>
      </w:r>
      <w:r w:rsidR="008A5987">
        <w:rPr>
          <w:rFonts w:ascii="Calibri" w:hAnsi="Calibri" w:cs="Calibri"/>
        </w:rPr>
        <w:t>(</w:t>
      </w:r>
      <w:r w:rsidR="00264813" w:rsidRPr="001F52A8">
        <w:rPr>
          <w:rFonts w:ascii="Calibri" w:hAnsi="Calibri" w:cs="Calibri"/>
        </w:rPr>
        <w:t>30:6).</w:t>
      </w:r>
      <w:r w:rsidR="00372168" w:rsidRPr="001F52A8">
        <w:rPr>
          <w:rFonts w:ascii="Calibri" w:hAnsi="Calibri" w:cs="Calibri"/>
        </w:rPr>
        <w:t xml:space="preserve"> </w:t>
      </w:r>
      <w:r w:rsidR="00C51B86" w:rsidRPr="001F52A8">
        <w:rPr>
          <w:rFonts w:ascii="Calibri" w:hAnsi="Calibri" w:cs="Calibri"/>
        </w:rPr>
        <w:t xml:space="preserve">Like the earlier comment that </w:t>
      </w:r>
      <w:r w:rsidR="001F3916" w:rsidRPr="001F52A8">
        <w:rPr>
          <w:rFonts w:ascii="Calibri" w:hAnsi="Calibri" w:cs="Calibri"/>
        </w:rPr>
        <w:t>Jonathan had “</w:t>
      </w:r>
      <w:r w:rsidR="00AB27A9" w:rsidRPr="001F52A8">
        <w:t>strengthen</w:t>
      </w:r>
      <w:r w:rsidR="00135C50" w:rsidRPr="001F52A8">
        <w:t>ed</w:t>
      </w:r>
      <w:r w:rsidR="00AB27A9" w:rsidRPr="001F52A8">
        <w:t xml:space="preserve"> his hand”</w:t>
      </w:r>
      <w:r w:rsidR="001F3916" w:rsidRPr="001F52A8">
        <w:t xml:space="preserve"> </w:t>
      </w:r>
      <w:r w:rsidR="001C6D28" w:rsidRPr="001F52A8">
        <w:t xml:space="preserve">through Yahweh </w:t>
      </w:r>
      <w:r w:rsidR="001F3916" w:rsidRPr="001F52A8">
        <w:t>(</w:t>
      </w:r>
      <w:r w:rsidR="009F3953" w:rsidRPr="001F52A8">
        <w:t>23:16)</w:t>
      </w:r>
      <w:r w:rsidR="00C51B86" w:rsidRPr="001F52A8">
        <w:t>,</w:t>
      </w:r>
      <w:r w:rsidR="009F3953" w:rsidRPr="001F52A8">
        <w:t xml:space="preserve"> the express</w:t>
      </w:r>
      <w:r w:rsidR="00851DA0" w:rsidRPr="001F52A8">
        <w:t>i</w:t>
      </w:r>
      <w:r w:rsidR="009F3953" w:rsidRPr="001F52A8">
        <w:t>on</w:t>
      </w:r>
      <w:r w:rsidR="00AB27A9" w:rsidRPr="001F52A8">
        <w:t xml:space="preserve"> suggests a </w:t>
      </w:r>
      <w:r w:rsidR="00AB27A9" w:rsidRPr="001F52A8">
        <w:rPr>
          <w:rFonts w:ascii="Calibri" w:hAnsi="Calibri" w:cs="Calibri"/>
        </w:rPr>
        <w:t>reinforcement that makes a down-to-earth material difference</w:t>
      </w:r>
      <w:r w:rsidR="00921EA6">
        <w:rPr>
          <w:rFonts w:ascii="Calibri" w:hAnsi="Calibri" w:cs="Calibri"/>
        </w:rPr>
        <w:t>,</w:t>
      </w:r>
      <w:r w:rsidR="001B4332" w:rsidRPr="001F52A8">
        <w:rPr>
          <w:rFonts w:ascii="Calibri" w:hAnsi="Calibri" w:cs="Calibri"/>
        </w:rPr>
        <w:t xml:space="preserve"> </w:t>
      </w:r>
      <w:r w:rsidR="00921EA6">
        <w:rPr>
          <w:rFonts w:ascii="Calibri" w:hAnsi="Calibri" w:cs="Calibri"/>
        </w:rPr>
        <w:t>through</w:t>
      </w:r>
      <w:r w:rsidR="002234F9" w:rsidRPr="001F52A8">
        <w:rPr>
          <w:rFonts w:ascii="Calibri" w:hAnsi="Calibri" w:cs="Calibri"/>
        </w:rPr>
        <w:t xml:space="preserve"> </w:t>
      </w:r>
      <w:r w:rsidR="00AB27A9" w:rsidRPr="001F52A8">
        <w:rPr>
          <w:rFonts w:ascii="Calibri" w:hAnsi="Calibri" w:cs="Calibri"/>
        </w:rPr>
        <w:t>remind</w:t>
      </w:r>
      <w:r w:rsidR="002234F9" w:rsidRPr="001F52A8">
        <w:rPr>
          <w:rFonts w:ascii="Calibri" w:hAnsi="Calibri" w:cs="Calibri"/>
        </w:rPr>
        <w:t>ers</w:t>
      </w:r>
      <w:r w:rsidR="00AB27A9" w:rsidRPr="001F52A8">
        <w:rPr>
          <w:rFonts w:ascii="Calibri" w:hAnsi="Calibri" w:cs="Calibri"/>
        </w:rPr>
        <w:t xml:space="preserve"> of Yahweh’s </w:t>
      </w:r>
      <w:r w:rsidR="003262B9" w:rsidRPr="001F52A8">
        <w:rPr>
          <w:rFonts w:ascii="Calibri" w:hAnsi="Calibri" w:cs="Calibri"/>
        </w:rPr>
        <w:t xml:space="preserve">commitment and </w:t>
      </w:r>
      <w:r w:rsidR="00AB27A9" w:rsidRPr="001F52A8">
        <w:rPr>
          <w:rFonts w:ascii="Calibri" w:hAnsi="Calibri" w:cs="Calibri"/>
        </w:rPr>
        <w:t>promise</w:t>
      </w:r>
      <w:r w:rsidR="003262B9" w:rsidRPr="001F52A8">
        <w:rPr>
          <w:rFonts w:ascii="Calibri" w:hAnsi="Calibri" w:cs="Calibri"/>
        </w:rPr>
        <w:t>s</w:t>
      </w:r>
      <w:r w:rsidR="00595070" w:rsidRPr="001F52A8">
        <w:rPr>
          <w:rFonts w:ascii="Calibri" w:hAnsi="Calibri" w:cs="Calibri"/>
        </w:rPr>
        <w:t xml:space="preserve">. </w:t>
      </w:r>
      <w:r w:rsidR="00791952" w:rsidRPr="001F52A8">
        <w:rPr>
          <w:rFonts w:ascii="Calibri" w:hAnsi="Calibri" w:cs="Calibri"/>
        </w:rPr>
        <w:t>While t</w:t>
      </w:r>
      <w:r w:rsidR="00ED0869" w:rsidRPr="001F52A8">
        <w:rPr>
          <w:rFonts w:ascii="Calibri" w:hAnsi="Calibri" w:cs="Calibri"/>
        </w:rPr>
        <w:t>he verb</w:t>
      </w:r>
      <w:r w:rsidR="00595070" w:rsidRPr="001F52A8">
        <w:rPr>
          <w:rFonts w:ascii="Calibri" w:hAnsi="Calibri" w:cs="Calibri"/>
        </w:rPr>
        <w:t xml:space="preserve"> </w:t>
      </w:r>
      <w:r w:rsidR="008A5987" w:rsidRPr="001F52A8">
        <w:rPr>
          <w:rFonts w:ascii="Calibri" w:hAnsi="Calibri" w:cs="Calibri"/>
        </w:rPr>
        <w:t>(</w:t>
      </w:r>
      <w:r w:rsidR="008A5987" w:rsidRPr="001F52A8">
        <w:rPr>
          <w:rFonts w:ascii="Calibri" w:hAnsi="Calibri" w:cs="Calibri"/>
          <w:i/>
          <w:iCs/>
        </w:rPr>
        <w:t>ḥāzaq</w:t>
      </w:r>
      <w:r w:rsidR="008A5987">
        <w:rPr>
          <w:rFonts w:ascii="Calibri" w:hAnsi="Calibri" w:cs="Calibri"/>
        </w:rPr>
        <w:t>)</w:t>
      </w:r>
      <w:r w:rsidR="008A5987" w:rsidRPr="001F52A8">
        <w:rPr>
          <w:rFonts w:ascii="Calibri" w:hAnsi="Calibri" w:cs="Calibri"/>
        </w:rPr>
        <w:t xml:space="preserve"> </w:t>
      </w:r>
      <w:r w:rsidR="00595070" w:rsidRPr="001F52A8">
        <w:rPr>
          <w:rFonts w:ascii="Calibri" w:hAnsi="Calibri" w:cs="Calibri"/>
        </w:rPr>
        <w:t>is sometimes translated “encouraged</w:t>
      </w:r>
      <w:r w:rsidR="00ED0869" w:rsidRPr="001F52A8">
        <w:rPr>
          <w:rFonts w:ascii="Calibri" w:hAnsi="Calibri" w:cs="Calibri"/>
        </w:rPr>
        <w:t>,</w:t>
      </w:r>
      <w:r w:rsidR="00595070" w:rsidRPr="001F52A8">
        <w:rPr>
          <w:rFonts w:ascii="Calibri" w:hAnsi="Calibri" w:cs="Calibri"/>
        </w:rPr>
        <w:t>”</w:t>
      </w:r>
      <w:r w:rsidR="00ED0869" w:rsidRPr="001F52A8">
        <w:rPr>
          <w:rFonts w:ascii="Calibri" w:hAnsi="Calibri" w:cs="Calibri"/>
        </w:rPr>
        <w:t xml:space="preserve"> because it suggests</w:t>
      </w:r>
      <w:r w:rsidR="00595070" w:rsidRPr="001F52A8">
        <w:rPr>
          <w:rFonts w:ascii="Calibri" w:hAnsi="Calibri" w:cs="Calibri"/>
        </w:rPr>
        <w:t xml:space="preserve"> build</w:t>
      </w:r>
      <w:r w:rsidR="00ED0869" w:rsidRPr="001F52A8">
        <w:rPr>
          <w:rFonts w:ascii="Calibri" w:hAnsi="Calibri" w:cs="Calibri"/>
        </w:rPr>
        <w:t>ing</w:t>
      </w:r>
      <w:r w:rsidR="00595070" w:rsidRPr="001F52A8">
        <w:rPr>
          <w:rFonts w:ascii="Calibri" w:hAnsi="Calibri" w:cs="Calibri"/>
        </w:rPr>
        <w:t xml:space="preserve"> up morale and giv</w:t>
      </w:r>
      <w:r w:rsidR="00ED0869" w:rsidRPr="001F52A8">
        <w:rPr>
          <w:rFonts w:ascii="Calibri" w:hAnsi="Calibri" w:cs="Calibri"/>
        </w:rPr>
        <w:t>ing</w:t>
      </w:r>
      <w:r w:rsidR="00595070" w:rsidRPr="001F52A8">
        <w:rPr>
          <w:rFonts w:ascii="Calibri" w:hAnsi="Calibri" w:cs="Calibri"/>
        </w:rPr>
        <w:t xml:space="preserve"> new energy (e.g., Neh 2:18; Ezek 13:22)</w:t>
      </w:r>
      <w:r w:rsidR="00791952" w:rsidRPr="001F52A8">
        <w:rPr>
          <w:rFonts w:ascii="Calibri" w:hAnsi="Calibri" w:cs="Calibri"/>
        </w:rPr>
        <w:t>,</w:t>
      </w:r>
      <w:r w:rsidR="00595070" w:rsidRPr="001F52A8">
        <w:rPr>
          <w:rFonts w:ascii="Calibri" w:hAnsi="Calibri" w:cs="Calibri"/>
        </w:rPr>
        <w:t xml:space="preserve"> it’s an encouragement that </w:t>
      </w:r>
      <w:r w:rsidR="00791952" w:rsidRPr="001F52A8">
        <w:rPr>
          <w:rFonts w:ascii="Calibri" w:hAnsi="Calibri" w:cs="Calibri"/>
        </w:rPr>
        <w:t>makes</w:t>
      </w:r>
      <w:r w:rsidR="00595070" w:rsidRPr="001F52A8">
        <w:rPr>
          <w:rFonts w:ascii="Calibri" w:hAnsi="Calibri" w:cs="Calibri"/>
        </w:rPr>
        <w:t xml:space="preserve"> that </w:t>
      </w:r>
      <w:r w:rsidR="00F32FBA" w:rsidRPr="001F52A8">
        <w:rPr>
          <w:rFonts w:ascii="Calibri" w:hAnsi="Calibri" w:cs="Calibri"/>
        </w:rPr>
        <w:t>practical</w:t>
      </w:r>
      <w:r w:rsidR="00176F0B" w:rsidRPr="001F52A8">
        <w:rPr>
          <w:rFonts w:ascii="Calibri" w:hAnsi="Calibri" w:cs="Calibri"/>
        </w:rPr>
        <w:t xml:space="preserve"> </w:t>
      </w:r>
      <w:r w:rsidR="00791952" w:rsidRPr="001F52A8">
        <w:rPr>
          <w:rFonts w:ascii="Calibri" w:hAnsi="Calibri" w:cs="Calibri"/>
        </w:rPr>
        <w:t>difference</w:t>
      </w:r>
      <w:r w:rsidR="00176F0B" w:rsidRPr="001F52A8">
        <w:rPr>
          <w:rFonts w:ascii="Calibri" w:hAnsi="Calibri" w:cs="Calibri"/>
        </w:rPr>
        <w:t xml:space="preserve">. </w:t>
      </w:r>
      <w:r w:rsidR="00791952" w:rsidRPr="001F52A8">
        <w:rPr>
          <w:rFonts w:ascii="Calibri" w:hAnsi="Calibri" w:cs="Calibri"/>
        </w:rPr>
        <w:t>W</w:t>
      </w:r>
      <w:r w:rsidR="00176F0B" w:rsidRPr="001F52A8">
        <w:rPr>
          <w:rFonts w:ascii="Calibri" w:hAnsi="Calibri" w:cs="Calibri"/>
        </w:rPr>
        <w:t>hen David strengthen</w:t>
      </w:r>
      <w:r w:rsidR="00C6440D" w:rsidRPr="001F52A8">
        <w:rPr>
          <w:rFonts w:ascii="Calibri" w:hAnsi="Calibri" w:cs="Calibri"/>
        </w:rPr>
        <w:t>ed</w:t>
      </w:r>
      <w:r w:rsidR="00176F0B" w:rsidRPr="001F52A8">
        <w:rPr>
          <w:rFonts w:ascii="Calibri" w:hAnsi="Calibri" w:cs="Calibri"/>
        </w:rPr>
        <w:t xml:space="preserve"> himself, it means he</w:t>
      </w:r>
      <w:r w:rsidR="005D623F" w:rsidRPr="001F52A8">
        <w:rPr>
          <w:rFonts w:ascii="Calibri" w:hAnsi="Calibri" w:cs="Calibri"/>
        </w:rPr>
        <w:t xml:space="preserve"> g</w:t>
      </w:r>
      <w:r w:rsidR="00C6440D" w:rsidRPr="001F52A8">
        <w:rPr>
          <w:rFonts w:ascii="Calibri" w:hAnsi="Calibri" w:cs="Calibri"/>
        </w:rPr>
        <w:t>ot</w:t>
      </w:r>
      <w:r w:rsidR="005D623F" w:rsidRPr="001F52A8">
        <w:rPr>
          <w:rFonts w:ascii="Calibri" w:hAnsi="Calibri" w:cs="Calibri"/>
        </w:rPr>
        <w:t xml:space="preserve"> a grip of himself, </w:t>
      </w:r>
      <w:r w:rsidR="005F349C" w:rsidRPr="001F52A8">
        <w:rPr>
          <w:rFonts w:ascii="Calibri" w:hAnsi="Calibri" w:cs="Calibri"/>
        </w:rPr>
        <w:t>gain</w:t>
      </w:r>
      <w:r w:rsidR="00C6440D" w:rsidRPr="001F52A8">
        <w:rPr>
          <w:rFonts w:ascii="Calibri" w:hAnsi="Calibri" w:cs="Calibri"/>
        </w:rPr>
        <w:t>ed</w:t>
      </w:r>
      <w:r w:rsidR="005F349C" w:rsidRPr="001F52A8">
        <w:rPr>
          <w:rFonts w:ascii="Calibri" w:hAnsi="Calibri" w:cs="Calibri"/>
        </w:rPr>
        <w:t xml:space="preserve"> the strength to take the action that was needed</w:t>
      </w:r>
      <w:r w:rsidR="004443CB" w:rsidRPr="001F52A8">
        <w:rPr>
          <w:rFonts w:ascii="Calibri" w:hAnsi="Calibri" w:cs="Calibri"/>
        </w:rPr>
        <w:t xml:space="preserve"> (cf. 2 Sam 2:7).</w:t>
      </w:r>
    </w:p>
    <w:p w14:paraId="3B0A9C74" w14:textId="1445E4C8" w:rsidR="00EF4EEB" w:rsidRPr="001F52A8" w:rsidRDefault="006C0D12" w:rsidP="00A40D7D">
      <w:pPr>
        <w:rPr>
          <w:rFonts w:ascii="Calibri" w:hAnsi="Calibri" w:cs="Calibri"/>
        </w:rPr>
      </w:pPr>
      <w:r w:rsidRPr="001F52A8">
        <w:rPr>
          <w:rFonts w:ascii="Calibri" w:hAnsi="Calibri" w:cs="Calibri"/>
        </w:rPr>
        <w:t xml:space="preserve">He </w:t>
      </w:r>
      <w:r w:rsidR="00254CF6">
        <w:rPr>
          <w:rFonts w:ascii="Calibri" w:hAnsi="Calibri" w:cs="Calibri"/>
        </w:rPr>
        <w:t>then proceeded to</w:t>
      </w:r>
      <w:r w:rsidRPr="001F52A8">
        <w:rPr>
          <w:rFonts w:ascii="Calibri" w:hAnsi="Calibri" w:cs="Calibri"/>
        </w:rPr>
        <w:t xml:space="preserve"> inquir</w:t>
      </w:r>
      <w:r w:rsidR="00254CF6">
        <w:rPr>
          <w:rFonts w:ascii="Calibri" w:hAnsi="Calibri" w:cs="Calibri"/>
        </w:rPr>
        <w:t>e</w:t>
      </w:r>
      <w:r w:rsidRPr="001F52A8">
        <w:rPr>
          <w:rFonts w:ascii="Calibri" w:hAnsi="Calibri" w:cs="Calibri"/>
        </w:rPr>
        <w:t xml:space="preserve"> of Yahweh through Abiathar </w:t>
      </w:r>
      <w:r w:rsidR="004B7730" w:rsidRPr="001F52A8">
        <w:rPr>
          <w:rFonts w:ascii="Calibri" w:hAnsi="Calibri" w:cs="Calibri"/>
        </w:rPr>
        <w:t>with the chasuble</w:t>
      </w:r>
      <w:r w:rsidR="000B7444" w:rsidRPr="001F52A8">
        <w:rPr>
          <w:rFonts w:ascii="Calibri" w:hAnsi="Calibri" w:cs="Calibri"/>
        </w:rPr>
        <w:t>. Should he pursue the Amalekites</w:t>
      </w:r>
      <w:r w:rsidR="00EF42CB" w:rsidRPr="001F52A8">
        <w:rPr>
          <w:rFonts w:ascii="Calibri" w:hAnsi="Calibri" w:cs="Calibri"/>
        </w:rPr>
        <w:t xml:space="preserve">? Will </w:t>
      </w:r>
      <w:r w:rsidR="00B70DDE" w:rsidRPr="001F52A8">
        <w:rPr>
          <w:rFonts w:ascii="Calibri" w:hAnsi="Calibri" w:cs="Calibri"/>
        </w:rPr>
        <w:t>h</w:t>
      </w:r>
      <w:r w:rsidR="00EF42CB" w:rsidRPr="001F52A8">
        <w:rPr>
          <w:rFonts w:ascii="Calibri" w:hAnsi="Calibri" w:cs="Calibri"/>
        </w:rPr>
        <w:t xml:space="preserve">e catch up with them? Yes, he will, and </w:t>
      </w:r>
      <w:r w:rsidR="006A2E55" w:rsidRPr="001F52A8">
        <w:rPr>
          <w:rFonts w:ascii="Calibri" w:hAnsi="Calibri" w:cs="Calibri"/>
        </w:rPr>
        <w:t>he will rescue the women and children</w:t>
      </w:r>
      <w:r w:rsidR="00173CA0" w:rsidRPr="001F52A8">
        <w:rPr>
          <w:rFonts w:ascii="Calibri" w:hAnsi="Calibri" w:cs="Calibri"/>
        </w:rPr>
        <w:t xml:space="preserve"> (30:6-7). </w:t>
      </w:r>
      <w:r w:rsidR="00405AB7" w:rsidRPr="001F52A8">
        <w:rPr>
          <w:rFonts w:ascii="Calibri" w:hAnsi="Calibri" w:cs="Calibri"/>
        </w:rPr>
        <w:t xml:space="preserve">They march as far as Wadi Besor, which </w:t>
      </w:r>
      <w:r w:rsidR="006B0F72" w:rsidRPr="001F52A8">
        <w:rPr>
          <w:rFonts w:ascii="Calibri" w:hAnsi="Calibri" w:cs="Calibri"/>
        </w:rPr>
        <w:t xml:space="preserve">flows </w:t>
      </w:r>
      <w:r w:rsidR="00930D64" w:rsidRPr="001F52A8">
        <w:rPr>
          <w:rFonts w:ascii="Calibri" w:hAnsi="Calibri" w:cs="Calibri"/>
        </w:rPr>
        <w:t>roughly east from Beer Sheba</w:t>
      </w:r>
      <w:r w:rsidR="000B0962" w:rsidRPr="001F52A8">
        <w:rPr>
          <w:rFonts w:ascii="Calibri" w:hAnsi="Calibri" w:cs="Calibri"/>
        </w:rPr>
        <w:t xml:space="preserve"> towards the Medit</w:t>
      </w:r>
      <w:r w:rsidR="00E72533" w:rsidRPr="001F52A8">
        <w:rPr>
          <w:rFonts w:ascii="Calibri" w:hAnsi="Calibri" w:cs="Calibri"/>
        </w:rPr>
        <w:t>e</w:t>
      </w:r>
      <w:r w:rsidR="000B0962" w:rsidRPr="001F52A8">
        <w:rPr>
          <w:rFonts w:ascii="Calibri" w:hAnsi="Calibri" w:cs="Calibri"/>
        </w:rPr>
        <w:t xml:space="preserve">rranean. </w:t>
      </w:r>
      <w:r w:rsidR="00334081">
        <w:rPr>
          <w:rFonts w:ascii="Calibri" w:hAnsi="Calibri" w:cs="Calibri"/>
        </w:rPr>
        <w:t>Although</w:t>
      </w:r>
      <w:r w:rsidR="000B0962" w:rsidRPr="001F52A8">
        <w:rPr>
          <w:rFonts w:ascii="Calibri" w:hAnsi="Calibri" w:cs="Calibri"/>
        </w:rPr>
        <w:t xml:space="preserve"> </w:t>
      </w:r>
      <w:r w:rsidR="00334081">
        <w:rPr>
          <w:rFonts w:ascii="Calibri" w:hAnsi="Calibri" w:cs="Calibri"/>
        </w:rPr>
        <w:t xml:space="preserve">it </w:t>
      </w:r>
      <w:r w:rsidR="000B0962" w:rsidRPr="001F52A8">
        <w:rPr>
          <w:rFonts w:ascii="Calibri" w:hAnsi="Calibri" w:cs="Calibri"/>
        </w:rPr>
        <w:t xml:space="preserve">wouldn’t take </w:t>
      </w:r>
      <w:r w:rsidR="00B70DDE" w:rsidRPr="001F52A8">
        <w:rPr>
          <w:rFonts w:ascii="Calibri" w:hAnsi="Calibri" w:cs="Calibri"/>
        </w:rPr>
        <w:t>long</w:t>
      </w:r>
      <w:r w:rsidR="000B0962" w:rsidRPr="001F52A8">
        <w:rPr>
          <w:rFonts w:ascii="Calibri" w:hAnsi="Calibri" w:cs="Calibri"/>
        </w:rPr>
        <w:t xml:space="preserve">, </w:t>
      </w:r>
      <w:r w:rsidR="00E72533" w:rsidRPr="001F52A8">
        <w:rPr>
          <w:rFonts w:ascii="Calibri" w:hAnsi="Calibri" w:cs="Calibri"/>
        </w:rPr>
        <w:t xml:space="preserve">many of the men are exhausted, perhaps because they </w:t>
      </w:r>
      <w:r w:rsidR="0091207A" w:rsidRPr="001F52A8">
        <w:rPr>
          <w:rFonts w:ascii="Calibri" w:hAnsi="Calibri" w:cs="Calibri"/>
        </w:rPr>
        <w:t xml:space="preserve">have not had chance to recover </w:t>
      </w:r>
      <w:r w:rsidR="00C935AA" w:rsidRPr="001F52A8">
        <w:rPr>
          <w:rFonts w:ascii="Calibri" w:hAnsi="Calibri" w:cs="Calibri"/>
        </w:rPr>
        <w:t>after</w:t>
      </w:r>
      <w:r w:rsidR="0091207A" w:rsidRPr="001F52A8">
        <w:rPr>
          <w:rFonts w:ascii="Calibri" w:hAnsi="Calibri" w:cs="Calibri"/>
        </w:rPr>
        <w:t xml:space="preserve"> the tr</w:t>
      </w:r>
      <w:r w:rsidR="00C935AA" w:rsidRPr="001F52A8">
        <w:rPr>
          <w:rFonts w:ascii="Calibri" w:hAnsi="Calibri" w:cs="Calibri"/>
        </w:rPr>
        <w:t>ek</w:t>
      </w:r>
      <w:r w:rsidR="000B0962" w:rsidRPr="001F52A8">
        <w:rPr>
          <w:rFonts w:ascii="Calibri" w:hAnsi="Calibri" w:cs="Calibri"/>
        </w:rPr>
        <w:t xml:space="preserve"> </w:t>
      </w:r>
      <w:r w:rsidR="00C935AA" w:rsidRPr="001F52A8">
        <w:rPr>
          <w:rFonts w:ascii="Calibri" w:hAnsi="Calibri" w:cs="Calibri"/>
        </w:rPr>
        <w:t xml:space="preserve">from further north. </w:t>
      </w:r>
      <w:r w:rsidR="005400E5" w:rsidRPr="001F52A8">
        <w:rPr>
          <w:rFonts w:ascii="Calibri" w:hAnsi="Calibri" w:cs="Calibri"/>
        </w:rPr>
        <w:t xml:space="preserve">But </w:t>
      </w:r>
      <w:r w:rsidR="00785624" w:rsidRPr="001F52A8">
        <w:rPr>
          <w:rFonts w:ascii="Calibri" w:hAnsi="Calibri" w:cs="Calibri"/>
        </w:rPr>
        <w:t>most</w:t>
      </w:r>
      <w:r w:rsidR="00DD7DE3" w:rsidRPr="001F52A8">
        <w:rPr>
          <w:rFonts w:ascii="Calibri" w:hAnsi="Calibri" w:cs="Calibri"/>
        </w:rPr>
        <w:t xml:space="preserve"> of </w:t>
      </w:r>
      <w:r w:rsidR="004B0361">
        <w:rPr>
          <w:rFonts w:ascii="Calibri" w:hAnsi="Calibri" w:cs="Calibri"/>
        </w:rPr>
        <w:t>the</w:t>
      </w:r>
      <w:r w:rsidR="002218D1">
        <w:rPr>
          <w:rFonts w:ascii="Calibri" w:hAnsi="Calibri" w:cs="Calibri"/>
        </w:rPr>
        <w:t>m</w:t>
      </w:r>
      <w:r w:rsidR="00DD7DE3" w:rsidRPr="001F52A8">
        <w:rPr>
          <w:rFonts w:ascii="Calibri" w:hAnsi="Calibri" w:cs="Calibri"/>
        </w:rPr>
        <w:t xml:space="preserve"> have got their breath back, locate the Amalekites </w:t>
      </w:r>
      <w:r w:rsidR="0073423A" w:rsidRPr="001F52A8">
        <w:rPr>
          <w:rFonts w:ascii="Calibri" w:hAnsi="Calibri" w:cs="Calibri"/>
        </w:rPr>
        <w:t xml:space="preserve">enjoying the proceeds of their adventures, slaughter them, rescue the women and children, </w:t>
      </w:r>
      <w:r w:rsidR="00363837" w:rsidRPr="001F52A8">
        <w:rPr>
          <w:rFonts w:ascii="Calibri" w:hAnsi="Calibri" w:cs="Calibri"/>
        </w:rPr>
        <w:t>appropriate the flocks and herds</w:t>
      </w:r>
      <w:r w:rsidR="00D140E8" w:rsidRPr="001F52A8">
        <w:rPr>
          <w:rFonts w:ascii="Calibri" w:hAnsi="Calibri" w:cs="Calibri"/>
        </w:rPr>
        <w:t xml:space="preserve">, and march back to the </w:t>
      </w:r>
      <w:r w:rsidR="00785624" w:rsidRPr="001F52A8">
        <w:rPr>
          <w:rFonts w:ascii="Calibri" w:hAnsi="Calibri" w:cs="Calibri"/>
        </w:rPr>
        <w:t>w</w:t>
      </w:r>
      <w:r w:rsidR="00D140E8" w:rsidRPr="001F52A8">
        <w:rPr>
          <w:rFonts w:ascii="Calibri" w:hAnsi="Calibri" w:cs="Calibri"/>
        </w:rPr>
        <w:t>adi</w:t>
      </w:r>
      <w:r w:rsidR="00534783" w:rsidRPr="001F52A8">
        <w:rPr>
          <w:rFonts w:ascii="Calibri" w:hAnsi="Calibri" w:cs="Calibri"/>
        </w:rPr>
        <w:t xml:space="preserve">. </w:t>
      </w:r>
      <w:r w:rsidR="00F85067" w:rsidRPr="001F52A8">
        <w:rPr>
          <w:rFonts w:ascii="Calibri" w:hAnsi="Calibri" w:cs="Calibri"/>
        </w:rPr>
        <w:t>Here, t</w:t>
      </w:r>
      <w:r w:rsidR="00E926BD" w:rsidRPr="001F52A8">
        <w:rPr>
          <w:rFonts w:ascii="Calibri" w:hAnsi="Calibri" w:cs="Calibri"/>
        </w:rPr>
        <w:t xml:space="preserve">he question </w:t>
      </w:r>
      <w:r w:rsidR="00F85067" w:rsidRPr="001F52A8">
        <w:rPr>
          <w:rFonts w:ascii="Calibri" w:hAnsi="Calibri" w:cs="Calibri"/>
        </w:rPr>
        <w:t xml:space="preserve">whether they </w:t>
      </w:r>
      <w:r w:rsidR="00E926BD" w:rsidRPr="001F52A8">
        <w:rPr>
          <w:rFonts w:ascii="Calibri" w:hAnsi="Calibri" w:cs="Calibri"/>
        </w:rPr>
        <w:t xml:space="preserve">should </w:t>
      </w:r>
      <w:r w:rsidR="00D53E89">
        <w:rPr>
          <w:rFonts w:ascii="Calibri" w:hAnsi="Calibri" w:cs="Calibri"/>
        </w:rPr>
        <w:t>“</w:t>
      </w:r>
      <w:r w:rsidR="00E926BD" w:rsidRPr="001F52A8">
        <w:rPr>
          <w:rFonts w:ascii="Calibri" w:hAnsi="Calibri" w:cs="Calibri"/>
        </w:rPr>
        <w:t>devote</w:t>
      </w:r>
      <w:r w:rsidR="00D53E89">
        <w:rPr>
          <w:rFonts w:ascii="Calibri" w:hAnsi="Calibri" w:cs="Calibri"/>
        </w:rPr>
        <w:t>”</w:t>
      </w:r>
      <w:r w:rsidR="00E926BD" w:rsidRPr="001F52A8">
        <w:rPr>
          <w:rFonts w:ascii="Calibri" w:hAnsi="Calibri" w:cs="Calibri"/>
        </w:rPr>
        <w:t xml:space="preserve"> the Amalekite herds</w:t>
      </w:r>
      <w:r w:rsidR="00F85067" w:rsidRPr="001F52A8">
        <w:rPr>
          <w:rFonts w:ascii="Calibri" w:hAnsi="Calibri" w:cs="Calibri"/>
        </w:rPr>
        <w:t xml:space="preserve"> doesn’t arise.</w:t>
      </w:r>
      <w:r w:rsidR="00E926BD" w:rsidRPr="001F52A8">
        <w:rPr>
          <w:rFonts w:ascii="Calibri" w:hAnsi="Calibri" w:cs="Calibri"/>
        </w:rPr>
        <w:t xml:space="preserve"> </w:t>
      </w:r>
      <w:r w:rsidR="00BF52C7" w:rsidRPr="001F52A8">
        <w:rPr>
          <w:rFonts w:ascii="Calibri" w:hAnsi="Calibri" w:cs="Calibri"/>
        </w:rPr>
        <w:t>David doesn’t as</w:t>
      </w:r>
      <w:r w:rsidR="0073177B" w:rsidRPr="001F52A8">
        <w:rPr>
          <w:rFonts w:ascii="Calibri" w:hAnsi="Calibri" w:cs="Calibri"/>
        </w:rPr>
        <w:t>k</w:t>
      </w:r>
      <w:r w:rsidR="00BF52C7" w:rsidRPr="001F52A8">
        <w:rPr>
          <w:rFonts w:ascii="Calibri" w:hAnsi="Calibri" w:cs="Calibri"/>
        </w:rPr>
        <w:t>, and Gad doesn’t take an initiative and tell him</w:t>
      </w:r>
      <w:r w:rsidR="009037B9">
        <w:rPr>
          <w:rFonts w:ascii="Calibri" w:hAnsi="Calibri" w:cs="Calibri"/>
        </w:rPr>
        <w:t>,</w:t>
      </w:r>
      <w:r w:rsidR="00BF52C7" w:rsidRPr="001F52A8">
        <w:rPr>
          <w:rFonts w:ascii="Calibri" w:hAnsi="Calibri" w:cs="Calibri"/>
        </w:rPr>
        <w:t xml:space="preserve"> </w:t>
      </w:r>
      <w:r w:rsidR="001C1FBE" w:rsidRPr="001F52A8">
        <w:rPr>
          <w:rFonts w:ascii="Calibri" w:hAnsi="Calibri" w:cs="Calibri"/>
        </w:rPr>
        <w:t>as</w:t>
      </w:r>
      <w:r w:rsidR="00BF52C7" w:rsidRPr="001F52A8">
        <w:rPr>
          <w:rFonts w:ascii="Calibri" w:hAnsi="Calibri" w:cs="Calibri"/>
        </w:rPr>
        <w:t xml:space="preserve"> Samuel did </w:t>
      </w:r>
      <w:r w:rsidR="00722B3A" w:rsidRPr="001F52A8">
        <w:rPr>
          <w:rFonts w:ascii="Calibri" w:hAnsi="Calibri" w:cs="Calibri"/>
        </w:rPr>
        <w:t xml:space="preserve">in relation to Saul. </w:t>
      </w:r>
      <w:r w:rsidR="001B2209" w:rsidRPr="001F52A8">
        <w:rPr>
          <w:rFonts w:ascii="Calibri" w:hAnsi="Calibri" w:cs="Calibri"/>
        </w:rPr>
        <w:t xml:space="preserve">Yahweh can operate in different ways in different contexts, and the Torah as we have it doesn’t exist in </w:t>
      </w:r>
      <w:r w:rsidR="00EF4EEB" w:rsidRPr="001F52A8">
        <w:rPr>
          <w:rFonts w:ascii="Calibri" w:hAnsi="Calibri" w:cs="Calibri"/>
        </w:rPr>
        <w:t>D</w:t>
      </w:r>
      <w:r w:rsidR="001B2209" w:rsidRPr="001F52A8">
        <w:rPr>
          <w:rFonts w:ascii="Calibri" w:hAnsi="Calibri" w:cs="Calibri"/>
        </w:rPr>
        <w:t>avid’s day, and even when it does</w:t>
      </w:r>
      <w:r w:rsidR="00EF4EEB" w:rsidRPr="001F52A8">
        <w:rPr>
          <w:rFonts w:ascii="Calibri" w:hAnsi="Calibri" w:cs="Calibri"/>
        </w:rPr>
        <w:t xml:space="preserve"> exist, it does not require to be taken</w:t>
      </w:r>
      <w:r w:rsidR="00311541" w:rsidRPr="001F52A8">
        <w:rPr>
          <w:rFonts w:ascii="Calibri" w:hAnsi="Calibri" w:cs="Calibri"/>
        </w:rPr>
        <w:t xml:space="preserve"> </w:t>
      </w:r>
      <w:r w:rsidR="00364695" w:rsidRPr="001F52A8">
        <w:rPr>
          <w:rFonts w:ascii="Calibri" w:hAnsi="Calibri" w:cs="Calibri"/>
        </w:rPr>
        <w:t>like</w:t>
      </w:r>
      <w:r w:rsidR="00311541" w:rsidRPr="001F52A8">
        <w:rPr>
          <w:rFonts w:ascii="Calibri" w:hAnsi="Calibri" w:cs="Calibri"/>
        </w:rPr>
        <w:t xml:space="preserve"> a lawcode</w:t>
      </w:r>
      <w:r w:rsidR="00CC2B9B" w:rsidRPr="001F52A8">
        <w:rPr>
          <w:rFonts w:ascii="Calibri" w:hAnsi="Calibri" w:cs="Calibri"/>
        </w:rPr>
        <w:t>, as David assumed already back at Nob (</w:t>
      </w:r>
      <w:r w:rsidR="004B560D" w:rsidRPr="001F52A8">
        <w:rPr>
          <w:rFonts w:ascii="Calibri" w:hAnsi="Calibri" w:cs="Calibri"/>
        </w:rPr>
        <w:t xml:space="preserve">21:3-6 [4-7]) </w:t>
      </w:r>
      <w:r w:rsidR="00CC2B9B" w:rsidRPr="001F52A8">
        <w:rPr>
          <w:rFonts w:ascii="Calibri" w:hAnsi="Calibri" w:cs="Calibri"/>
        </w:rPr>
        <w:t xml:space="preserve">and as Jesus will note </w:t>
      </w:r>
      <w:r w:rsidR="004B560D" w:rsidRPr="001F52A8">
        <w:rPr>
          <w:rFonts w:ascii="Calibri" w:hAnsi="Calibri" w:cs="Calibri"/>
        </w:rPr>
        <w:t>(</w:t>
      </w:r>
      <w:r w:rsidR="00CC2B9B" w:rsidRPr="001F52A8">
        <w:rPr>
          <w:rFonts w:ascii="Calibri" w:hAnsi="Calibri" w:cs="Calibri"/>
        </w:rPr>
        <w:t>Mark 2:</w:t>
      </w:r>
      <w:r w:rsidR="00F37C10" w:rsidRPr="001F52A8">
        <w:rPr>
          <w:rFonts w:ascii="Calibri" w:hAnsi="Calibri" w:cs="Calibri"/>
        </w:rPr>
        <w:t>23-27)</w:t>
      </w:r>
      <w:r w:rsidR="004C5BC8">
        <w:rPr>
          <w:rFonts w:ascii="Calibri" w:hAnsi="Calibri" w:cs="Calibri"/>
        </w:rPr>
        <w:t>, and we have noted that a</w:t>
      </w:r>
      <w:r w:rsidR="000E2720" w:rsidRPr="001F52A8">
        <w:rPr>
          <w:rFonts w:ascii="Calibri" w:hAnsi="Calibri" w:cs="Calibri"/>
        </w:rPr>
        <w:t>ctually the era of devoting is over</w:t>
      </w:r>
      <w:r w:rsidR="00F913AA">
        <w:rPr>
          <w:rFonts w:ascii="Calibri" w:hAnsi="Calibri" w:cs="Calibri"/>
        </w:rPr>
        <w:t xml:space="preserve"> for</w:t>
      </w:r>
      <w:r w:rsidR="000E2720" w:rsidRPr="001F52A8">
        <w:rPr>
          <w:rFonts w:ascii="Calibri" w:hAnsi="Calibri" w:cs="Calibri"/>
        </w:rPr>
        <w:t xml:space="preserve"> </w:t>
      </w:r>
      <w:r w:rsidR="00375922" w:rsidRPr="001F52A8">
        <w:rPr>
          <w:rFonts w:ascii="Calibri" w:hAnsi="Calibri" w:cs="Calibri"/>
        </w:rPr>
        <w:t xml:space="preserve">Israel, </w:t>
      </w:r>
      <w:r w:rsidR="00586B32" w:rsidRPr="001F52A8">
        <w:rPr>
          <w:rFonts w:ascii="Calibri" w:hAnsi="Calibri" w:cs="Calibri"/>
        </w:rPr>
        <w:t xml:space="preserve">even if other peoples do </w:t>
      </w:r>
      <w:r w:rsidR="00F913AA">
        <w:rPr>
          <w:rFonts w:ascii="Calibri" w:hAnsi="Calibri" w:cs="Calibri"/>
        </w:rPr>
        <w:t xml:space="preserve">it </w:t>
      </w:r>
      <w:r w:rsidR="00586B32" w:rsidRPr="001F52A8">
        <w:rPr>
          <w:rFonts w:ascii="Calibri" w:hAnsi="Calibri" w:cs="Calibri"/>
        </w:rPr>
        <w:t>(e.g., 2 Kgs 19:11</w:t>
      </w:r>
      <w:r w:rsidR="00A87BE4" w:rsidRPr="001F52A8">
        <w:rPr>
          <w:rFonts w:ascii="Calibri" w:hAnsi="Calibri" w:cs="Calibri"/>
        </w:rPr>
        <w:t xml:space="preserve">; </w:t>
      </w:r>
      <w:r w:rsidR="00AE196D" w:rsidRPr="001F52A8">
        <w:rPr>
          <w:rFonts w:ascii="Calibri" w:hAnsi="Calibri" w:cs="Calibri"/>
        </w:rPr>
        <w:t>2 Chr 20:23</w:t>
      </w:r>
      <w:r w:rsidR="00D42851" w:rsidRPr="001F52A8">
        <w:rPr>
          <w:rFonts w:ascii="Calibri" w:hAnsi="Calibri" w:cs="Calibri"/>
        </w:rPr>
        <w:t>), and even if Yahweh does (Isa 43:28).</w:t>
      </w:r>
    </w:p>
    <w:p w14:paraId="187A219F" w14:textId="08AC6532" w:rsidR="00492DA8" w:rsidRPr="001F52A8" w:rsidRDefault="00EF4EEB" w:rsidP="00A40D7D">
      <w:pPr>
        <w:rPr>
          <w:rFonts w:ascii="Calibri" w:hAnsi="Calibri" w:cs="Calibri"/>
        </w:rPr>
      </w:pPr>
      <w:r w:rsidRPr="001F52A8">
        <w:rPr>
          <w:rFonts w:ascii="Calibri" w:hAnsi="Calibri" w:cs="Calibri"/>
        </w:rPr>
        <w:t>The question at Wadi Besor is rather</w:t>
      </w:r>
      <w:r w:rsidR="009F6D39" w:rsidRPr="001F52A8">
        <w:rPr>
          <w:rFonts w:ascii="Calibri" w:hAnsi="Calibri" w:cs="Calibri"/>
        </w:rPr>
        <w:t>, do the men who were too tired to proceed get a share in the gains?</w:t>
      </w:r>
      <w:r w:rsidR="00E06EB3" w:rsidRPr="001F52A8">
        <w:rPr>
          <w:rFonts w:ascii="Calibri" w:hAnsi="Calibri" w:cs="Calibri"/>
        </w:rPr>
        <w:t xml:space="preserve"> </w:t>
      </w:r>
      <w:r w:rsidR="00644FF4" w:rsidRPr="001F52A8">
        <w:rPr>
          <w:rFonts w:ascii="Calibri" w:hAnsi="Calibri" w:cs="Calibri"/>
        </w:rPr>
        <w:t>Against the view of some of the men</w:t>
      </w:r>
      <w:r w:rsidR="0063303F" w:rsidRPr="001F52A8">
        <w:rPr>
          <w:rFonts w:ascii="Calibri" w:hAnsi="Calibri" w:cs="Calibri"/>
        </w:rPr>
        <w:t xml:space="preserve"> who fought</w:t>
      </w:r>
      <w:r w:rsidR="00644FF4" w:rsidRPr="001F52A8">
        <w:rPr>
          <w:rFonts w:ascii="Calibri" w:hAnsi="Calibri" w:cs="Calibri"/>
        </w:rPr>
        <w:t xml:space="preserve">, David’s answer is, </w:t>
      </w:r>
      <w:r w:rsidR="0012241C">
        <w:rPr>
          <w:rFonts w:ascii="Calibri" w:hAnsi="Calibri" w:cs="Calibri"/>
        </w:rPr>
        <w:t>“O</w:t>
      </w:r>
      <w:r w:rsidR="00644FF4" w:rsidRPr="001F52A8">
        <w:rPr>
          <w:rFonts w:ascii="Calibri" w:hAnsi="Calibri" w:cs="Calibri"/>
        </w:rPr>
        <w:t>f</w:t>
      </w:r>
      <w:r w:rsidR="00E06EB3" w:rsidRPr="001F52A8">
        <w:rPr>
          <w:rFonts w:ascii="Calibri" w:hAnsi="Calibri" w:cs="Calibri"/>
        </w:rPr>
        <w:t xml:space="preserve"> course they do.</w:t>
      </w:r>
      <w:r w:rsidR="0012241C">
        <w:rPr>
          <w:rFonts w:ascii="Calibri" w:hAnsi="Calibri" w:cs="Calibri"/>
        </w:rPr>
        <w:t>”</w:t>
      </w:r>
      <w:r w:rsidR="00E06EB3" w:rsidRPr="001F52A8">
        <w:rPr>
          <w:rFonts w:ascii="Calibri" w:hAnsi="Calibri" w:cs="Calibri"/>
        </w:rPr>
        <w:t xml:space="preserve"> It</w:t>
      </w:r>
      <w:r w:rsidR="00020720">
        <w:rPr>
          <w:rFonts w:ascii="Calibri" w:hAnsi="Calibri" w:cs="Calibri"/>
        </w:rPr>
        <w:t>’</w:t>
      </w:r>
      <w:r w:rsidR="00E06EB3" w:rsidRPr="001F52A8">
        <w:rPr>
          <w:rFonts w:ascii="Calibri" w:hAnsi="Calibri" w:cs="Calibri"/>
        </w:rPr>
        <w:t xml:space="preserve">s </w:t>
      </w:r>
      <w:r w:rsidR="0052774F" w:rsidRPr="001F52A8">
        <w:rPr>
          <w:rFonts w:ascii="Calibri" w:hAnsi="Calibri" w:cs="Calibri"/>
        </w:rPr>
        <w:t>“</w:t>
      </w:r>
      <w:r w:rsidR="00E06EB3" w:rsidRPr="001F52A8">
        <w:rPr>
          <w:rFonts w:ascii="Calibri" w:hAnsi="Calibri" w:cs="Calibri"/>
        </w:rPr>
        <w:t>what Yahweh has given us</w:t>
      </w:r>
      <w:r w:rsidR="0052774F" w:rsidRPr="001F52A8">
        <w:rPr>
          <w:rFonts w:ascii="Calibri" w:hAnsi="Calibri" w:cs="Calibri"/>
        </w:rPr>
        <w:t xml:space="preserve">.” </w:t>
      </w:r>
      <w:r w:rsidR="008C4E12">
        <w:rPr>
          <w:rFonts w:ascii="Calibri" w:hAnsi="Calibri" w:cs="Calibri"/>
        </w:rPr>
        <w:t>David</w:t>
      </w:r>
      <w:r w:rsidR="00644FF4" w:rsidRPr="001F52A8">
        <w:rPr>
          <w:rFonts w:ascii="Calibri" w:hAnsi="Calibri" w:cs="Calibri"/>
        </w:rPr>
        <w:t xml:space="preserve"> makes it a rule that st</w:t>
      </w:r>
      <w:r w:rsidR="00072800" w:rsidRPr="001F52A8">
        <w:rPr>
          <w:rFonts w:ascii="Calibri" w:hAnsi="Calibri" w:cs="Calibri"/>
        </w:rPr>
        <w:t>ands “until t</w:t>
      </w:r>
      <w:r w:rsidR="00FD1ACA" w:rsidRPr="001F52A8">
        <w:rPr>
          <w:rFonts w:ascii="Calibri" w:hAnsi="Calibri" w:cs="Calibri"/>
        </w:rPr>
        <w:t>o</w:t>
      </w:r>
      <w:r w:rsidR="00072800" w:rsidRPr="001F52A8">
        <w:rPr>
          <w:rFonts w:ascii="Calibri" w:hAnsi="Calibri" w:cs="Calibri"/>
        </w:rPr>
        <w:t>day</w:t>
      </w:r>
      <w:r w:rsidR="00B54121" w:rsidRPr="001F52A8">
        <w:rPr>
          <w:rFonts w:ascii="Calibri" w:hAnsi="Calibri" w:cs="Calibri"/>
        </w:rPr>
        <w:t xml:space="preserve">” </w:t>
      </w:r>
      <w:r w:rsidR="008241A2" w:rsidRPr="001F52A8">
        <w:rPr>
          <w:rFonts w:ascii="Calibri" w:hAnsi="Calibri" w:cs="Calibri"/>
        </w:rPr>
        <w:t xml:space="preserve">(though this rule also doesn’t make it into the Torah) </w:t>
      </w:r>
      <w:r w:rsidR="00B54121" w:rsidRPr="001F52A8">
        <w:rPr>
          <w:rFonts w:ascii="Calibri" w:hAnsi="Calibri" w:cs="Calibri"/>
        </w:rPr>
        <w:t>that “the share of the person who goes down</w:t>
      </w:r>
      <w:r w:rsidR="004B1005" w:rsidRPr="001F52A8">
        <w:rPr>
          <w:rFonts w:ascii="Calibri" w:hAnsi="Calibri" w:cs="Calibri"/>
        </w:rPr>
        <w:t xml:space="preserve"> in battle is the same as the share of the person who stays with the stuff</w:t>
      </w:r>
      <w:r w:rsidR="00D36036" w:rsidRPr="001F52A8">
        <w:rPr>
          <w:rFonts w:ascii="Calibri" w:hAnsi="Calibri" w:cs="Calibri"/>
        </w:rPr>
        <w:t>” (30:24-25).</w:t>
      </w:r>
      <w:r w:rsidR="003F6A94" w:rsidRPr="001F52A8">
        <w:rPr>
          <w:rFonts w:ascii="Calibri" w:hAnsi="Calibri" w:cs="Calibri"/>
        </w:rPr>
        <w:t xml:space="preserve"> </w:t>
      </w:r>
      <w:r w:rsidR="00DB0EF8">
        <w:rPr>
          <w:rFonts w:ascii="Calibri" w:hAnsi="Calibri" w:cs="Calibri"/>
        </w:rPr>
        <w:t>T</w:t>
      </w:r>
      <w:r w:rsidR="003F6A94" w:rsidRPr="001F52A8">
        <w:rPr>
          <w:rFonts w:ascii="Calibri" w:hAnsi="Calibri" w:cs="Calibri"/>
        </w:rPr>
        <w:t xml:space="preserve">he profits of the venture </w:t>
      </w:r>
      <w:r w:rsidR="00DB0EF8">
        <w:rPr>
          <w:rFonts w:ascii="Calibri" w:hAnsi="Calibri" w:cs="Calibri"/>
        </w:rPr>
        <w:t xml:space="preserve">do </w:t>
      </w:r>
      <w:r w:rsidR="00A50F88" w:rsidRPr="001F52A8">
        <w:rPr>
          <w:rFonts w:ascii="Calibri" w:hAnsi="Calibri" w:cs="Calibri"/>
        </w:rPr>
        <w:t xml:space="preserve">also </w:t>
      </w:r>
      <w:r w:rsidR="003F6A94" w:rsidRPr="001F52A8">
        <w:rPr>
          <w:rFonts w:ascii="Calibri" w:hAnsi="Calibri" w:cs="Calibri"/>
        </w:rPr>
        <w:t>provid</w:t>
      </w:r>
      <w:r w:rsidR="00155D1A" w:rsidRPr="001F52A8">
        <w:rPr>
          <w:rFonts w:ascii="Calibri" w:hAnsi="Calibri" w:cs="Calibri"/>
        </w:rPr>
        <w:t>e</w:t>
      </w:r>
      <w:r w:rsidR="003F6A94" w:rsidRPr="001F52A8">
        <w:rPr>
          <w:rFonts w:ascii="Calibri" w:hAnsi="Calibri" w:cs="Calibri"/>
        </w:rPr>
        <w:t xml:space="preserve"> hi</w:t>
      </w:r>
      <w:r w:rsidR="00155D1A" w:rsidRPr="001F52A8">
        <w:rPr>
          <w:rFonts w:ascii="Calibri" w:hAnsi="Calibri" w:cs="Calibri"/>
        </w:rPr>
        <w:t xml:space="preserve">m with resources to </w:t>
      </w:r>
      <w:r w:rsidR="00345B11" w:rsidRPr="001F52A8">
        <w:rPr>
          <w:rFonts w:ascii="Calibri" w:hAnsi="Calibri" w:cs="Calibri"/>
        </w:rPr>
        <w:t>make him</w:t>
      </w:r>
      <w:r w:rsidR="00DB0EF8">
        <w:rPr>
          <w:rFonts w:ascii="Calibri" w:hAnsi="Calibri" w:cs="Calibri"/>
        </w:rPr>
        <w:t>self</w:t>
      </w:r>
      <w:r w:rsidR="00345B11" w:rsidRPr="001F52A8">
        <w:rPr>
          <w:rFonts w:ascii="Calibri" w:hAnsi="Calibri" w:cs="Calibri"/>
        </w:rPr>
        <w:t xml:space="preserve"> more popular with </w:t>
      </w:r>
      <w:r w:rsidR="00E047AB" w:rsidRPr="001F52A8">
        <w:rPr>
          <w:rFonts w:ascii="Calibri" w:hAnsi="Calibri" w:cs="Calibri"/>
        </w:rPr>
        <w:t>his “friends” in Judah</w:t>
      </w:r>
      <w:r w:rsidR="00941956" w:rsidRPr="001F52A8">
        <w:rPr>
          <w:rFonts w:ascii="Calibri" w:hAnsi="Calibri" w:cs="Calibri"/>
        </w:rPr>
        <w:t xml:space="preserve">. </w:t>
      </w:r>
      <w:r w:rsidR="00997A11">
        <w:rPr>
          <w:rFonts w:ascii="Calibri" w:hAnsi="Calibri" w:cs="Calibri"/>
        </w:rPr>
        <w:t>As</w:t>
      </w:r>
      <w:r w:rsidR="00A50F88" w:rsidRPr="001F52A8">
        <w:rPr>
          <w:rFonts w:ascii="Calibri" w:hAnsi="Calibri" w:cs="Calibri"/>
        </w:rPr>
        <w:t xml:space="preserve"> t</w:t>
      </w:r>
      <w:r w:rsidR="00941956" w:rsidRPr="001F52A8">
        <w:rPr>
          <w:rFonts w:ascii="Calibri" w:hAnsi="Calibri" w:cs="Calibri"/>
        </w:rPr>
        <w:t xml:space="preserve">he narrative </w:t>
      </w:r>
      <w:r w:rsidR="00F94208" w:rsidRPr="001F52A8">
        <w:rPr>
          <w:rFonts w:ascii="Calibri" w:hAnsi="Calibri" w:cs="Calibri"/>
        </w:rPr>
        <w:t xml:space="preserve">emphasizes attitudes that </w:t>
      </w:r>
      <w:r w:rsidR="00047269">
        <w:rPr>
          <w:rFonts w:ascii="Calibri" w:hAnsi="Calibri" w:cs="Calibri"/>
        </w:rPr>
        <w:t>imply</w:t>
      </w:r>
      <w:r w:rsidR="00F94208" w:rsidRPr="001F52A8">
        <w:rPr>
          <w:rFonts w:ascii="Calibri" w:hAnsi="Calibri" w:cs="Calibri"/>
        </w:rPr>
        <w:t xml:space="preserve"> he was </w:t>
      </w:r>
      <w:r w:rsidR="00C26E36">
        <w:rPr>
          <w:rFonts w:ascii="Calibri" w:hAnsi="Calibri" w:cs="Calibri"/>
        </w:rPr>
        <w:t>not</w:t>
      </w:r>
      <w:r w:rsidR="00F94208" w:rsidRPr="001F52A8">
        <w:rPr>
          <w:rFonts w:ascii="Calibri" w:hAnsi="Calibri" w:cs="Calibri"/>
        </w:rPr>
        <w:t xml:space="preserve"> implicated in Saul’s death</w:t>
      </w:r>
      <w:r w:rsidR="00B3394C" w:rsidRPr="001F52A8">
        <w:rPr>
          <w:rFonts w:ascii="Calibri" w:hAnsi="Calibri" w:cs="Calibri"/>
        </w:rPr>
        <w:t xml:space="preserve">, it </w:t>
      </w:r>
      <w:r w:rsidR="00997A11">
        <w:rPr>
          <w:rFonts w:ascii="Calibri" w:hAnsi="Calibri" w:cs="Calibri"/>
        </w:rPr>
        <w:t>is</w:t>
      </w:r>
      <w:r w:rsidR="006F033D" w:rsidRPr="001F52A8">
        <w:rPr>
          <w:rFonts w:ascii="Calibri" w:hAnsi="Calibri" w:cs="Calibri"/>
        </w:rPr>
        <w:t xml:space="preserve"> open about action</w:t>
      </w:r>
      <w:r w:rsidR="001A3F5A">
        <w:rPr>
          <w:rFonts w:ascii="Calibri" w:hAnsi="Calibri" w:cs="Calibri"/>
        </w:rPr>
        <w:t>s</w:t>
      </w:r>
      <w:r w:rsidR="006F033D" w:rsidRPr="001F52A8">
        <w:rPr>
          <w:rFonts w:ascii="Calibri" w:hAnsi="Calibri" w:cs="Calibri"/>
        </w:rPr>
        <w:t xml:space="preserve"> that will </w:t>
      </w:r>
      <w:r w:rsidR="00511C94" w:rsidRPr="001F52A8">
        <w:rPr>
          <w:rFonts w:ascii="Calibri" w:hAnsi="Calibri" w:cs="Calibri"/>
        </w:rPr>
        <w:t>stand him in good stead in the future</w:t>
      </w:r>
      <w:r w:rsidR="00D412BC" w:rsidRPr="001F52A8">
        <w:rPr>
          <w:rFonts w:ascii="Calibri" w:hAnsi="Calibri" w:cs="Calibri"/>
        </w:rPr>
        <w:t xml:space="preserve"> (</w:t>
      </w:r>
      <w:r w:rsidR="00997A11">
        <w:rPr>
          <w:rFonts w:ascii="Calibri" w:hAnsi="Calibri" w:cs="Calibri"/>
        </w:rPr>
        <w:t>cf.</w:t>
      </w:r>
      <w:r w:rsidR="00D412BC" w:rsidRPr="001F52A8">
        <w:rPr>
          <w:rFonts w:ascii="Calibri" w:hAnsi="Calibri" w:cs="Calibri"/>
        </w:rPr>
        <w:t xml:space="preserve"> 2 Sam 2). </w:t>
      </w:r>
    </w:p>
    <w:p w14:paraId="1709692A" w14:textId="12D70BE5" w:rsidR="00413D7A" w:rsidRPr="001F52A8" w:rsidRDefault="00B72628" w:rsidP="00F72087">
      <w:r w:rsidRPr="001F52A8">
        <w:rPr>
          <w:rFonts w:ascii="Calibri" w:hAnsi="Calibri" w:cs="Calibri"/>
        </w:rPr>
        <w:t>Like the first story of David’s wilderness years, t</w:t>
      </w:r>
      <w:r w:rsidR="00130305" w:rsidRPr="001F52A8">
        <w:rPr>
          <w:rFonts w:ascii="Calibri" w:hAnsi="Calibri" w:cs="Calibri"/>
        </w:rPr>
        <w:t>h</w:t>
      </w:r>
      <w:r w:rsidR="0027393F" w:rsidRPr="001F52A8">
        <w:rPr>
          <w:rFonts w:ascii="Calibri" w:hAnsi="Calibri" w:cs="Calibri"/>
        </w:rPr>
        <w:t>is</w:t>
      </w:r>
      <w:r w:rsidR="00130305" w:rsidRPr="001F52A8">
        <w:rPr>
          <w:rFonts w:ascii="Calibri" w:hAnsi="Calibri" w:cs="Calibri"/>
        </w:rPr>
        <w:t xml:space="preserve"> final David story in 1 Samuel </w:t>
      </w:r>
      <w:r w:rsidR="0027393F" w:rsidRPr="001F52A8">
        <w:rPr>
          <w:rFonts w:ascii="Calibri" w:hAnsi="Calibri" w:cs="Calibri"/>
        </w:rPr>
        <w:t xml:space="preserve">epitomizes </w:t>
      </w:r>
      <w:r w:rsidR="00104B82">
        <w:rPr>
          <w:rFonts w:ascii="Calibri" w:hAnsi="Calibri" w:cs="Calibri"/>
        </w:rPr>
        <w:t xml:space="preserve">David’s </w:t>
      </w:r>
      <w:r w:rsidR="0027393F" w:rsidRPr="001F52A8">
        <w:rPr>
          <w:rFonts w:ascii="Calibri" w:hAnsi="Calibri" w:cs="Calibri"/>
        </w:rPr>
        <w:t>ambiguity</w:t>
      </w:r>
      <w:r w:rsidR="00063C58" w:rsidRPr="001F52A8">
        <w:rPr>
          <w:rFonts w:ascii="Calibri" w:hAnsi="Calibri" w:cs="Calibri"/>
        </w:rPr>
        <w:t>. He is</w:t>
      </w:r>
      <w:r w:rsidR="00975B17" w:rsidRPr="001F52A8">
        <w:rPr>
          <w:rFonts w:ascii="Calibri" w:hAnsi="Calibri" w:cs="Calibri"/>
        </w:rPr>
        <w:t xml:space="preserve"> the man of action, the man who </w:t>
      </w:r>
      <w:r w:rsidR="00063C58" w:rsidRPr="001F52A8">
        <w:rPr>
          <w:rFonts w:ascii="Calibri" w:hAnsi="Calibri" w:cs="Calibri"/>
        </w:rPr>
        <w:t xml:space="preserve">can </w:t>
      </w:r>
      <w:r w:rsidR="00AC143B" w:rsidRPr="001F52A8">
        <w:rPr>
          <w:rFonts w:ascii="Calibri" w:hAnsi="Calibri" w:cs="Calibri"/>
        </w:rPr>
        <w:t xml:space="preserve">act without thinking about right and wrong, the man </w:t>
      </w:r>
      <w:r w:rsidR="002C5734" w:rsidRPr="001F52A8">
        <w:rPr>
          <w:rFonts w:ascii="Calibri" w:hAnsi="Calibri" w:cs="Calibri"/>
        </w:rPr>
        <w:t xml:space="preserve">who </w:t>
      </w:r>
      <w:r w:rsidR="00063C58" w:rsidRPr="001F52A8">
        <w:rPr>
          <w:rFonts w:ascii="Calibri" w:hAnsi="Calibri" w:cs="Calibri"/>
        </w:rPr>
        <w:t xml:space="preserve">can </w:t>
      </w:r>
      <w:r w:rsidR="002C5734" w:rsidRPr="001F52A8">
        <w:rPr>
          <w:rFonts w:ascii="Calibri" w:hAnsi="Calibri" w:cs="Calibri"/>
        </w:rPr>
        <w:t xml:space="preserve">undertake appalling deeds, but also </w:t>
      </w:r>
      <w:r w:rsidR="00063C58" w:rsidRPr="001F52A8">
        <w:rPr>
          <w:rFonts w:ascii="Calibri" w:hAnsi="Calibri" w:cs="Calibri"/>
        </w:rPr>
        <w:t xml:space="preserve">the man who can seek Yahweh’s advice </w:t>
      </w:r>
      <w:r w:rsidR="00063C58" w:rsidRPr="001F52A8">
        <w:rPr>
          <w:rFonts w:ascii="Calibri" w:hAnsi="Calibri" w:cs="Calibri"/>
        </w:rPr>
        <w:lastRenderedPageBreak/>
        <w:t xml:space="preserve">and will, who can </w:t>
      </w:r>
      <w:r w:rsidR="00FE0568" w:rsidRPr="001F52A8">
        <w:rPr>
          <w:rFonts w:ascii="Calibri" w:hAnsi="Calibri" w:cs="Calibri"/>
        </w:rPr>
        <w:t xml:space="preserve">resist temptation, who can act with generosity. </w:t>
      </w:r>
      <w:r w:rsidR="00004ED6" w:rsidRPr="001F52A8">
        <w:rPr>
          <w:rFonts w:ascii="Calibri" w:hAnsi="Calibri" w:cs="Calibri"/>
        </w:rPr>
        <w:t>Th</w:t>
      </w:r>
      <w:r w:rsidR="00CB591D">
        <w:rPr>
          <w:rFonts w:ascii="Calibri" w:hAnsi="Calibri" w:cs="Calibri"/>
        </w:rPr>
        <w:t>is</w:t>
      </w:r>
      <w:r w:rsidR="00004ED6" w:rsidRPr="001F52A8">
        <w:rPr>
          <w:rFonts w:ascii="Calibri" w:hAnsi="Calibri" w:cs="Calibri"/>
        </w:rPr>
        <w:t xml:space="preserve"> man cannot be grasped. </w:t>
      </w:r>
      <w:r w:rsidR="00CB591D">
        <w:rPr>
          <w:rFonts w:ascii="Calibri" w:hAnsi="Calibri" w:cs="Calibri"/>
        </w:rPr>
        <w:t xml:space="preserve">As </w:t>
      </w:r>
      <w:r w:rsidR="00DF2B24" w:rsidRPr="001F52A8">
        <w:t>“</w:t>
      </w:r>
      <w:r w:rsidR="00CB591D">
        <w:t>w</w:t>
      </w:r>
      <w:r w:rsidR="00DF2B24" w:rsidRPr="001F52A8">
        <w:t>e are never given a hint of what Samuel thinks of David”</w:t>
      </w:r>
      <w:r w:rsidR="00DF2B24" w:rsidRPr="001F52A8">
        <w:rPr>
          <w:rStyle w:val="FootnoteReference"/>
        </w:rPr>
        <w:footnoteReference w:id="246"/>
      </w:r>
      <w:r w:rsidR="00DF2B24" w:rsidRPr="001F52A8">
        <w:t xml:space="preserve"> </w:t>
      </w:r>
      <w:r w:rsidR="002157AD" w:rsidRPr="001F52A8">
        <w:t>(and Samuel never speaks to David)</w:t>
      </w:r>
      <w:r w:rsidR="00CB591D">
        <w:t>, t</w:t>
      </w:r>
      <w:r w:rsidR="00DF2B24" w:rsidRPr="001F52A8">
        <w:t xml:space="preserve">he narrator wisely declines to sum him up. </w:t>
      </w:r>
      <w:r w:rsidR="003008DE" w:rsidRPr="001F52A8">
        <w:t>“We know so much about David—and yet so little.”</w:t>
      </w:r>
      <w:r w:rsidR="003008DE" w:rsidRPr="001F52A8">
        <w:rPr>
          <w:rStyle w:val="FootnoteReference"/>
        </w:rPr>
        <w:footnoteReference w:id="247"/>
      </w:r>
      <w:r w:rsidR="00D5459E" w:rsidRPr="001F52A8">
        <w:t xml:space="preserve"> </w:t>
      </w:r>
      <w:r w:rsidR="002D2191" w:rsidRPr="001F52A8">
        <w:t>These dynamics continue through 2 Samuel</w:t>
      </w:r>
      <w:r w:rsidR="0033299E" w:rsidRPr="001F52A8">
        <w:t xml:space="preserve">. </w:t>
      </w:r>
      <w:r w:rsidR="00C11F3A" w:rsidRPr="001F52A8">
        <w:t>The image of David that dominates many readers’ minds is</w:t>
      </w:r>
      <w:r w:rsidR="00DC01D8" w:rsidRPr="001F52A8">
        <w:t xml:space="preserve"> construct</w:t>
      </w:r>
      <w:r w:rsidR="00C11F3A" w:rsidRPr="001F52A8">
        <w:t>ed</w:t>
      </w:r>
      <w:r w:rsidR="00DC01D8" w:rsidRPr="001F52A8">
        <w:t xml:space="preserve"> from the Psalms</w:t>
      </w:r>
      <w:r w:rsidR="008A747D" w:rsidRPr="001F52A8">
        <w:t>; it is simpler</w:t>
      </w:r>
      <w:r w:rsidR="00B02434">
        <w:t>,</w:t>
      </w:r>
      <w:r w:rsidR="008A747D" w:rsidRPr="001F52A8">
        <w:t xml:space="preserve"> more </w:t>
      </w:r>
      <w:r w:rsidR="00085646" w:rsidRPr="001F52A8">
        <w:t>comprehensible</w:t>
      </w:r>
      <w:r w:rsidR="00B02434">
        <w:t>,</w:t>
      </w:r>
      <w:r w:rsidR="00085646" w:rsidRPr="001F52A8">
        <w:t xml:space="preserve"> and more obviou</w:t>
      </w:r>
      <w:r w:rsidR="00914019" w:rsidRPr="001F52A8">
        <w:t>s</w:t>
      </w:r>
      <w:r w:rsidR="00085646" w:rsidRPr="001F52A8">
        <w:t>ly edifying, yet</w:t>
      </w:r>
      <w:r w:rsidR="00757A3A" w:rsidRPr="001F52A8">
        <w:t xml:space="preserve"> </w:t>
      </w:r>
      <w:r w:rsidR="00085646" w:rsidRPr="001F52A8">
        <w:t xml:space="preserve">it </w:t>
      </w:r>
      <w:r w:rsidR="00757A3A" w:rsidRPr="001F52A8">
        <w:t xml:space="preserve">may not </w:t>
      </w:r>
      <w:r w:rsidR="00085646" w:rsidRPr="001F52A8">
        <w:t>truly come even from the Psalms</w:t>
      </w:r>
      <w:r w:rsidR="00914019" w:rsidRPr="001F52A8">
        <w:t xml:space="preserve"> </w:t>
      </w:r>
      <w:r w:rsidR="00413D7A" w:rsidRPr="001F52A8">
        <w:t>but</w:t>
      </w:r>
      <w:r w:rsidR="00914019" w:rsidRPr="001F52A8">
        <w:t xml:space="preserve"> rather </w:t>
      </w:r>
      <w:r w:rsidR="00413D7A" w:rsidRPr="001F52A8">
        <w:t xml:space="preserve">be </w:t>
      </w:r>
      <w:r w:rsidR="00914019" w:rsidRPr="001F52A8">
        <w:t xml:space="preserve">built up from them on a basis of false inference. </w:t>
      </w:r>
    </w:p>
    <w:p w14:paraId="4EC82E1E" w14:textId="043E5400" w:rsidR="008260A9" w:rsidRDefault="00914019" w:rsidP="00F72087">
      <w:r w:rsidRPr="001F52A8">
        <w:t xml:space="preserve">The image in Samuel is theologically more profound. </w:t>
      </w:r>
      <w:r w:rsidR="00FD6811" w:rsidRPr="001F52A8">
        <w:t>We cannot “explain” David as a great hero or a man</w:t>
      </w:r>
      <w:r w:rsidR="002660C7" w:rsidRPr="001F52A8">
        <w:t xml:space="preserve"> of deep spirituality, and we cannot </w:t>
      </w:r>
      <w:r w:rsidR="007E101D" w:rsidRPr="001F52A8">
        <w:t xml:space="preserve">therefore </w:t>
      </w:r>
      <w:r w:rsidR="002660C7" w:rsidRPr="001F52A8">
        <w:t>explain why he rather than Saul should have been God’s choice</w:t>
      </w:r>
      <w:r w:rsidR="007E101D" w:rsidRPr="001F52A8">
        <w:t xml:space="preserve">. </w:t>
      </w:r>
      <w:r w:rsidR="00AE7C80" w:rsidRPr="001F52A8">
        <w:t>He simply is, in his complexity</w:t>
      </w:r>
      <w:r w:rsidR="005C67A7">
        <w:t>,</w:t>
      </w:r>
      <w:r w:rsidR="00AE7C80" w:rsidRPr="001F52A8">
        <w:t xml:space="preserve"> contradiction</w:t>
      </w:r>
      <w:r w:rsidR="005C67A7">
        <w:t>,</w:t>
      </w:r>
      <w:r w:rsidR="00AE7C80" w:rsidRPr="001F52A8">
        <w:t xml:space="preserve"> and inconsistency. </w:t>
      </w:r>
      <w:r w:rsidR="007C265F" w:rsidRPr="001F52A8">
        <w:t>If there is an</w:t>
      </w:r>
      <w:r w:rsidR="00413D7A" w:rsidRPr="001F52A8">
        <w:rPr>
          <w:rFonts w:ascii="Calibri" w:hAnsi="Calibri" w:cs="Calibri"/>
        </w:rPr>
        <w:t xml:space="preserve"> </w:t>
      </w:r>
      <w:r w:rsidR="007C265F" w:rsidRPr="001F52A8">
        <w:rPr>
          <w:rFonts w:ascii="Calibri" w:hAnsi="Calibri" w:cs="Calibri"/>
        </w:rPr>
        <w:t>“</w:t>
      </w:r>
      <w:r w:rsidR="00413D7A" w:rsidRPr="001F52A8">
        <w:rPr>
          <w:rFonts w:ascii="Calibri" w:hAnsi="Calibri" w:cs="Calibri"/>
        </w:rPr>
        <w:t>elliptical path taken by divine providence to</w:t>
      </w:r>
      <w:r w:rsidR="00413D7A" w:rsidRPr="001F52A8">
        <w:t xml:space="preserve"> </w:t>
      </w:r>
      <w:r w:rsidR="00413D7A" w:rsidRPr="001F52A8">
        <w:rPr>
          <w:rFonts w:ascii="Calibri" w:hAnsi="Calibri" w:cs="Calibri"/>
        </w:rPr>
        <w:t>guide David toward his monarchic role</w:t>
      </w:r>
      <w:r w:rsidR="007C265F" w:rsidRPr="001F52A8">
        <w:rPr>
          <w:rFonts w:ascii="Calibri" w:hAnsi="Calibri" w:cs="Calibri"/>
        </w:rPr>
        <w:t>,</w:t>
      </w:r>
      <w:r w:rsidR="00413D7A" w:rsidRPr="001F52A8">
        <w:rPr>
          <w:rFonts w:ascii="Calibri" w:hAnsi="Calibri" w:cs="Calibri"/>
        </w:rPr>
        <w:t>”</w:t>
      </w:r>
      <w:r w:rsidR="00413D7A" w:rsidRPr="001F52A8">
        <w:rPr>
          <w:rStyle w:val="FootnoteReference"/>
          <w:rFonts w:ascii="Calibri" w:hAnsi="Calibri" w:cs="Calibri"/>
        </w:rPr>
        <w:footnoteReference w:id="248"/>
      </w:r>
      <w:r w:rsidR="007C265F" w:rsidRPr="001F52A8">
        <w:rPr>
          <w:rFonts w:ascii="Calibri" w:hAnsi="Calibri" w:cs="Calibri"/>
        </w:rPr>
        <w:t xml:space="preserve"> we cannot see why </w:t>
      </w:r>
      <w:r w:rsidR="0040647E" w:rsidRPr="001F52A8">
        <w:rPr>
          <w:rFonts w:ascii="Calibri" w:hAnsi="Calibri" w:cs="Calibri"/>
        </w:rPr>
        <w:t xml:space="preserve">it should be. </w:t>
      </w:r>
      <w:r w:rsidR="00BC3F99" w:rsidRPr="001F52A8">
        <w:t xml:space="preserve">God’s choice of him and his perseverance with him emerges from </w:t>
      </w:r>
      <w:r w:rsidR="00CF67AB">
        <w:t>God’s</w:t>
      </w:r>
      <w:r w:rsidR="00BC3F99" w:rsidRPr="001F52A8">
        <w:t xml:space="preserve"> freedom rather than </w:t>
      </w:r>
      <w:r w:rsidR="00CF67AB">
        <w:t>David’</w:t>
      </w:r>
      <w:r w:rsidR="00BC3F99" w:rsidRPr="001F52A8">
        <w:t xml:space="preserve">s deserve. </w:t>
      </w:r>
      <w:r w:rsidR="00CF67AB">
        <w:t>L</w:t>
      </w:r>
      <w:r w:rsidR="006339DA" w:rsidRPr="001F52A8">
        <w:t>iv</w:t>
      </w:r>
      <w:r w:rsidR="00CF67AB">
        <w:t>ing</w:t>
      </w:r>
      <w:r w:rsidR="006339DA" w:rsidRPr="001F52A8">
        <w:t xml:space="preserve"> with God’s working with David </w:t>
      </w:r>
      <w:r w:rsidR="00CF67AB">
        <w:t>requires</w:t>
      </w:r>
      <w:r w:rsidR="006339DA" w:rsidRPr="001F52A8">
        <w:t xml:space="preserve"> belie</w:t>
      </w:r>
      <w:r w:rsidR="00CF67AB">
        <w:t>f</w:t>
      </w:r>
      <w:r w:rsidR="006339DA" w:rsidRPr="001F52A8">
        <w:t xml:space="preserve"> in </w:t>
      </w:r>
      <w:r w:rsidR="00F72087" w:rsidRPr="001F52A8">
        <w:t xml:space="preserve">God’s freedom and </w:t>
      </w:r>
      <w:r w:rsidR="006339DA" w:rsidRPr="001F52A8">
        <w:t>grace.</w:t>
      </w:r>
    </w:p>
    <w:p w14:paraId="337A8376" w14:textId="77777777" w:rsidR="00E35161" w:rsidRPr="001F52A8" w:rsidRDefault="00E35161" w:rsidP="000B0A0F">
      <w:pPr>
        <w:pStyle w:val="Heading2"/>
      </w:pPr>
      <w:r w:rsidRPr="001F52A8">
        <w:t>The Fog of Flight and Pursuit</w:t>
      </w:r>
    </w:p>
    <w:p w14:paraId="555D218F" w14:textId="2392C144" w:rsidR="00245ED7" w:rsidRPr="001F52A8" w:rsidRDefault="00987527" w:rsidP="007038B5">
      <w:pPr>
        <w:autoSpaceDE w:val="0"/>
        <w:autoSpaceDN w:val="0"/>
        <w:adjustRightInd w:val="0"/>
        <w:spacing w:line="240" w:lineRule="auto"/>
      </w:pPr>
      <w:r w:rsidRPr="001F52A8">
        <w:rPr>
          <w:rFonts w:cstheme="minorHAnsi"/>
        </w:rPr>
        <w:t>The story of David and Saul is</w:t>
      </w:r>
      <w:r w:rsidR="00D52FCF" w:rsidRPr="001F52A8">
        <w:rPr>
          <w:rFonts w:cstheme="minorHAnsi"/>
        </w:rPr>
        <w:t xml:space="preserve"> </w:t>
      </w:r>
      <w:r w:rsidRPr="001F52A8">
        <w:rPr>
          <w:rFonts w:cstheme="minorHAnsi"/>
        </w:rPr>
        <w:t>“</w:t>
      </w:r>
      <w:r w:rsidR="00D52FCF" w:rsidRPr="001F52A8">
        <w:rPr>
          <w:rFonts w:cstheme="minorHAnsi"/>
        </w:rPr>
        <w:t>a cat-and-mouse game</w:t>
      </w:r>
      <w:r w:rsidRPr="001F52A8">
        <w:rPr>
          <w:rFonts w:cstheme="minorHAnsi"/>
        </w:rPr>
        <w:t>”</w:t>
      </w:r>
      <w:r w:rsidR="00D52FCF" w:rsidRPr="001F52A8">
        <w:rPr>
          <w:rStyle w:val="FootnoteReference"/>
          <w:rFonts w:cstheme="minorHAnsi"/>
        </w:rPr>
        <w:footnoteReference w:id="249"/>
      </w:r>
      <w:r w:rsidR="00D52FCF" w:rsidRPr="001F52A8">
        <w:rPr>
          <w:rFonts w:cstheme="minorHAnsi"/>
        </w:rPr>
        <w:t xml:space="preserve"> played in the dark.</w:t>
      </w:r>
      <w:r w:rsidR="007038B5" w:rsidRPr="001F52A8">
        <w:rPr>
          <w:rFonts w:cstheme="minorHAnsi"/>
        </w:rPr>
        <w:t xml:space="preserve"> </w:t>
      </w:r>
      <w:r w:rsidR="00E35161" w:rsidRPr="001F52A8">
        <w:t xml:space="preserve">We do not know how long a time period it covers. There is no order about the narrative </w:t>
      </w:r>
      <w:r w:rsidR="00CF4922">
        <w:t>of</w:t>
      </w:r>
      <w:r w:rsidR="00E35161" w:rsidRPr="001F52A8">
        <w:t xml:space="preserve"> these years; one could reorder it without making a difference to the impression </w:t>
      </w:r>
      <w:r w:rsidR="00CF4922">
        <w:t xml:space="preserve">it </w:t>
      </w:r>
      <w:r w:rsidR="00E35161" w:rsidRPr="001F52A8">
        <w:t>convey</w:t>
      </w:r>
      <w:r w:rsidR="00CF4922">
        <w:t>s</w:t>
      </w:r>
      <w:r w:rsidR="00E35161" w:rsidRPr="001F52A8">
        <w:t>. There are short stories and longer stories</w:t>
      </w:r>
      <w:r w:rsidR="00AE338A">
        <w:t>,</w:t>
      </w:r>
      <w:r w:rsidR="00E35161" w:rsidRPr="001F52A8">
        <w:t xml:space="preserve"> large and small repetitions. </w:t>
      </w:r>
    </w:p>
    <w:p w14:paraId="19CBE325" w14:textId="77777777" w:rsidR="00245ED7" w:rsidRPr="001F52A8" w:rsidRDefault="00245ED7" w:rsidP="00245ED7">
      <w:pPr>
        <w:autoSpaceDE w:val="0"/>
        <w:autoSpaceDN w:val="0"/>
        <w:adjustRightInd w:val="0"/>
        <w:spacing w:line="240" w:lineRule="auto"/>
        <w:ind w:firstLine="0"/>
        <w:rPr>
          <w:rFonts w:ascii="Calibri" w:hAnsi="Calibri" w:cs="Calibri"/>
        </w:rPr>
      </w:pPr>
    </w:p>
    <w:p w14:paraId="70DD5665" w14:textId="4EB1E5DB" w:rsidR="00245ED7" w:rsidRPr="001F52A8" w:rsidRDefault="00245ED7" w:rsidP="00245ED7">
      <w:pPr>
        <w:pStyle w:val="Quote"/>
      </w:pPr>
      <w:r w:rsidRPr="001F52A8">
        <w:t>History, as this narrator construes it, is not simply driven and shaped by grand themes. It works much more concretely by an heir giving away his robe (18:4), by women singing glad songs and (unwittingly?) intensifying the second numeral which applies to David (18:7), by a musical therapist driving Saul further away from sanity (18:10-11), by a military man being banished from court and becoming even more popular (18:12-16), by a daughter who loves a man who must be killed for reasons of state (18:20, 28), by a boldness that secures two hundred foreskins when only one hundred are required (18:25, 27), by a deference that self-abases and waits and can wait forever (18:18, 23).</w:t>
      </w:r>
      <w:r w:rsidRPr="001F52A8">
        <w:rPr>
          <w:rStyle w:val="FootnoteReference"/>
          <w:rFonts w:ascii="Calibri" w:hAnsi="Calibri" w:cs="Calibri"/>
        </w:rPr>
        <w:footnoteReference w:id="250"/>
      </w:r>
    </w:p>
    <w:p w14:paraId="39AD5B8F" w14:textId="77777777" w:rsidR="00245ED7" w:rsidRPr="001F52A8" w:rsidRDefault="00245ED7" w:rsidP="007038B5">
      <w:pPr>
        <w:autoSpaceDE w:val="0"/>
        <w:autoSpaceDN w:val="0"/>
        <w:adjustRightInd w:val="0"/>
        <w:spacing w:line="240" w:lineRule="auto"/>
      </w:pPr>
    </w:p>
    <w:p w14:paraId="21408966" w14:textId="59C395DF" w:rsidR="00E35161" w:rsidRPr="001F52A8" w:rsidRDefault="00E35161" w:rsidP="00F56F3C">
      <w:pPr>
        <w:autoSpaceDE w:val="0"/>
        <w:autoSpaceDN w:val="0"/>
        <w:adjustRightInd w:val="0"/>
        <w:spacing w:line="240" w:lineRule="auto"/>
      </w:pPr>
      <w:r w:rsidRPr="001F52A8">
        <w:t>Perhaps the chapters collect a variety of existent stories and assemble them in a random way, or perhaps the author created them that way to convey the impression they give, of events unfolding in a meaningless way that gets no one anywhere, except that it keeps David alive and gives Saul manifold opportunity to evade the fate that 13:1 – 1</w:t>
      </w:r>
      <w:r w:rsidR="00ED6A06">
        <w:t>5:35</w:t>
      </w:r>
      <w:r w:rsidRPr="001F52A8">
        <w:t xml:space="preserve"> has laid out for him.</w:t>
      </w:r>
      <w:r w:rsidR="00F56F3C" w:rsidRPr="001F52A8">
        <w:t xml:space="preserve"> </w:t>
      </w:r>
      <w:r w:rsidR="00D65443" w:rsidRPr="001F52A8">
        <w:t xml:space="preserve">It’s never over until it’s over, for David, for Saul, and for God. </w:t>
      </w:r>
      <w:r w:rsidR="00704029">
        <w:t>I</w:t>
      </w:r>
      <w:r w:rsidR="00D65443" w:rsidRPr="001F52A8">
        <w:t>n the meanwhile, t</w:t>
      </w:r>
      <w:r w:rsidRPr="001F52A8">
        <w:t xml:space="preserve">he narrative recalls Daniel 11 with its account </w:t>
      </w:r>
      <w:r w:rsidR="005233EC">
        <w:t xml:space="preserve">of </w:t>
      </w:r>
      <w:r w:rsidRPr="001F52A8">
        <w:t>one thing following another, one human initiative following another, but nothing getting anywhere.</w:t>
      </w:r>
    </w:p>
    <w:p w14:paraId="43E3C08E" w14:textId="77777777" w:rsidR="00E35161" w:rsidRPr="001F52A8" w:rsidRDefault="00E35161" w:rsidP="00E35161"/>
    <w:p w14:paraId="135EF1C3" w14:textId="77777777" w:rsidR="00E35161" w:rsidRPr="001F52A8" w:rsidRDefault="00E35161" w:rsidP="00E35161">
      <w:pPr>
        <w:pStyle w:val="Quote"/>
      </w:pPr>
      <w:r w:rsidRPr="001F52A8">
        <w:rPr>
          <w:bdr w:val="none" w:sz="0" w:space="0" w:color="auto" w:frame="1"/>
        </w:rPr>
        <w:lastRenderedPageBreak/>
        <w:t>Tomorrow, and tomorrow, and tomorrow,</w:t>
      </w:r>
    </w:p>
    <w:p w14:paraId="3C6D8814" w14:textId="77777777" w:rsidR="00E35161" w:rsidRPr="001F52A8" w:rsidRDefault="00E35161" w:rsidP="00E35161">
      <w:pPr>
        <w:pStyle w:val="Quote"/>
      </w:pPr>
      <w:r w:rsidRPr="001F52A8">
        <w:rPr>
          <w:bdr w:val="none" w:sz="0" w:space="0" w:color="auto" w:frame="1"/>
        </w:rPr>
        <w:t>Creeps in this petty pace from day to day,</w:t>
      </w:r>
    </w:p>
    <w:p w14:paraId="510A309F" w14:textId="77777777" w:rsidR="00E35161" w:rsidRPr="001F52A8" w:rsidRDefault="00E35161" w:rsidP="00E35161">
      <w:pPr>
        <w:pStyle w:val="Quote"/>
      </w:pPr>
      <w:r w:rsidRPr="001F52A8">
        <w:rPr>
          <w:bdr w:val="none" w:sz="0" w:space="0" w:color="auto" w:frame="1"/>
        </w:rPr>
        <w:t>To the last syllable of recorded time;</w:t>
      </w:r>
    </w:p>
    <w:p w14:paraId="0EF816EF" w14:textId="77777777" w:rsidR="00E35161" w:rsidRPr="001F52A8" w:rsidRDefault="00E35161" w:rsidP="00E35161">
      <w:pPr>
        <w:pStyle w:val="Quote"/>
      </w:pPr>
      <w:r w:rsidRPr="001F52A8">
        <w:rPr>
          <w:bdr w:val="none" w:sz="0" w:space="0" w:color="auto" w:frame="1"/>
        </w:rPr>
        <w:t>And all our yesterdays have lighted fools</w:t>
      </w:r>
    </w:p>
    <w:p w14:paraId="5E949A20" w14:textId="77777777" w:rsidR="00E35161" w:rsidRPr="001F52A8" w:rsidRDefault="00E35161" w:rsidP="00E35161">
      <w:pPr>
        <w:pStyle w:val="Quote"/>
      </w:pPr>
      <w:r w:rsidRPr="001F52A8">
        <w:rPr>
          <w:bdr w:val="none" w:sz="0" w:space="0" w:color="auto" w:frame="1"/>
        </w:rPr>
        <w:t>The way to dusty death. Out, out, brief candle!</w:t>
      </w:r>
    </w:p>
    <w:p w14:paraId="05E9AC86" w14:textId="77777777" w:rsidR="00E35161" w:rsidRPr="001F52A8" w:rsidRDefault="00E35161" w:rsidP="00E35161">
      <w:pPr>
        <w:pStyle w:val="Quote"/>
      </w:pPr>
      <w:r w:rsidRPr="001F52A8">
        <w:rPr>
          <w:bdr w:val="none" w:sz="0" w:space="0" w:color="auto" w:frame="1"/>
        </w:rPr>
        <w:t>Life's but a walking shadow, a poor player,</w:t>
      </w:r>
    </w:p>
    <w:p w14:paraId="708C3D8F" w14:textId="77777777" w:rsidR="00E35161" w:rsidRPr="001F52A8" w:rsidRDefault="00E35161" w:rsidP="00E35161">
      <w:pPr>
        <w:pStyle w:val="Quote"/>
      </w:pPr>
      <w:r w:rsidRPr="001F52A8">
        <w:rPr>
          <w:bdr w:val="none" w:sz="0" w:space="0" w:color="auto" w:frame="1"/>
        </w:rPr>
        <w:t>That struts and frets his hour upon the stage,</w:t>
      </w:r>
    </w:p>
    <w:p w14:paraId="4F228F95" w14:textId="77777777" w:rsidR="00E35161" w:rsidRPr="001F52A8" w:rsidRDefault="00E35161" w:rsidP="00E35161">
      <w:pPr>
        <w:pStyle w:val="Quote"/>
      </w:pPr>
      <w:r w:rsidRPr="001F52A8">
        <w:rPr>
          <w:bdr w:val="none" w:sz="0" w:space="0" w:color="auto" w:frame="1"/>
        </w:rPr>
        <w:t>And then is heard no more. It is a tale</w:t>
      </w:r>
    </w:p>
    <w:p w14:paraId="7BEB320C" w14:textId="77777777" w:rsidR="00E35161" w:rsidRPr="001F52A8" w:rsidRDefault="00E35161" w:rsidP="00E35161">
      <w:pPr>
        <w:pStyle w:val="Quote"/>
      </w:pPr>
      <w:r w:rsidRPr="001F52A8">
        <w:rPr>
          <w:bdr w:val="none" w:sz="0" w:space="0" w:color="auto" w:frame="1"/>
        </w:rPr>
        <w:t>Told by an idiot, full of sound and fury,</w:t>
      </w:r>
    </w:p>
    <w:p w14:paraId="08EBFE48" w14:textId="77777777" w:rsidR="00E35161" w:rsidRPr="001F52A8" w:rsidRDefault="00E35161" w:rsidP="00E35161">
      <w:pPr>
        <w:pStyle w:val="Quote"/>
      </w:pPr>
      <w:r w:rsidRPr="001F52A8">
        <w:rPr>
          <w:bdr w:val="none" w:sz="0" w:space="0" w:color="auto" w:frame="1"/>
        </w:rPr>
        <w:t xml:space="preserve">Signifying nothing. (Macbeth, in Shakespeare’s </w:t>
      </w:r>
      <w:r w:rsidRPr="001F52A8">
        <w:rPr>
          <w:i/>
          <w:iCs w:val="0"/>
          <w:bdr w:val="none" w:sz="0" w:space="0" w:color="auto" w:frame="1"/>
        </w:rPr>
        <w:t>Macbeth</w:t>
      </w:r>
      <w:r w:rsidRPr="001F52A8">
        <w:rPr>
          <w:bdr w:val="none" w:sz="0" w:space="0" w:color="auto" w:frame="1"/>
        </w:rPr>
        <w:t>, Act 5, Scene 5).</w:t>
      </w:r>
    </w:p>
    <w:p w14:paraId="6086D6D0" w14:textId="77777777" w:rsidR="00E35161" w:rsidRPr="001F52A8" w:rsidRDefault="00E35161" w:rsidP="00E35161"/>
    <w:p w14:paraId="6FF90245" w14:textId="3FC351F6" w:rsidR="00E35161" w:rsidRPr="001F52A8" w:rsidRDefault="005233EC" w:rsidP="004144F8">
      <w:pPr>
        <w:rPr>
          <w:rFonts w:cstheme="minorHAnsi"/>
        </w:rPr>
      </w:pPr>
      <w:r>
        <w:t>As</w:t>
      </w:r>
      <w:r w:rsidR="004144F8" w:rsidRPr="001F52A8">
        <w:t xml:space="preserve"> </w:t>
      </w:r>
      <w:r w:rsidR="00DF147E" w:rsidRPr="001F52A8">
        <w:t xml:space="preserve">the narrative offers no hint that David has a plan and is pursuing it, </w:t>
      </w:r>
      <w:r w:rsidR="0000507B" w:rsidRPr="001F52A8">
        <w:t>except that of staying alive</w:t>
      </w:r>
      <w:r>
        <w:t>,</w:t>
      </w:r>
      <w:r w:rsidR="00C86173" w:rsidRPr="001F52A8">
        <w:t xml:space="preserve"> it</w:t>
      </w:r>
      <w:r w:rsidR="00DF147E" w:rsidRPr="001F52A8">
        <w:t xml:space="preserve"> offers no hint that Yahweh </w:t>
      </w:r>
      <w:r w:rsidR="0000507B" w:rsidRPr="001F52A8">
        <w:t>has a plan and is pursuing it, except that</w:t>
      </w:r>
      <w:r w:rsidR="00E27DD6" w:rsidRPr="001F52A8">
        <w:t xml:space="preserve"> he intends for David to become king.</w:t>
      </w:r>
      <w:r w:rsidR="00752EEF" w:rsidRPr="001F52A8">
        <w:t xml:space="preserve"> </w:t>
      </w:r>
      <w:r>
        <w:t>T</w:t>
      </w:r>
      <w:r w:rsidR="00FB1AFA" w:rsidRPr="001F52A8">
        <w:t>he only question is how will Saul meet his end and how will David reach the throne,</w:t>
      </w:r>
      <w:r w:rsidR="00D76D0B" w:rsidRPr="001F52A8">
        <w:rPr>
          <w:rStyle w:val="FootnoteReference"/>
        </w:rPr>
        <w:footnoteReference w:id="251"/>
      </w:r>
      <w:r w:rsidR="00FB1AFA" w:rsidRPr="001F52A8">
        <w:t xml:space="preserve"> and </w:t>
      </w:r>
      <w:r w:rsidR="002B1C83">
        <w:t>in this connection</w:t>
      </w:r>
      <w:r w:rsidR="00FB1AFA" w:rsidRPr="001F52A8">
        <w:t xml:space="preserve"> </w:t>
      </w:r>
      <w:r w:rsidR="00611403" w:rsidRPr="001F52A8">
        <w:rPr>
          <w:rFonts w:cstheme="minorHAnsi"/>
        </w:rPr>
        <w:t>Yahweh is engaged in event</w:t>
      </w:r>
      <w:r w:rsidR="00C86173" w:rsidRPr="001F52A8">
        <w:rPr>
          <w:rFonts w:cstheme="minorHAnsi"/>
        </w:rPr>
        <w:t>s. B</w:t>
      </w:r>
      <w:r w:rsidR="00611403" w:rsidRPr="001F52A8">
        <w:rPr>
          <w:rFonts w:cstheme="minorHAnsi"/>
        </w:rPr>
        <w:t xml:space="preserve">ut </w:t>
      </w:r>
      <w:r w:rsidR="00C86173" w:rsidRPr="001F52A8">
        <w:rPr>
          <w:rFonts w:cstheme="minorHAnsi"/>
        </w:rPr>
        <w:t xml:space="preserve">he is </w:t>
      </w:r>
      <w:r w:rsidR="00611403" w:rsidRPr="001F52A8">
        <w:rPr>
          <w:rFonts w:cstheme="minorHAnsi"/>
        </w:rPr>
        <w:t xml:space="preserve">not orchestrating everything or behind everything. </w:t>
      </w:r>
      <w:r w:rsidR="002B1C83">
        <w:rPr>
          <w:rFonts w:cstheme="minorHAnsi"/>
        </w:rPr>
        <w:t xml:space="preserve">He takes </w:t>
      </w:r>
      <w:r w:rsidR="00ED7743" w:rsidRPr="001F52A8">
        <w:t xml:space="preserve">no initiatives like the </w:t>
      </w:r>
      <w:r w:rsidR="00AB555E" w:rsidRPr="001F52A8">
        <w:t>o</w:t>
      </w:r>
      <w:r w:rsidR="00ED7743" w:rsidRPr="001F52A8">
        <w:t xml:space="preserve">nes in </w:t>
      </w:r>
      <w:r w:rsidR="00F475FA" w:rsidRPr="001F52A8">
        <w:t xml:space="preserve">9:15-17 and </w:t>
      </w:r>
      <w:r w:rsidR="006C4324" w:rsidRPr="001F52A8">
        <w:t xml:space="preserve">16:1. As </w:t>
      </w:r>
      <w:r w:rsidR="002B1C83">
        <w:t>the narrative</w:t>
      </w:r>
      <w:r w:rsidR="006C4324" w:rsidRPr="001F52A8">
        <w:t xml:space="preserve"> is quiet about David’s thinking, so it is quiet about Yahweh’s. </w:t>
      </w:r>
      <w:r w:rsidR="00752EEF" w:rsidRPr="001F52A8">
        <w:t xml:space="preserve">It does not </w:t>
      </w:r>
      <w:r w:rsidR="002B1C83">
        <w:t>hin</w:t>
      </w:r>
      <w:r w:rsidR="00752EEF" w:rsidRPr="001F52A8">
        <w:t>t that Yahweh is</w:t>
      </w:r>
      <w:r w:rsidR="002B1C83">
        <w:t xml:space="preserve"> </w:t>
      </w:r>
      <w:r w:rsidR="00752EEF" w:rsidRPr="001F52A8">
        <w:t xml:space="preserve">pursuing </w:t>
      </w:r>
      <w:r w:rsidR="002B1C83">
        <w:t>a plan</w:t>
      </w:r>
      <w:r w:rsidR="00752EEF" w:rsidRPr="001F52A8">
        <w:t xml:space="preserve"> that is mysterious to us but nevertheless real. </w:t>
      </w:r>
    </w:p>
    <w:p w14:paraId="2952CBFC" w14:textId="77777777" w:rsidR="00E35161" w:rsidRPr="001F52A8" w:rsidRDefault="00E35161" w:rsidP="00E35161">
      <w:pPr>
        <w:ind w:firstLine="0"/>
        <w:rPr>
          <w:rFonts w:ascii="Calibri" w:hAnsi="Calibri" w:cs="Calibri"/>
        </w:rPr>
      </w:pPr>
    </w:p>
    <w:p w14:paraId="68685C9C" w14:textId="36F0F843" w:rsidR="00E35161" w:rsidRPr="001F52A8" w:rsidRDefault="00E35161" w:rsidP="00116886">
      <w:pPr>
        <w:pStyle w:val="Quote"/>
        <w:rPr>
          <w:rFonts w:ascii="Calibri" w:hAnsi="Calibri" w:cs="Calibri"/>
        </w:rPr>
      </w:pPr>
      <w:r w:rsidRPr="001F52A8">
        <w:t>Samuel (and most of the OT) is wrestling with a more radical thesis that renders God's role, his will and plan, undecidable. It is not just that we cannot fully know his will and plan, for 1 Samuel gives us no assurance that there is any such thing as a divine will and plan</w:t>
      </w:r>
      <w:r w:rsidR="00A016C9">
        <w:t xml:space="preserve"> . . . .</w:t>
      </w:r>
      <w:r w:rsidRPr="001F52A8">
        <w:t xml:space="preserve"> Divine statements and comments on divine activity are very limited in their information and in their relevance to the context</w:t>
      </w:r>
      <w:r w:rsidR="00A016C9">
        <w:t xml:space="preserve"> . . . .</w:t>
      </w:r>
      <w:r w:rsidR="009F41E6" w:rsidRPr="001F52A8">
        <w:rPr>
          <w:rFonts w:cstheme="minorHAnsi"/>
        </w:rPr>
        <w:t xml:space="preserve"> </w:t>
      </w:r>
      <w:r w:rsidR="00087187" w:rsidRPr="001F52A8">
        <w:rPr>
          <w:rFonts w:cstheme="minorHAnsi"/>
        </w:rPr>
        <w:t>Throughout the remainder of 1 Samuel, David will generally succeed, but we can only ask, and then ask again, why? Is his success due to the Lord's intervention, and, if so, does this have anything to do with David's character or behavior? Or is it due to his own ability and sagacity, to Saul's incompetence, to the help of others, or to just plain luck? The same applies to Saul's failure.</w:t>
      </w:r>
      <w:r w:rsidRPr="001F52A8">
        <w:rPr>
          <w:rStyle w:val="FootnoteReference"/>
          <w:rFonts w:ascii="Calibri" w:hAnsi="Calibri" w:cs="Calibri"/>
        </w:rPr>
        <w:footnoteReference w:id="252"/>
      </w:r>
    </w:p>
    <w:p w14:paraId="06B5B341" w14:textId="77777777" w:rsidR="00E35161" w:rsidRPr="001F52A8" w:rsidRDefault="00E35161" w:rsidP="00E35161">
      <w:pPr>
        <w:autoSpaceDE w:val="0"/>
        <w:autoSpaceDN w:val="0"/>
        <w:adjustRightInd w:val="0"/>
        <w:spacing w:line="240" w:lineRule="auto"/>
        <w:ind w:firstLine="0"/>
        <w:rPr>
          <w:rFonts w:ascii="Calibri" w:hAnsi="Calibri" w:cs="Calibri"/>
        </w:rPr>
      </w:pPr>
    </w:p>
    <w:p w14:paraId="42FADE2C" w14:textId="71BF4B08" w:rsidR="007A48EE" w:rsidRPr="001F52A8" w:rsidRDefault="00204C17" w:rsidP="007A48EE">
      <w:r w:rsidRPr="001F52A8">
        <w:t xml:space="preserve">Why </w:t>
      </w:r>
      <w:r w:rsidR="00881FB9" w:rsidRPr="001F52A8">
        <w:t xml:space="preserve">are </w:t>
      </w:r>
      <w:r w:rsidR="0027104E">
        <w:t xml:space="preserve">these stories about </w:t>
      </w:r>
      <w:r w:rsidRPr="001F52A8">
        <w:t xml:space="preserve">David </w:t>
      </w:r>
      <w:r w:rsidR="00881FB9" w:rsidRPr="001F52A8">
        <w:t xml:space="preserve">and Saul </w:t>
      </w:r>
      <w:r w:rsidRPr="001F52A8">
        <w:t xml:space="preserve">in the </w:t>
      </w:r>
      <w:r w:rsidR="0027104E">
        <w:t>Scriptures</w:t>
      </w:r>
      <w:r w:rsidRPr="001F52A8">
        <w:t>?</w:t>
      </w:r>
      <w:r w:rsidR="00881FB9" w:rsidRPr="001F52A8">
        <w:t xml:space="preserve"> </w:t>
      </w:r>
      <w:r w:rsidR="007A48EE" w:rsidRPr="001F52A8">
        <w:rPr>
          <w:rFonts w:ascii="Calibri" w:hAnsi="Calibri" w:cs="Calibri"/>
        </w:rPr>
        <w:t>Commentators</w:t>
      </w:r>
      <w:r w:rsidR="007A48EE" w:rsidRPr="001F52A8">
        <w:t xml:space="preserve"> work hard to suggest how the</w:t>
      </w:r>
      <w:r w:rsidR="0027104E">
        <w:t>y</w:t>
      </w:r>
      <w:r w:rsidR="007A48EE" w:rsidRPr="001F52A8">
        <w:t xml:space="preserve"> offer positive or negative examples for life, or wisdom for life, or insights on spirituality. The</w:t>
      </w:r>
      <w:r w:rsidR="0027104E">
        <w:t>y</w:t>
      </w:r>
      <w:r w:rsidR="007A48EE" w:rsidRPr="001F52A8">
        <w:t xml:space="preserve"> do offer pointers in these directions, but the principles for discerning the instruction </w:t>
      </w:r>
      <w:r w:rsidR="0027104E">
        <w:t>they</w:t>
      </w:r>
      <w:r w:rsidR="007A48EE" w:rsidRPr="001F52A8">
        <w:t xml:space="preserve"> offer often come from modern Western principles and priorities</w:t>
      </w:r>
      <w:r w:rsidR="003821AA" w:rsidRPr="001F52A8">
        <w:t>,</w:t>
      </w:r>
      <w:r w:rsidR="007A48EE" w:rsidRPr="001F52A8">
        <w:t xml:space="preserve"> and </w:t>
      </w:r>
      <w:r w:rsidR="003821AA" w:rsidRPr="001F52A8">
        <w:t>the narrative</w:t>
      </w:r>
      <w:r w:rsidR="007A48EE" w:rsidRPr="001F52A8">
        <w:t xml:space="preserve"> interweaves stories that may offer instruction of this kind with stories that offer no </w:t>
      </w:r>
      <w:r w:rsidR="000A5C96" w:rsidRPr="001F52A8">
        <w:t xml:space="preserve">such </w:t>
      </w:r>
      <w:r w:rsidR="007A48EE" w:rsidRPr="001F52A8">
        <w:t xml:space="preserve">pointers. The implication is that the focus of the narrative does not lie here. It rather </w:t>
      </w:r>
      <w:r w:rsidR="0027104E">
        <w:t>constitute</w:t>
      </w:r>
      <w:r w:rsidR="007A48EE" w:rsidRPr="001F52A8">
        <w:t>s an account of a chaotic sequence of events involving a series of conflicts between two confused and confusing people whose lives are not offered for analysis on the basis of insight or morality or spirituality</w:t>
      </w:r>
      <w:r w:rsidR="000A5C96" w:rsidRPr="001F52A8">
        <w:t>, any more than</w:t>
      </w:r>
      <w:r w:rsidR="007A48EE" w:rsidRPr="001F52A8">
        <w:t xml:space="preserve"> it portray the sequence of events as one in which God is pursuing a purpose behind the scenes. </w:t>
      </w:r>
    </w:p>
    <w:p w14:paraId="5331A04A" w14:textId="77777777" w:rsidR="001F1297" w:rsidRPr="001F52A8" w:rsidRDefault="001F1297" w:rsidP="001F1297">
      <w:pPr>
        <w:pStyle w:val="Quote"/>
      </w:pPr>
    </w:p>
    <w:p w14:paraId="7000A252" w14:textId="2C8CA982" w:rsidR="001F1297" w:rsidRPr="001F52A8" w:rsidRDefault="001F1297" w:rsidP="001F1297">
      <w:pPr>
        <w:pStyle w:val="Quote"/>
      </w:pPr>
      <w:r w:rsidRPr="001F52A8">
        <w:lastRenderedPageBreak/>
        <w:t>By the end of chapter 26, the matter of Saul's death has been ominously raised three times, but what neither character nor reader yet knows is its manner. Will God strike him as he did Nabal? Will he die of natural causes? Or will he fall in battle? Whatever turns out to be the case, one puzzling aspect of the story will remain: why is it taking so long to dispose of Saul? We already suspect that there is something of a providential delay in this deferred denouement. But what does the providential delay itself signify?” It anticipates the story of Israel, which will also go on so long from Moses’s day to the fall of Jerusalem.</w:t>
      </w:r>
      <w:r w:rsidRPr="001F52A8">
        <w:rPr>
          <w:rStyle w:val="FootnoteReference"/>
          <w:rFonts w:ascii="Calibri" w:hAnsi="Calibri" w:cs="Calibri"/>
          <w:color w:val="000000"/>
        </w:rPr>
        <w:footnoteReference w:id="253"/>
      </w:r>
    </w:p>
    <w:p w14:paraId="2D2A0A90" w14:textId="77777777" w:rsidR="007A48EE" w:rsidRPr="001F52A8" w:rsidRDefault="007A48EE" w:rsidP="007A48EE"/>
    <w:p w14:paraId="75E4E68C" w14:textId="17A68095" w:rsidR="00204C17" w:rsidRPr="001F52A8" w:rsidRDefault="001F1297" w:rsidP="00E35161">
      <w:pPr>
        <w:ind w:firstLine="0"/>
      </w:pPr>
      <w:r w:rsidRPr="001F52A8">
        <w:t xml:space="preserve">For Israel, </w:t>
      </w:r>
      <w:r w:rsidR="0027104E">
        <w:t xml:space="preserve">too, </w:t>
      </w:r>
      <w:r w:rsidRPr="001F52A8">
        <w:t xml:space="preserve">it’s never over till it’s over. And God will wait a long time for events to turn out </w:t>
      </w:r>
      <w:r w:rsidR="006F124E" w:rsidRPr="001F52A8">
        <w:t>in a way that fulfills his purpose while giving his people chance to determine their destiny.</w:t>
      </w:r>
    </w:p>
    <w:p w14:paraId="22F623A3" w14:textId="54FB37DA" w:rsidR="00A3110A" w:rsidRPr="001F52A8" w:rsidRDefault="0027104E" w:rsidP="00A3110A">
      <w:r>
        <w:t>For Saul, w</w:t>
      </w:r>
      <w:r w:rsidR="00A3110A" w:rsidRPr="001F52A8">
        <w:t xml:space="preserve">as it over before </w:t>
      </w:r>
      <w:r>
        <w:t>he</w:t>
      </w:r>
      <w:r w:rsidR="00A3110A" w:rsidRPr="001F52A8">
        <w:t xml:space="preserve"> went to see the medium, or afterwards? Perhaps it’s never too late for God, but it may be too late for Saul. When Nebuchadnezzar came to besiege Jerusalem, was it too late for the city? Did the lifting of the siege give the city one last chance? When Nebuchadnezzar resumed the siege, was it too late for the city? When the food was totally gone, was it too late? </w:t>
      </w:r>
      <w:r>
        <w:t>Even if</w:t>
      </w:r>
      <w:r w:rsidR="00A3110A" w:rsidRPr="001F52A8">
        <w:t xml:space="preserve"> it’s never too late for God, it may be too late for Jerusalem. Jeremiah half-implies that it’s too late to prevent the city’s fall, but it’s not too late to surrender; but it was too late for Zedekiah. Perhaps it is too late for Saul, and he will indeed have to join Samuel (28:19), with neither of them aware that they are awaiting resurrection day. But the narrative’s interest lies more in the story of Israel</w:t>
      </w:r>
      <w:r>
        <w:t>. A</w:t>
      </w:r>
      <w:r w:rsidR="00A3110A" w:rsidRPr="001F52A8">
        <w:t>nd in the Masoretic Text it continues straight into what we call 2 Samuel 1.</w:t>
      </w:r>
      <w:r w:rsidR="00B92B62" w:rsidRPr="001F52A8">
        <w:rPr>
          <w:rStyle w:val="FootnoteReference"/>
          <w:rFonts w:ascii="Calibri" w:hAnsi="Calibri" w:cs="Calibri"/>
          <w:color w:val="000000"/>
        </w:rPr>
        <w:footnoteReference w:id="254"/>
      </w:r>
    </w:p>
    <w:p w14:paraId="1FB19133" w14:textId="08B69194" w:rsidR="00867CE6" w:rsidRPr="001F52A8" w:rsidRDefault="00652D46" w:rsidP="00867CE6">
      <w:pPr>
        <w:pStyle w:val="Heading2"/>
      </w:pPr>
      <w:r>
        <w:t>Saul Desperately Seeking</w:t>
      </w:r>
    </w:p>
    <w:p w14:paraId="7A1C096C" w14:textId="77777777" w:rsidR="00867CE6" w:rsidRPr="001F52A8" w:rsidRDefault="00867CE6" w:rsidP="00867CE6">
      <w:pPr>
        <w:autoSpaceDE w:val="0"/>
        <w:autoSpaceDN w:val="0"/>
        <w:adjustRightInd w:val="0"/>
        <w:spacing w:line="240" w:lineRule="auto"/>
        <w:rPr>
          <w:rFonts w:ascii="Calibri" w:hAnsi="Calibri" w:cs="Calibri"/>
        </w:rPr>
      </w:pPr>
      <w:r w:rsidRPr="001F52A8">
        <w:t xml:space="preserve">Saul’s story is a riddle, an enigma, a </w:t>
      </w:r>
      <w:r w:rsidRPr="001F52A8">
        <w:rPr>
          <w:i/>
          <w:iCs/>
        </w:rPr>
        <w:t>mashal</w:t>
      </w:r>
      <w:r w:rsidRPr="001F52A8">
        <w:t>.</w:t>
      </w:r>
      <w:r w:rsidRPr="001F52A8">
        <w:rPr>
          <w:rStyle w:val="FootnoteReference"/>
        </w:rPr>
        <w:footnoteReference w:id="255"/>
      </w:r>
      <w:r>
        <w:t xml:space="preserve"> </w:t>
      </w:r>
      <w:r w:rsidRPr="001F52A8">
        <w:t>Over against David with his initiatives and decisions is Saul with his initiatives and decisions, in the context of “the crossing fates” of the two characters.</w:t>
      </w:r>
      <w:r w:rsidRPr="001F52A8">
        <w:rPr>
          <w:rStyle w:val="FootnoteReference"/>
        </w:rPr>
        <w:footnoteReference w:id="256"/>
      </w:r>
      <w:r>
        <w:t xml:space="preserve"> Compared with David, </w:t>
      </w:r>
      <w:r w:rsidRPr="001F52A8">
        <w:rPr>
          <w:rFonts w:ascii="Calibri" w:hAnsi="Calibri" w:cs="Calibri"/>
        </w:rPr>
        <w:t>Saul isn’t much of a “man.”</w:t>
      </w:r>
      <w:r w:rsidRPr="001F52A8">
        <w:rPr>
          <w:rStyle w:val="FootnoteReference"/>
          <w:rFonts w:ascii="Calibri" w:hAnsi="Calibri" w:cs="Calibri"/>
        </w:rPr>
        <w:footnoteReference w:id="257"/>
      </w:r>
      <w:r w:rsidRPr="001F52A8">
        <w:rPr>
          <w:rFonts w:ascii="Calibri" w:hAnsi="Calibri" w:cs="Calibri"/>
        </w:rPr>
        <w:t xml:space="preserve"> </w:t>
      </w:r>
      <w:r w:rsidRPr="001F52A8">
        <w:t xml:space="preserve">One could get the impression that </w:t>
      </w:r>
      <w:r>
        <w:t>he</w:t>
      </w:r>
      <w:r w:rsidRPr="001F52A8">
        <w:t xml:space="preserve"> spends hardly any time being king (e.g., fighting the Philistines).</w:t>
      </w:r>
      <w:r w:rsidRPr="001F52A8">
        <w:rPr>
          <w:rStyle w:val="FootnoteReference"/>
        </w:rPr>
        <w:footnoteReference w:id="258"/>
      </w:r>
      <w:r w:rsidRPr="001F52A8">
        <w:t xml:space="preserve"> </w:t>
      </w:r>
      <w:r>
        <w:t>But perhaps relationships with the Philistines were generally friendlier than Samuel’s reports of periodic battles may seem to be imply.</w:t>
      </w:r>
      <w:r>
        <w:rPr>
          <w:rStyle w:val="FootnoteReference"/>
        </w:rPr>
        <w:footnoteReference w:id="259"/>
      </w:r>
      <w:r>
        <w:t xml:space="preserve"> </w:t>
      </w:r>
      <w:r w:rsidRPr="001F52A8">
        <w:t xml:space="preserve">As the dominant feature of David’s story is his need to evade Saul (he must have been doing other things in between), the dominant feature of Saul’s story is his pursuit of David. He is obsessed by the quest. </w:t>
      </w:r>
    </w:p>
    <w:p w14:paraId="20A26168" w14:textId="77777777" w:rsidR="00867CE6" w:rsidRDefault="00867CE6" w:rsidP="00867CE6">
      <w:r>
        <w:t xml:space="preserve">The horrific implications emerge immediately when he discovers about </w:t>
      </w:r>
      <w:r w:rsidRPr="001F52A8">
        <w:t xml:space="preserve">David </w:t>
      </w:r>
      <w:r>
        <w:t xml:space="preserve">going to Nob on the way to Gath and </w:t>
      </w:r>
      <w:r w:rsidRPr="001F52A8">
        <w:t>Saul slaughte</w:t>
      </w:r>
      <w:r>
        <w:t>rs</w:t>
      </w:r>
      <w:r w:rsidRPr="001F52A8">
        <w:t xml:space="preserve"> </w:t>
      </w:r>
      <w:r>
        <w:t>the</w:t>
      </w:r>
      <w:r w:rsidRPr="001F52A8">
        <w:t xml:space="preserve"> priest</w:t>
      </w:r>
      <w:r>
        <w:t>s there,</w:t>
      </w:r>
      <w:r w:rsidRPr="001F52A8">
        <w:t xml:space="preserve"> and the entire town (</w:t>
      </w:r>
      <w:r>
        <w:t xml:space="preserve">1 Sam </w:t>
      </w:r>
      <w:r w:rsidRPr="001F52A8">
        <w:t xml:space="preserve">22:6-23). Ahimelech </w:t>
      </w:r>
      <w:r>
        <w:lastRenderedPageBreak/>
        <w:t xml:space="preserve">had </w:t>
      </w:r>
      <w:r w:rsidRPr="001F52A8">
        <w:t>trembled when David came</w:t>
      </w:r>
      <w:r>
        <w:t>. Did he tremble</w:t>
      </w:r>
      <w:r w:rsidRPr="001F52A8">
        <w:t xml:space="preserve"> for David’s sake,</w:t>
      </w:r>
      <w:r w:rsidRPr="001F52A8">
        <w:rPr>
          <w:rStyle w:val="FootnoteReference"/>
        </w:rPr>
        <w:footnoteReference w:id="260"/>
      </w:r>
      <w:r w:rsidRPr="001F52A8">
        <w:t xml:space="preserve"> or for the same reason as the Bethlehem elders when Samuel arrived?</w:t>
      </w:r>
      <w:r w:rsidRPr="001F52A8">
        <w:rPr>
          <w:rStyle w:val="FootnoteReference"/>
        </w:rPr>
        <w:footnoteReference w:id="261"/>
      </w:r>
      <w:r w:rsidRPr="001F52A8">
        <w:t xml:space="preserve"> If the latter, “Ahimelech’s apprehension” at David’s arrival is “grimly vindicate[d].”</w:t>
      </w:r>
      <w:r w:rsidRPr="001F52A8">
        <w:rPr>
          <w:rStyle w:val="FootnoteReference"/>
        </w:rPr>
        <w:footnoteReference w:id="262"/>
      </w:r>
      <w:r w:rsidRPr="001F52A8">
        <w:t xml:space="preserve"> </w:t>
      </w:r>
      <w:r w:rsidRPr="001F52A8">
        <w:rPr>
          <w:rFonts w:cstheme="minorHAnsi"/>
        </w:rPr>
        <w:t>Ahim</w:t>
      </w:r>
      <w:r w:rsidRPr="001F52A8">
        <w:t>e</w:t>
      </w:r>
      <w:r>
        <w:t>lech</w:t>
      </w:r>
      <w:r w:rsidRPr="001F52A8">
        <w:t xml:space="preserve"> speaks straight to Saul, but Saul makes no allowances and asks no questions about the truth or untruth of Doeg’s testimony. There is no “devoting,” but it is an almost complete</w:t>
      </w:r>
      <w:r>
        <w:t xml:space="preserve"> elimination. In his paranoia,</w:t>
      </w:r>
      <w:r>
        <w:rPr>
          <w:rStyle w:val="FootnoteReference"/>
        </w:rPr>
        <w:footnoteReference w:id="263"/>
      </w:r>
      <w:r>
        <w:t xml:space="preserve"> </w:t>
      </w:r>
      <w:r w:rsidRPr="001F52A8">
        <w:t>“</w:t>
      </w:r>
      <w:r>
        <w:rPr>
          <w:rFonts w:cstheme="minorHAnsi"/>
        </w:rPr>
        <w:t>t</w:t>
      </w:r>
      <w:r w:rsidRPr="001F52A8">
        <w:rPr>
          <w:rFonts w:cstheme="minorHAnsi"/>
        </w:rPr>
        <w:t>he king who has lost his kingship and kingdom . . . is demonstrating the loss by acting in a way unbefitting any king.”</w:t>
      </w:r>
      <w:r w:rsidRPr="001F52A8">
        <w:rPr>
          <w:rStyle w:val="FootnoteReference"/>
          <w:rFonts w:cstheme="minorHAnsi"/>
        </w:rPr>
        <w:footnoteReference w:id="264"/>
      </w:r>
      <w:r w:rsidRPr="001F52A8">
        <w:rPr>
          <w:rFonts w:cstheme="minorHAnsi"/>
        </w:rPr>
        <w:t xml:space="preserve"> </w:t>
      </w:r>
      <w:r w:rsidRPr="001F52A8">
        <w:t>It is the logical action of a man with power who looks at things the way Saul does and a way of getting at David, or the action of a truly mad man frustrated by a pretend-mad man.</w:t>
      </w:r>
      <w:r w:rsidRPr="001F52A8">
        <w:rPr>
          <w:rStyle w:val="FootnoteReference"/>
        </w:rPr>
        <w:footnoteReference w:id="265"/>
      </w:r>
      <w:r>
        <w:t xml:space="preserve"> </w:t>
      </w:r>
    </w:p>
    <w:p w14:paraId="107F9F49" w14:textId="77777777" w:rsidR="00867CE6" w:rsidRPr="001F52A8" w:rsidRDefault="00867CE6" w:rsidP="00867CE6">
      <w:pPr>
        <w:rPr>
          <w:rFonts w:ascii="Calibri" w:hAnsi="Calibri" w:cs="Calibri"/>
        </w:rPr>
      </w:pPr>
      <w:r>
        <w:t>I</w:t>
      </w:r>
      <w:r w:rsidRPr="001F52A8">
        <w:t>ron</w:t>
      </w:r>
      <w:r>
        <w:t>icall</w:t>
      </w:r>
      <w:r w:rsidRPr="001F52A8">
        <w:t>y the elimination again lets one man escape</w:t>
      </w:r>
      <w:r>
        <w:t xml:space="preserve"> and thus</w:t>
      </w:r>
      <w:r w:rsidRPr="001F52A8">
        <w:t xml:space="preserve"> surrender</w:t>
      </w:r>
      <w:r>
        <w:t>s</w:t>
      </w:r>
      <w:r w:rsidRPr="001F52A8">
        <w:t xml:space="preserve"> to David the priesthood</w:t>
      </w:r>
      <w:r>
        <w:t>,</w:t>
      </w:r>
      <w:r w:rsidRPr="001F52A8">
        <w:t xml:space="preserve"> its means of guidance, and in due course the continuance of the priestly line through David’s reign.</w:t>
      </w:r>
      <w:r>
        <w:t xml:space="preserve"> I</w:t>
      </w:r>
      <w:r w:rsidRPr="001F52A8">
        <w:t xml:space="preserve">n the short term, </w:t>
      </w:r>
      <w:r>
        <w:t xml:space="preserve">when </w:t>
      </w:r>
      <w:r w:rsidRPr="001F52A8">
        <w:t xml:space="preserve">Saul discovers that David is at Keilah and gives chase, Abiathar can be the means of David getting the guidance to evade Saul (23:1-13). Saul </w:t>
      </w:r>
      <w:r>
        <w:t xml:space="preserve">subsequently </w:t>
      </w:r>
      <w:r w:rsidRPr="001F52A8">
        <w:t xml:space="preserve">prays for Yahweh’s blessing on people from Ziph for having mercy on him by </w:t>
      </w:r>
      <w:r>
        <w:t>telling him</w:t>
      </w:r>
      <w:r w:rsidRPr="001F52A8">
        <w:t xml:space="preserve"> David’s whereabouts (23:21). The odd reference to mercy pairs with the puzzling reference to people not feeling hurt for him (22:8, </w:t>
      </w:r>
      <w:r w:rsidRPr="001F52A8">
        <w:rPr>
          <w:rFonts w:cstheme="minorHAnsi"/>
          <w:i/>
          <w:iCs/>
        </w:rPr>
        <w:t>ḥālâ</w:t>
      </w:r>
      <w:r w:rsidRPr="001F52A8">
        <w:rPr>
          <w:rFonts w:cstheme="minorHAnsi"/>
        </w:rPr>
        <w:t>)</w:t>
      </w:r>
      <w:r>
        <w:rPr>
          <w:rFonts w:cstheme="minorHAnsi"/>
        </w:rPr>
        <w:t>.</w:t>
      </w:r>
      <w:r w:rsidRPr="001F52A8">
        <w:rPr>
          <w:rFonts w:cstheme="minorHAnsi"/>
        </w:rPr>
        <w:t xml:space="preserve"> </w:t>
      </w:r>
      <w:r>
        <w:rPr>
          <w:rFonts w:cstheme="minorHAnsi"/>
        </w:rPr>
        <w:t>A</w:t>
      </w:r>
      <w:r w:rsidRPr="001F52A8">
        <w:rPr>
          <w:rFonts w:cstheme="minorHAnsi"/>
        </w:rPr>
        <w:t xml:space="preserve">long with the cry he will shortly utter and the tears he will shortly shed (24:17), are they among the signs that </w:t>
      </w:r>
      <w:r w:rsidRPr="001F52A8">
        <w:rPr>
          <w:rFonts w:ascii="Calibri" w:hAnsi="Calibri" w:cs="Calibri"/>
        </w:rPr>
        <w:t>Saul is a morally injured person?</w:t>
      </w:r>
      <w:r w:rsidRPr="001F52A8">
        <w:rPr>
          <w:rStyle w:val="FootnoteReference"/>
          <w:rFonts w:ascii="Calibri" w:hAnsi="Calibri" w:cs="Calibri"/>
        </w:rPr>
        <w:footnoteReference w:id="266"/>
      </w:r>
      <w:r w:rsidRPr="001F52A8">
        <w:rPr>
          <w:rFonts w:ascii="Calibri" w:hAnsi="Calibri" w:cs="Calibri"/>
        </w:rPr>
        <w:t xml:space="preserve"> </w:t>
      </w:r>
      <w:r>
        <w:t>T</w:t>
      </w:r>
      <w:r w:rsidRPr="001F52A8">
        <w:t>he Philistines “accidentally” force him to give up that pursuit (23:19-28). It is not the only time that they are the means of David’s deliverance, by accident or by David’s maneuvering. “</w:t>
      </w:r>
      <w:r w:rsidRPr="001F52A8">
        <w:rPr>
          <w:rFonts w:cstheme="minorHAnsi"/>
        </w:rPr>
        <w:t>Saul's career has been marked by seeking and not finding or by seeking one thing and finding another.”</w:t>
      </w:r>
      <w:r w:rsidRPr="001F52A8">
        <w:rPr>
          <w:rStyle w:val="FootnoteReference"/>
          <w:rFonts w:cstheme="minorHAnsi"/>
        </w:rPr>
        <w:footnoteReference w:id="267"/>
      </w:r>
    </w:p>
    <w:p w14:paraId="0B0E7875" w14:textId="77777777" w:rsidR="00867CE6" w:rsidRPr="002B1C83" w:rsidRDefault="00867CE6" w:rsidP="00867CE6">
      <w:r w:rsidRPr="001F52A8">
        <w:t xml:space="preserve">He chases David to En-gedi, </w:t>
      </w:r>
      <w:r>
        <w:t xml:space="preserve">which will mean </w:t>
      </w:r>
      <w:r w:rsidRPr="001F52A8">
        <w:t xml:space="preserve">the mountain area above the oasis rather than the oasis itself. </w:t>
      </w:r>
      <w:r w:rsidRPr="001F52A8">
        <w:rPr>
          <w:rFonts w:cstheme="minorHAnsi"/>
        </w:rPr>
        <w:t>When</w:t>
      </w:r>
      <w:r w:rsidRPr="001F52A8">
        <w:t xml:space="preserve"> David declines the chance to kill him, Saul cries and responds: “You are more in the right [</w:t>
      </w:r>
      <w:r w:rsidRPr="001F52A8">
        <w:rPr>
          <w:rFonts w:cstheme="minorHAnsi"/>
          <w:i/>
          <w:iCs/>
        </w:rPr>
        <w:t>ṣaddîq</w:t>
      </w:r>
      <w:r w:rsidRPr="001F52A8">
        <w:rPr>
          <w:rFonts w:cstheme="minorHAnsi"/>
        </w:rPr>
        <w:t>] than me. . . in that Yahweh surrendered me into your hand and you di</w:t>
      </w:r>
      <w:r>
        <w:rPr>
          <w:rFonts w:cstheme="minorHAnsi"/>
        </w:rPr>
        <w:t>dn’</w:t>
      </w:r>
      <w:r w:rsidRPr="001F52A8">
        <w:rPr>
          <w:rFonts w:cstheme="minorHAnsi"/>
        </w:rPr>
        <w:t>t kill me</w:t>
      </w:r>
      <w:r>
        <w:rPr>
          <w:rFonts w:cstheme="minorHAnsi"/>
        </w:rPr>
        <w:t xml:space="preserve"> . . . .</w:t>
      </w:r>
      <w:r w:rsidRPr="001F52A8">
        <w:rPr>
          <w:rFonts w:cstheme="minorHAnsi"/>
        </w:rPr>
        <w:t xml:space="preserve"> Yahweh – he will recompense you with good things on account of this day, for what you have done for me. And now, there, I hereby acknowledge that you will definitely become king and the kingship over Israel will be firm in your hand. So now, promise me by Yahweh, if you cut off my offspring after me and if you eliminate my name from my father’s house</w:t>
      </w:r>
      <w:r>
        <w:rPr>
          <w:rFonts w:cstheme="minorHAnsi"/>
        </w:rPr>
        <w:t xml:space="preserve"> . . . </w:t>
      </w:r>
      <w:r w:rsidRPr="001F52A8">
        <w:rPr>
          <w:rFonts w:cstheme="minorHAnsi"/>
        </w:rPr>
        <w:t xml:space="preserve">” </w:t>
      </w:r>
      <w:r>
        <w:rPr>
          <w:rFonts w:cstheme="minorHAnsi"/>
        </w:rPr>
        <w:t>(</w:t>
      </w:r>
      <w:r w:rsidRPr="001F52A8">
        <w:rPr>
          <w:rFonts w:cstheme="minorHAnsi"/>
        </w:rPr>
        <w:t>24:18-2</w:t>
      </w:r>
      <w:r>
        <w:rPr>
          <w:rFonts w:cstheme="minorHAnsi"/>
        </w:rPr>
        <w:t>1; it is the kind</w:t>
      </w:r>
      <w:r w:rsidRPr="001F52A8">
        <w:rPr>
          <w:rFonts w:cstheme="minorHAnsi"/>
        </w:rPr>
        <w:t xml:space="preserve"> curses that runs out in an ellipsis). Once again, 24:1-22 tells the whole story of Saul and David, and after this acknowledgment, Samuel can die (25:1).</w:t>
      </w:r>
      <w:r w:rsidRPr="001F52A8">
        <w:rPr>
          <w:rStyle w:val="FootnoteReference"/>
          <w:rFonts w:cstheme="minorHAnsi"/>
        </w:rPr>
        <w:footnoteReference w:id="268"/>
      </w:r>
      <w:r w:rsidRPr="001F52A8">
        <w:rPr>
          <w:rFonts w:cstheme="minorHAnsi"/>
        </w:rPr>
        <w:t xml:space="preserve"> The</w:t>
      </w:r>
      <w:r>
        <w:rPr>
          <w:rFonts w:cstheme="minorHAnsi"/>
        </w:rPr>
        <w:t xml:space="preserve"> whole story repeats in</w:t>
      </w:r>
      <w:r w:rsidRPr="001F52A8">
        <w:rPr>
          <w:rFonts w:cstheme="minorHAnsi"/>
        </w:rPr>
        <w:t xml:space="preserve"> 26:1-25</w:t>
      </w:r>
      <w:r>
        <w:rPr>
          <w:rFonts w:cstheme="minorHAnsi"/>
        </w:rPr>
        <w:t>, with</w:t>
      </w:r>
      <w:r w:rsidRPr="001F52A8">
        <w:rPr>
          <w:rFonts w:cstheme="minorHAnsi"/>
        </w:rPr>
        <w:t xml:space="preserve"> </w:t>
      </w:r>
      <w:r w:rsidRPr="001F52A8">
        <w:rPr>
          <w:rFonts w:ascii="Calibri" w:hAnsi="Calibri" w:cs="Calibri"/>
        </w:rPr>
        <w:t>Yahweh caus</w:t>
      </w:r>
      <w:r>
        <w:rPr>
          <w:rFonts w:ascii="Calibri" w:hAnsi="Calibri" w:cs="Calibri"/>
        </w:rPr>
        <w:t>ing</w:t>
      </w:r>
      <w:r w:rsidRPr="001F52A8">
        <w:rPr>
          <w:rFonts w:ascii="Calibri" w:hAnsi="Calibri" w:cs="Calibri"/>
        </w:rPr>
        <w:t xml:space="preserve"> a deep sleep to fall on Saul’s company (it does not stop David from rebuking them). </w:t>
      </w:r>
      <w:r w:rsidRPr="001F52A8">
        <w:rPr>
          <w:rFonts w:cstheme="minorHAnsi"/>
        </w:rPr>
        <w:t xml:space="preserve">Samuel had told Saul </w:t>
      </w:r>
      <w:r>
        <w:rPr>
          <w:rFonts w:cstheme="minorHAnsi"/>
        </w:rPr>
        <w:t xml:space="preserve">he </w:t>
      </w:r>
      <w:r w:rsidRPr="001F52A8">
        <w:rPr>
          <w:rFonts w:cstheme="minorHAnsi"/>
        </w:rPr>
        <w:t>had been stupid</w:t>
      </w:r>
      <w:r>
        <w:rPr>
          <w:rFonts w:cstheme="minorHAnsi"/>
        </w:rPr>
        <w:t>;</w:t>
      </w:r>
      <w:r w:rsidRPr="001F52A8">
        <w:rPr>
          <w:rFonts w:cstheme="minorHAnsi"/>
        </w:rPr>
        <w:t xml:space="preserve"> he now says it himself (</w:t>
      </w:r>
      <w:r w:rsidRPr="001F52A8">
        <w:rPr>
          <w:rFonts w:cstheme="minorHAnsi"/>
          <w:i/>
          <w:iCs/>
        </w:rPr>
        <w:t>sākal</w:t>
      </w:r>
      <w:r w:rsidRPr="001F52A8">
        <w:rPr>
          <w:rFonts w:cstheme="minorHAnsi"/>
        </w:rPr>
        <w:t xml:space="preserve"> niphal, then hiphil, 13:13; 26:21)</w:t>
      </w:r>
      <w:r>
        <w:rPr>
          <w:rFonts w:cstheme="minorHAnsi"/>
        </w:rPr>
        <w:t>. H</w:t>
      </w:r>
      <w:r w:rsidRPr="001F52A8">
        <w:rPr>
          <w:rFonts w:cstheme="minorHAnsi"/>
        </w:rPr>
        <w:t>e contrasts with David, who has been smart and successful (</w:t>
      </w:r>
      <w:r w:rsidRPr="001F52A8">
        <w:rPr>
          <w:rFonts w:cstheme="minorHAnsi"/>
          <w:i/>
          <w:iCs/>
        </w:rPr>
        <w:t xml:space="preserve">śākal </w:t>
      </w:r>
      <w:r w:rsidRPr="001F52A8">
        <w:rPr>
          <w:rFonts w:cstheme="minorHAnsi"/>
        </w:rPr>
        <w:t>hiphil, then qal, 18:5, 14, 15, 30).</w:t>
      </w:r>
      <w:r w:rsidRPr="001F52A8">
        <w:rPr>
          <w:rStyle w:val="FootnoteReference"/>
          <w:rFonts w:cstheme="minorHAnsi"/>
        </w:rPr>
        <w:footnoteReference w:id="269"/>
      </w:r>
      <w:r w:rsidRPr="001F52A8">
        <w:rPr>
          <w:rFonts w:cstheme="minorHAnsi"/>
        </w:rPr>
        <w:t xml:space="preserve"> </w:t>
      </w:r>
      <w:r>
        <w:rPr>
          <w:rFonts w:ascii="Calibri" w:hAnsi="Calibri" w:cs="Calibri"/>
        </w:rPr>
        <w:t xml:space="preserve">He </w:t>
      </w:r>
      <w:r w:rsidRPr="001F52A8">
        <w:t>promise</w:t>
      </w:r>
      <w:r>
        <w:t>s</w:t>
      </w:r>
      <w:r w:rsidRPr="001F52A8">
        <w:t xml:space="preserve"> never to harm David again </w:t>
      </w:r>
      <w:r w:rsidRPr="001F52A8">
        <w:lastRenderedPageBreak/>
        <w:t>and prays, “may you be blessed, my son David, yes, you will indeed act and yes, you will indeed be successful” (26:21, 25)</w:t>
      </w:r>
      <w:r>
        <w:t xml:space="preserve">. </w:t>
      </w:r>
      <w:r w:rsidRPr="001F52A8">
        <w:t>They are the last words they will ever speak either to the other</w:t>
      </w:r>
      <w:r>
        <w:t>;</w:t>
      </w:r>
      <w:r w:rsidRPr="002B1C83">
        <w:t xml:space="preserve"> </w:t>
      </w:r>
      <w:r w:rsidRPr="001F52A8">
        <w:rPr>
          <w:rFonts w:ascii="Calibri" w:hAnsi="Calibri" w:cs="Calibri"/>
          <w:color w:val="000000"/>
        </w:rPr>
        <w:t xml:space="preserve">27:1 </w:t>
      </w:r>
      <w:r>
        <w:rPr>
          <w:rFonts w:ascii="Calibri" w:hAnsi="Calibri" w:cs="Calibri"/>
          <w:color w:val="000000"/>
        </w:rPr>
        <w:t>mark</w:t>
      </w:r>
      <w:r w:rsidRPr="001F52A8">
        <w:rPr>
          <w:rFonts w:ascii="Calibri" w:hAnsi="Calibri" w:cs="Calibri"/>
          <w:color w:val="000000"/>
        </w:rPr>
        <w:t>s a new beginning</w:t>
      </w:r>
      <w:r>
        <w:rPr>
          <w:rFonts w:ascii="Calibri" w:hAnsi="Calibri" w:cs="Calibri"/>
          <w:color w:val="000000"/>
        </w:rPr>
        <w:t>,</w:t>
      </w:r>
      <w:r w:rsidRPr="001F52A8">
        <w:t xml:space="preserve"> the moment when David finally abandons Judah</w:t>
      </w:r>
      <w:r>
        <w:t xml:space="preserve">. </w:t>
      </w:r>
      <w:r w:rsidRPr="001F52A8">
        <w:rPr>
          <w:rFonts w:cstheme="minorHAnsi"/>
        </w:rPr>
        <w:t>Once more there follows, not long after, a report that Samuel had died, though not very finally (28:3).</w:t>
      </w:r>
    </w:p>
    <w:p w14:paraId="452FD82D" w14:textId="77777777" w:rsidR="00867CE6" w:rsidRPr="00CB4693" w:rsidRDefault="00867CE6" w:rsidP="00867CE6">
      <w:r w:rsidRPr="001F52A8">
        <w:rPr>
          <w:rFonts w:cstheme="minorHAnsi"/>
        </w:rPr>
        <w:t xml:space="preserve">We do not hear of Yahweh speaking to Saul. Some irony attaches to the prophesying in 19:20-24, because no prophet speaks to Saul as to David (22:5), until the prophet who comes back from the dead to say nothing new except name David as the “neighbor” who will succeed </w:t>
      </w:r>
      <w:r>
        <w:rPr>
          <w:rFonts w:cstheme="minorHAnsi"/>
        </w:rPr>
        <w:t>Saul</w:t>
      </w:r>
      <w:r w:rsidRPr="001F52A8">
        <w:rPr>
          <w:rFonts w:cstheme="minorHAnsi"/>
        </w:rPr>
        <w:t xml:space="preserve"> (</w:t>
      </w:r>
      <w:r w:rsidRPr="001F52A8">
        <w:t xml:space="preserve">28:6, 15). Yahweh does not respond to </w:t>
      </w:r>
      <w:r>
        <w:t>Saul’s</w:t>
      </w:r>
      <w:r w:rsidRPr="001F52A8">
        <w:t xml:space="preserve"> inquiries as he does to David’s (23:2, 4, 11, 12), </w:t>
      </w:r>
      <w:r w:rsidRPr="001F52A8">
        <w:rPr>
          <w:rFonts w:cstheme="minorHAnsi"/>
        </w:rPr>
        <w:t>not least in connection with Saul’s attempts to capture him</w:t>
      </w:r>
      <w:r w:rsidRPr="001F52A8">
        <w:t>: but then, Saul had slaughtered the vehicles of inquiry except for the one who escape</w:t>
      </w:r>
      <w:r>
        <w:t>d</w:t>
      </w:r>
      <w:r w:rsidRPr="001F52A8">
        <w:t xml:space="preserve"> to David</w:t>
      </w:r>
      <w:r w:rsidRPr="001F52A8">
        <w:rPr>
          <w:rFonts w:cstheme="minorHAnsi"/>
        </w:rPr>
        <w:t xml:space="preserve">. Saul’s son </w:t>
      </w:r>
      <w:r w:rsidRPr="001F52A8">
        <w:t xml:space="preserve">strengthens David’s hand through Yahweh, and declares that Saul will not capture him and that he will become king with Jonathan second to him. </w:t>
      </w:r>
      <w:r>
        <w:t>A</w:t>
      </w:r>
      <w:r w:rsidRPr="001F52A8">
        <w:t xml:space="preserve"> crucial new nuance </w:t>
      </w:r>
      <w:r>
        <w:t>thus attaches w</w:t>
      </w:r>
      <w:r w:rsidRPr="001F52A8">
        <w:t xml:space="preserve">hen </w:t>
      </w:r>
      <w:r>
        <w:t>they</w:t>
      </w:r>
      <w:r w:rsidRPr="001F52A8">
        <w:t xml:space="preserve"> again confirm a covenant before Yahweh (23:16-18).</w:t>
      </w:r>
      <w:r w:rsidRPr="001F52A8">
        <w:rPr>
          <w:rStyle w:val="FootnoteReference"/>
        </w:rPr>
        <w:footnoteReference w:id="270"/>
      </w:r>
      <w:r w:rsidRPr="001F52A8">
        <w:t xml:space="preserve"> But it is their last contact. </w:t>
      </w:r>
    </w:p>
    <w:p w14:paraId="7E575056" w14:textId="77777777" w:rsidR="0012254E" w:rsidRPr="001F52A8" w:rsidRDefault="001E6961" w:rsidP="0012254E">
      <w:r w:rsidRPr="001F52A8">
        <w:t>Saul faces his last battle</w:t>
      </w:r>
      <w:r w:rsidR="006E3F1D" w:rsidRPr="001F52A8">
        <w:t xml:space="preserve"> (28:</w:t>
      </w:r>
      <w:r w:rsidR="004F7F31" w:rsidRPr="001F52A8">
        <w:t>1</w:t>
      </w:r>
      <w:r w:rsidR="006E3F1D" w:rsidRPr="001F52A8">
        <w:t>)</w:t>
      </w:r>
      <w:r w:rsidRPr="001F52A8">
        <w:t>, as it will turn out to be.</w:t>
      </w:r>
      <w:r w:rsidR="00C269A8" w:rsidRPr="001F52A8">
        <w:t xml:space="preserve"> On notable earlier occasions (13:</w:t>
      </w:r>
      <w:r w:rsidR="00F04F90" w:rsidRPr="001F52A8">
        <w:t>1 – 15:</w:t>
      </w:r>
      <w:r w:rsidR="00F714F4" w:rsidRPr="001F52A8">
        <w:t>35)</w:t>
      </w:r>
      <w:r w:rsidRPr="001F52A8">
        <w:t xml:space="preserve"> </w:t>
      </w:r>
      <w:r w:rsidR="00537CF4" w:rsidRPr="001F52A8">
        <w:t xml:space="preserve">Samuel had </w:t>
      </w:r>
      <w:r w:rsidR="00C269A8" w:rsidRPr="001F52A8">
        <w:t>mediated Yahweh’s message</w:t>
      </w:r>
      <w:r w:rsidR="004F7F31" w:rsidRPr="001F52A8">
        <w:t xml:space="preserve"> to him</w:t>
      </w:r>
      <w:r w:rsidR="00F714F4" w:rsidRPr="001F52A8">
        <w:t xml:space="preserve">, </w:t>
      </w:r>
      <w:r w:rsidR="000159F0" w:rsidRPr="001F52A8">
        <w:t xml:space="preserve">though there had been problems in the outworking of this role. </w:t>
      </w:r>
      <w:r w:rsidR="00915EB9" w:rsidRPr="001F52A8">
        <w:t>But anyway, Samuel is dead.</w:t>
      </w:r>
      <w:r w:rsidR="00B26F31" w:rsidRPr="001F52A8">
        <w:t xml:space="preserve"> </w:t>
      </w:r>
      <w:r w:rsidR="00841CC6" w:rsidRPr="001F52A8">
        <w:t>Saul</w:t>
      </w:r>
      <w:r w:rsidR="00E773F3" w:rsidRPr="001F52A8">
        <w:t xml:space="preserve"> has now killed off the priests except for the one who escaped to David and took the chasuble with him. </w:t>
      </w:r>
      <w:r w:rsidR="0087334C" w:rsidRPr="001F52A8">
        <w:t xml:space="preserve">He has </w:t>
      </w:r>
      <w:r w:rsidR="00451A21" w:rsidRPr="001F52A8">
        <w:t>expelled from the country the mediums who might be able to engage in divination on his behalf</w:t>
      </w:r>
      <w:r w:rsidR="00F569AF">
        <w:t>. Previous</w:t>
      </w:r>
      <w:r w:rsidR="00CC77CB" w:rsidRPr="001F52A8">
        <w:t xml:space="preserve"> references to effigies </w:t>
      </w:r>
      <w:r w:rsidR="00C854F9" w:rsidRPr="001F52A8">
        <w:t>(15:23</w:t>
      </w:r>
      <w:r w:rsidR="008769A7" w:rsidRPr="001F52A8">
        <w:t>; 19:11-17</w:t>
      </w:r>
      <w:r w:rsidR="00C854F9" w:rsidRPr="001F52A8">
        <w:t xml:space="preserve">) </w:t>
      </w:r>
      <w:r w:rsidR="00004E44" w:rsidRPr="001F52A8">
        <w:t xml:space="preserve">hint at the prevalence </w:t>
      </w:r>
      <w:r w:rsidR="008769A7" w:rsidRPr="001F52A8">
        <w:t xml:space="preserve">of </w:t>
      </w:r>
      <w:r w:rsidR="00816463" w:rsidRPr="001F52A8">
        <w:t>such</w:t>
      </w:r>
      <w:r w:rsidR="008769A7" w:rsidRPr="001F52A8">
        <w:t xml:space="preserve"> forms of divination in Israel, and if Saul has abolished them, it is an impressive achievement. </w:t>
      </w:r>
      <w:r w:rsidR="008F02B8">
        <w:t>N</w:t>
      </w:r>
      <w:r w:rsidR="00F07BE7" w:rsidRPr="001F52A8">
        <w:t xml:space="preserve">ow </w:t>
      </w:r>
      <w:r w:rsidR="00EE1BA5" w:rsidRPr="001F52A8">
        <w:t xml:space="preserve">when </w:t>
      </w:r>
      <w:r w:rsidR="009D1786" w:rsidRPr="001F52A8">
        <w:t>Saul</w:t>
      </w:r>
      <w:r w:rsidR="00EE1BA5" w:rsidRPr="001F52A8">
        <w:t xml:space="preserve"> asks </w:t>
      </w:r>
      <w:r w:rsidR="009D1786" w:rsidRPr="001F52A8">
        <w:t>(</w:t>
      </w:r>
      <w:r w:rsidR="009D1786" w:rsidRPr="001F52A8">
        <w:rPr>
          <w:rFonts w:cstheme="minorHAnsi"/>
          <w:i/>
          <w:iCs/>
        </w:rPr>
        <w:t>šā</w:t>
      </w:r>
      <w:r w:rsidR="009D1786" w:rsidRPr="001F52A8">
        <w:rPr>
          <w:i/>
          <w:iCs/>
        </w:rPr>
        <w:t>’al</w:t>
      </w:r>
      <w:r w:rsidR="009D1786" w:rsidRPr="001F52A8">
        <w:t xml:space="preserve">!) </w:t>
      </w:r>
      <w:r w:rsidR="00EE1BA5" w:rsidRPr="001F52A8">
        <w:t xml:space="preserve">Yahweh </w:t>
      </w:r>
      <w:r w:rsidR="00312A2E" w:rsidRPr="001F52A8">
        <w:t xml:space="preserve">what is going to happen or </w:t>
      </w:r>
      <w:r w:rsidR="009D1786" w:rsidRPr="001F52A8">
        <w:t xml:space="preserve">what to do, </w:t>
      </w:r>
      <w:r w:rsidR="00145B6A" w:rsidRPr="001F52A8">
        <w:t xml:space="preserve">Yahweh does not answer by </w:t>
      </w:r>
      <w:r w:rsidR="00D31211" w:rsidRPr="001F52A8">
        <w:t xml:space="preserve">dreams, by Urim, or by </w:t>
      </w:r>
      <w:r w:rsidR="00145B6A" w:rsidRPr="001F52A8">
        <w:t>prophets</w:t>
      </w:r>
      <w:r w:rsidR="00D31211" w:rsidRPr="001F52A8">
        <w:t xml:space="preserve">. </w:t>
      </w:r>
      <w:r w:rsidR="00F569AF">
        <w:t>Saul</w:t>
      </w:r>
      <w:r w:rsidR="006E3FAF" w:rsidRPr="001F52A8">
        <w:t xml:space="preserve"> is reduced to </w:t>
      </w:r>
      <w:r w:rsidR="00DD74CE" w:rsidRPr="001F52A8">
        <w:t>the resources of the Philistines themselves (6:2).</w:t>
      </w:r>
      <w:r w:rsidR="00DD74CE" w:rsidRPr="001F52A8">
        <w:rPr>
          <w:rStyle w:val="FootnoteReference"/>
        </w:rPr>
        <w:footnoteReference w:id="271"/>
      </w:r>
      <w:r w:rsidR="00EB20A6" w:rsidRPr="001F52A8">
        <w:t xml:space="preserve"> It is a sad end for one who </w:t>
      </w:r>
      <w:r w:rsidR="00666188" w:rsidRPr="001F52A8">
        <w:t>once prophesied.</w:t>
      </w:r>
      <w:r w:rsidR="00666188" w:rsidRPr="001F52A8">
        <w:rPr>
          <w:rStyle w:val="FootnoteReference"/>
        </w:rPr>
        <w:footnoteReference w:id="272"/>
      </w:r>
      <w:r w:rsidR="0012254E">
        <w:t xml:space="preserve"> </w:t>
      </w:r>
      <w:r w:rsidR="0012254E" w:rsidRPr="001F52A8">
        <w:t>At Endor, ten miles or so across the Jezreel Plain from the Israelite camp, Saul’s staff find a medium, a ghost-mistres</w:t>
      </w:r>
      <w:r w:rsidR="0012254E">
        <w:t xml:space="preserve">s, </w:t>
      </w:r>
      <w:r w:rsidR="0012254E" w:rsidRPr="001F52A8">
        <w:t xml:space="preserve">who can channel voices from people who have passed. The practice is common in the West </w:t>
      </w:r>
      <w:r w:rsidR="0012254E">
        <w:t>now</w:t>
      </w:r>
      <w:r w:rsidR="0012254E" w:rsidRPr="001F52A8">
        <w:t xml:space="preserve"> as it was in Israel; it’s not a recourse just for people in traditional societies. It’s common in Israel today,</w:t>
      </w:r>
      <w:r w:rsidR="0012254E" w:rsidRPr="001F52A8">
        <w:rPr>
          <w:rStyle w:val="FootnoteReference"/>
          <w:rFonts w:cstheme="minorHAnsi"/>
        </w:rPr>
        <w:footnoteReference w:id="273"/>
      </w:r>
      <w:r w:rsidR="0012254E" w:rsidRPr="001F52A8">
        <w:t xml:space="preserve"> not least among graduate and other middle-class women.</w:t>
      </w:r>
      <w:r w:rsidR="0012254E" w:rsidRPr="001F52A8">
        <w:rPr>
          <w:rStyle w:val="FootnoteReference"/>
        </w:rPr>
        <w:footnoteReference w:id="274"/>
      </w:r>
      <w:r w:rsidR="0012254E" w:rsidRPr="001F52A8">
        <w:t xml:space="preserve"> </w:t>
      </w:r>
    </w:p>
    <w:p w14:paraId="774D9611" w14:textId="6E860EB5" w:rsidR="00DC4DF9" w:rsidRPr="001F52A8" w:rsidRDefault="00DC4DF9" w:rsidP="00DC4DF9">
      <w:r w:rsidRPr="001F52A8">
        <w:t xml:space="preserve">The story that follows presupposes some nuancing of the regular First Testament understanding of death and its aftermath, which it shares with other traditional societies. </w:t>
      </w:r>
      <w:r w:rsidR="009C3F4B">
        <w:t>T</w:t>
      </w:r>
      <w:r w:rsidRPr="001F52A8">
        <w:t>he human person is</w:t>
      </w:r>
      <w:r w:rsidR="00DA60AA">
        <w:t xml:space="preserve"> not</w:t>
      </w:r>
      <w:r w:rsidRPr="001F52A8">
        <w:t xml:space="preserve"> a combination of a body and soul in which the body is a dispensable shell for the body and death means the two simply separate (“John Brown’s body lies a molding in the grave but his soul goes marching on”). Body and mind or spirit or personality are indeed distinguishable and semi-separable, so that the body can be in one place but the spirit somewhere else (e.g., 1 Cor 5:3-4; 2 Cor 12:2-4), but in their </w:t>
      </w:r>
      <w:r w:rsidRPr="001F52A8">
        <w:lastRenderedPageBreak/>
        <w:t>normal state they are two aspects of one whole. Death then means not their separation but the departure of life from the whole person. On the basis of Jesus’s resurrection, people who belong to him can look forward to the resurrection of their whole person in the future; it will require a miraculous reconstituting of the person they once were, their bodies having totally perished. Meanwhile, they await that event, and the grave or Sheol are the two sides to the place where they wait. Body and spirit, they continue to exist, but they are lifeless. Sleep provides a useful analog for their position.</w:t>
      </w:r>
    </w:p>
    <w:p w14:paraId="54DBFABA" w14:textId="77777777" w:rsidR="0011589C" w:rsidRPr="001F52A8" w:rsidRDefault="0011589C" w:rsidP="0011589C">
      <w:pPr>
        <w:pStyle w:val="Heading2"/>
      </w:pPr>
      <w:r w:rsidRPr="001F52A8">
        <w:t xml:space="preserve">How or How Not to Die a King </w:t>
      </w:r>
    </w:p>
    <w:p w14:paraId="525ED7FC" w14:textId="77777777" w:rsidR="00C178F2" w:rsidRDefault="00F07D8F" w:rsidP="003A6366">
      <w:pPr>
        <w:rPr>
          <w:rFonts w:cstheme="minorHAnsi"/>
        </w:rPr>
      </w:pPr>
      <w:r w:rsidRPr="001F52A8">
        <w:t>Saul and two other men</w:t>
      </w:r>
      <w:r w:rsidR="00AE2597" w:rsidRPr="001F52A8">
        <w:t xml:space="preserve"> </w:t>
      </w:r>
      <w:r w:rsidR="00FD2AD3" w:rsidRPr="001F52A8">
        <w:t>travel across</w:t>
      </w:r>
      <w:r w:rsidR="00AD7EB6" w:rsidRPr="001F52A8">
        <w:t xml:space="preserve"> the plain</w:t>
      </w:r>
      <w:r w:rsidR="00FD2AD3" w:rsidRPr="001F52A8">
        <w:t xml:space="preserve"> and arrive at night</w:t>
      </w:r>
      <w:r w:rsidR="004B56A7" w:rsidRPr="001F52A8">
        <w:t>; it’s sometimes said that contact with dead people happens more at night.</w:t>
      </w:r>
      <w:r w:rsidR="001C1E3D" w:rsidRPr="001F52A8">
        <w:t xml:space="preserve"> Saul asks the woman to make contact with </w:t>
      </w:r>
      <w:r w:rsidR="00A1228C" w:rsidRPr="001F52A8">
        <w:t>Samuel’s</w:t>
      </w:r>
      <w:r w:rsidR="001C1E3D" w:rsidRPr="001F52A8">
        <w:t xml:space="preserve"> ghost (</w:t>
      </w:r>
      <w:r w:rsidR="001C1E3D" w:rsidRPr="001F52A8">
        <w:rPr>
          <w:i/>
          <w:iCs/>
        </w:rPr>
        <w:t>’</w:t>
      </w:r>
      <w:r w:rsidR="001C1E3D" w:rsidRPr="001F52A8">
        <w:rPr>
          <w:rFonts w:cstheme="minorHAnsi"/>
          <w:i/>
          <w:iCs/>
        </w:rPr>
        <w:t>ô</w:t>
      </w:r>
      <w:r w:rsidR="001C1E3D" w:rsidRPr="001F52A8">
        <w:rPr>
          <w:i/>
          <w:iCs/>
        </w:rPr>
        <w:t>b</w:t>
      </w:r>
      <w:r w:rsidR="001C1E3D" w:rsidRPr="001F52A8">
        <w:t>)</w:t>
      </w:r>
      <w:r w:rsidR="001819F1" w:rsidRPr="001F52A8">
        <w:t xml:space="preserve">. </w:t>
      </w:r>
      <w:r w:rsidR="00B6638C" w:rsidRPr="001F52A8">
        <w:t>Samuel appears,</w:t>
      </w:r>
      <w:r w:rsidR="00A736BE" w:rsidRPr="00A736BE">
        <w:t xml:space="preserve"> </w:t>
      </w:r>
      <w:r w:rsidR="00A736BE">
        <w:t>e</w:t>
      </w:r>
      <w:r w:rsidR="00A736BE" w:rsidRPr="001F52A8">
        <w:t xml:space="preserve">vidently </w:t>
      </w:r>
      <w:r w:rsidR="00A736BE">
        <w:t>having</w:t>
      </w:r>
      <w:r w:rsidR="00A736BE" w:rsidRPr="001F52A8">
        <w:t xml:space="preserve"> had a kind of interim physical reconstituting</w:t>
      </w:r>
      <w:r w:rsidR="00A736BE">
        <w:t>,</w:t>
      </w:r>
      <w:r w:rsidR="00A736BE" w:rsidRPr="00A736BE">
        <w:t xml:space="preserve"> </w:t>
      </w:r>
      <w:r w:rsidR="00A736BE">
        <w:t>though o</w:t>
      </w:r>
      <w:r w:rsidR="00A736BE" w:rsidRPr="001F52A8">
        <w:t xml:space="preserve">nly the medium sees </w:t>
      </w:r>
      <w:r w:rsidR="00A736BE">
        <w:t>him. H</w:t>
      </w:r>
      <w:r w:rsidR="00B6638C" w:rsidRPr="001F52A8">
        <w:t xml:space="preserve">is appearance both </w:t>
      </w:r>
      <w:r w:rsidR="00734C78" w:rsidRPr="001F52A8">
        <w:t>scares he</w:t>
      </w:r>
      <w:r w:rsidR="00A736BE">
        <w:t>r</w:t>
      </w:r>
      <w:r w:rsidR="00734C78" w:rsidRPr="001F52A8">
        <w:t xml:space="preserve"> and makes her realize who Saul is.</w:t>
      </w:r>
      <w:r w:rsidR="003E2AEA" w:rsidRPr="001F52A8">
        <w:t xml:space="preserve"> </w:t>
      </w:r>
      <w:r w:rsidR="00F73403" w:rsidRPr="001F52A8">
        <w:t xml:space="preserve">Perhaps part of the background is that a medium may </w:t>
      </w:r>
      <w:r w:rsidR="005347BF" w:rsidRPr="001F52A8">
        <w:t>profess to hear and transmit voice and words</w:t>
      </w:r>
      <w:r w:rsidR="00A5581A" w:rsidRPr="001F52A8">
        <w:t xml:space="preserve"> (cf. Isa 29:4)</w:t>
      </w:r>
      <w:r w:rsidR="005347BF" w:rsidRPr="001F52A8">
        <w:t>, but not to see the physical person</w:t>
      </w:r>
      <w:r w:rsidR="004E6272" w:rsidRPr="001F52A8">
        <w:t>. A</w:t>
      </w:r>
      <w:r w:rsidR="00E14BE9" w:rsidRPr="001F52A8">
        <w:t xml:space="preserve">nd </w:t>
      </w:r>
      <w:r w:rsidR="00FD03DB" w:rsidRPr="001F52A8">
        <w:t xml:space="preserve">maybe the </w:t>
      </w:r>
      <w:r w:rsidR="00E84C21" w:rsidRPr="001F52A8">
        <w:t xml:space="preserve">actual </w:t>
      </w:r>
      <w:r w:rsidR="00FD03DB" w:rsidRPr="001F52A8">
        <w:t>appearance of a figure such as Samuel would confirm a hunch that her vis</w:t>
      </w:r>
      <w:r w:rsidR="00A45402" w:rsidRPr="001F52A8">
        <w:t>itor was more than just an ordinary guy</w:t>
      </w:r>
      <w:r w:rsidR="005347BF" w:rsidRPr="001F52A8">
        <w:t xml:space="preserve">. </w:t>
      </w:r>
      <w:r w:rsidR="000A1B3B" w:rsidRPr="001F52A8">
        <w:t xml:space="preserve">She calls Samuel </w:t>
      </w:r>
      <w:r w:rsidR="00B32475" w:rsidRPr="001F52A8">
        <w:t xml:space="preserve">an </w:t>
      </w:r>
      <w:r w:rsidR="00B32475" w:rsidRPr="001F52A8">
        <w:rPr>
          <w:i/>
          <w:iCs/>
        </w:rPr>
        <w:t>’</w:t>
      </w:r>
      <w:r w:rsidR="00B32475" w:rsidRPr="001F52A8">
        <w:rPr>
          <w:rFonts w:cstheme="minorHAnsi"/>
          <w:i/>
          <w:iCs/>
        </w:rPr>
        <w:t>ĕlôhîm</w:t>
      </w:r>
      <w:r w:rsidR="00E52A99" w:rsidRPr="001F52A8">
        <w:rPr>
          <w:rFonts w:cstheme="minorHAnsi"/>
        </w:rPr>
        <w:t xml:space="preserve">, apparently </w:t>
      </w:r>
      <w:r w:rsidR="0099285D" w:rsidRPr="001F52A8">
        <w:rPr>
          <w:rFonts w:cstheme="minorHAnsi"/>
        </w:rPr>
        <w:t xml:space="preserve">presuming </w:t>
      </w:r>
      <w:r w:rsidR="00AB3B13" w:rsidRPr="001F52A8">
        <w:rPr>
          <w:rFonts w:cstheme="minorHAnsi"/>
        </w:rPr>
        <w:t>that the word can denote</w:t>
      </w:r>
      <w:r w:rsidR="00B32475" w:rsidRPr="001F52A8">
        <w:rPr>
          <w:rFonts w:cstheme="minorHAnsi"/>
        </w:rPr>
        <w:t xml:space="preserve"> any </w:t>
      </w:r>
      <w:r w:rsidR="00742111" w:rsidRPr="001F52A8">
        <w:rPr>
          <w:rFonts w:cstheme="minorHAnsi"/>
        </w:rPr>
        <w:t xml:space="preserve">figure </w:t>
      </w:r>
      <w:r w:rsidR="00DE3B86" w:rsidRPr="001F52A8">
        <w:rPr>
          <w:rFonts w:cstheme="minorHAnsi"/>
        </w:rPr>
        <w:t>who</w:t>
      </w:r>
      <w:r w:rsidR="00742111" w:rsidRPr="001F52A8">
        <w:rPr>
          <w:rFonts w:cstheme="minorHAnsi"/>
        </w:rPr>
        <w:t xml:space="preserve"> is more than merely natural</w:t>
      </w:r>
      <w:r w:rsidR="001F1166" w:rsidRPr="001F52A8">
        <w:rPr>
          <w:rFonts w:cstheme="minorHAnsi"/>
        </w:rPr>
        <w:t>.</w:t>
      </w:r>
      <w:r w:rsidR="00AB3B13" w:rsidRPr="001F52A8">
        <w:rPr>
          <w:rStyle w:val="FootnoteReference"/>
          <w:rFonts w:cstheme="minorHAnsi"/>
        </w:rPr>
        <w:footnoteReference w:id="275"/>
      </w:r>
      <w:r w:rsidR="00884AA9" w:rsidRPr="001F52A8">
        <w:rPr>
          <w:rFonts w:cstheme="minorHAnsi"/>
        </w:rPr>
        <w:t xml:space="preserve"> </w:t>
      </w:r>
    </w:p>
    <w:p w14:paraId="5A129AE4" w14:textId="3368B119" w:rsidR="003A6366" w:rsidRPr="001F52A8" w:rsidRDefault="00946A21" w:rsidP="003A6366">
      <w:pPr>
        <w:rPr>
          <w:rFonts w:cstheme="minorHAnsi"/>
        </w:rPr>
      </w:pPr>
      <w:r w:rsidRPr="001F52A8">
        <w:rPr>
          <w:rFonts w:cstheme="minorHAnsi"/>
        </w:rPr>
        <w:t xml:space="preserve">Saul </w:t>
      </w:r>
      <w:r w:rsidR="00A736BE">
        <w:rPr>
          <w:rFonts w:cstheme="minorHAnsi"/>
        </w:rPr>
        <w:t>needs Samuel to tell him</w:t>
      </w:r>
      <w:r w:rsidR="009428BC" w:rsidRPr="001F52A8">
        <w:rPr>
          <w:rFonts w:cstheme="minorHAnsi"/>
        </w:rPr>
        <w:t xml:space="preserve"> what he should do</w:t>
      </w:r>
      <w:r w:rsidR="00D26125" w:rsidRPr="001F52A8">
        <w:rPr>
          <w:rFonts w:cstheme="minorHAnsi"/>
        </w:rPr>
        <w:t xml:space="preserve">; </w:t>
      </w:r>
      <w:r w:rsidR="00CF2697" w:rsidRPr="001F52A8">
        <w:rPr>
          <w:rFonts w:cstheme="minorHAnsi"/>
        </w:rPr>
        <w:t xml:space="preserve">the wording is the same as Samuel’s </w:t>
      </w:r>
      <w:r w:rsidR="00D26125" w:rsidRPr="001F52A8">
        <w:rPr>
          <w:rFonts w:cstheme="minorHAnsi"/>
        </w:rPr>
        <w:t xml:space="preserve">before the Gilgal event </w:t>
      </w:r>
      <w:r w:rsidR="003003C3" w:rsidRPr="001F52A8">
        <w:rPr>
          <w:rFonts w:cstheme="minorHAnsi"/>
        </w:rPr>
        <w:t>(</w:t>
      </w:r>
      <w:r w:rsidR="00CF2697" w:rsidRPr="001F52A8">
        <w:rPr>
          <w:rFonts w:cstheme="minorHAnsi"/>
        </w:rPr>
        <w:t>10:</w:t>
      </w:r>
      <w:r w:rsidR="00A736BE">
        <w:rPr>
          <w:rFonts w:cstheme="minorHAnsi"/>
        </w:rPr>
        <w:t>8</w:t>
      </w:r>
      <w:r w:rsidR="00CF2697" w:rsidRPr="001F52A8">
        <w:rPr>
          <w:rFonts w:cstheme="minorHAnsi"/>
        </w:rPr>
        <w:t>)</w:t>
      </w:r>
      <w:r w:rsidR="003003C3" w:rsidRPr="001F52A8">
        <w:rPr>
          <w:rFonts w:cstheme="minorHAnsi"/>
        </w:rPr>
        <w:t>.</w:t>
      </w:r>
      <w:r w:rsidR="00CF2697" w:rsidRPr="001F52A8">
        <w:rPr>
          <w:rStyle w:val="FootnoteReference"/>
          <w:rFonts w:cstheme="minorHAnsi"/>
        </w:rPr>
        <w:footnoteReference w:id="276"/>
      </w:r>
      <w:r w:rsidR="00CF2697" w:rsidRPr="001F52A8">
        <w:rPr>
          <w:rFonts w:cstheme="minorHAnsi"/>
        </w:rPr>
        <w:t xml:space="preserve"> </w:t>
      </w:r>
      <w:r w:rsidR="003003C3" w:rsidRPr="001F52A8">
        <w:rPr>
          <w:rFonts w:cstheme="minorHAnsi"/>
        </w:rPr>
        <w:t>T</w:t>
      </w:r>
      <w:r w:rsidR="009428BC" w:rsidRPr="001F52A8">
        <w:rPr>
          <w:rFonts w:cstheme="minorHAnsi"/>
        </w:rPr>
        <w:t>he Philistines are making war against him and God has turned away from him</w:t>
      </w:r>
      <w:r w:rsidR="00B02C92" w:rsidRPr="001F52A8">
        <w:rPr>
          <w:rFonts w:cstheme="minorHAnsi"/>
        </w:rPr>
        <w:t xml:space="preserve">. </w:t>
      </w:r>
      <w:r w:rsidR="003A6366" w:rsidRPr="001F52A8">
        <w:rPr>
          <w:rFonts w:cstheme="minorHAnsi"/>
        </w:rPr>
        <w:t>“It is a moment of great intensity in this long narrative, and I think Saul's most exposed, most honest, moment.”</w:t>
      </w:r>
      <w:r w:rsidR="003A6366" w:rsidRPr="001F52A8">
        <w:rPr>
          <w:rStyle w:val="FootnoteReference"/>
          <w:rFonts w:cstheme="minorHAnsi"/>
        </w:rPr>
        <w:footnoteReference w:id="277"/>
      </w:r>
    </w:p>
    <w:p w14:paraId="35D947C4" w14:textId="1CE6FD2A" w:rsidR="008D252B" w:rsidRPr="001F52A8" w:rsidRDefault="001F1166" w:rsidP="008D252B">
      <w:pPr>
        <w:rPr>
          <w:lang w:bidi="he-IL"/>
        </w:rPr>
      </w:pPr>
      <w:r w:rsidRPr="001F52A8">
        <w:rPr>
          <w:rFonts w:cstheme="minorHAnsi"/>
        </w:rPr>
        <w:t>Samuel does not appreciate being awakened from his sleep</w:t>
      </w:r>
      <w:r w:rsidR="00B30B1A" w:rsidRPr="001F52A8">
        <w:rPr>
          <w:rFonts w:cstheme="minorHAnsi"/>
        </w:rPr>
        <w:t xml:space="preserve"> in Sheol. P</w:t>
      </w:r>
      <w:r w:rsidR="00F774F3" w:rsidRPr="001F52A8">
        <w:rPr>
          <w:rFonts w:cstheme="minorHAnsi"/>
        </w:rPr>
        <w:t xml:space="preserve">resumably a medium could not </w:t>
      </w:r>
      <w:r w:rsidR="005D766D" w:rsidRPr="001F52A8">
        <w:rPr>
          <w:rFonts w:cstheme="minorHAnsi"/>
        </w:rPr>
        <w:t>generate an appearance by Samuel against God’s will</w:t>
      </w:r>
      <w:r w:rsidR="00B06544" w:rsidRPr="001F52A8">
        <w:rPr>
          <w:rFonts w:cstheme="minorHAnsi"/>
        </w:rPr>
        <w:t xml:space="preserve">, but </w:t>
      </w:r>
      <w:r w:rsidR="00FF0E15" w:rsidRPr="001F52A8">
        <w:rPr>
          <w:rFonts w:cstheme="minorHAnsi"/>
        </w:rPr>
        <w:t xml:space="preserve">on this occasion </w:t>
      </w:r>
      <w:r w:rsidR="00B06544" w:rsidRPr="001F52A8">
        <w:rPr>
          <w:rFonts w:cstheme="minorHAnsi"/>
        </w:rPr>
        <w:t>it suits God to allow it</w:t>
      </w:r>
      <w:r w:rsidR="003C31D0" w:rsidRPr="001F52A8">
        <w:rPr>
          <w:rFonts w:cstheme="minorHAnsi"/>
        </w:rPr>
        <w:t xml:space="preserve">, and </w:t>
      </w:r>
      <w:r w:rsidR="00FF0E15" w:rsidRPr="001F52A8">
        <w:rPr>
          <w:rFonts w:cstheme="minorHAnsi"/>
        </w:rPr>
        <w:t xml:space="preserve">typically, </w:t>
      </w:r>
      <w:r w:rsidR="007540DD" w:rsidRPr="001F52A8">
        <w:rPr>
          <w:rFonts w:cstheme="minorHAnsi"/>
        </w:rPr>
        <w:t xml:space="preserve">he does not mind very much whether the prophet </w:t>
      </w:r>
      <w:r w:rsidR="00C62AF1" w:rsidRPr="001F52A8">
        <w:rPr>
          <w:rFonts w:cstheme="minorHAnsi"/>
        </w:rPr>
        <w:t xml:space="preserve">whom </w:t>
      </w:r>
      <w:r w:rsidR="007540DD" w:rsidRPr="001F52A8">
        <w:rPr>
          <w:rFonts w:cstheme="minorHAnsi"/>
        </w:rPr>
        <w:t xml:space="preserve">he calls </w:t>
      </w:r>
      <w:r w:rsidR="00493BAF" w:rsidRPr="001F52A8">
        <w:rPr>
          <w:rFonts w:cstheme="minorHAnsi"/>
        </w:rPr>
        <w:t xml:space="preserve">is happy to be drafted. </w:t>
      </w:r>
      <w:r w:rsidR="00572180" w:rsidRPr="001F52A8">
        <w:rPr>
          <w:rFonts w:cstheme="minorHAnsi"/>
        </w:rPr>
        <w:t xml:space="preserve">Indeed, </w:t>
      </w:r>
      <w:r w:rsidR="009310F2" w:rsidRPr="001F52A8">
        <w:rPr>
          <w:rFonts w:cstheme="minorHAnsi"/>
        </w:rPr>
        <w:t>“death has not mellowed Samuel</w:t>
      </w:r>
      <w:r w:rsidR="003673E3" w:rsidRPr="001F52A8">
        <w:rPr>
          <w:rFonts w:cstheme="minorHAnsi"/>
        </w:rPr>
        <w:t>”</w:t>
      </w:r>
      <w:r w:rsidR="00572180" w:rsidRPr="001F52A8">
        <w:rPr>
          <w:rFonts w:cstheme="minorHAnsi"/>
        </w:rPr>
        <w:t>;</w:t>
      </w:r>
      <w:r w:rsidR="003673E3" w:rsidRPr="001F52A8">
        <w:rPr>
          <w:rStyle w:val="FootnoteReference"/>
          <w:rFonts w:cstheme="minorHAnsi"/>
        </w:rPr>
        <w:footnoteReference w:id="278"/>
      </w:r>
      <w:r w:rsidR="003673E3" w:rsidRPr="001F52A8">
        <w:rPr>
          <w:rFonts w:cstheme="minorHAnsi"/>
        </w:rPr>
        <w:t xml:space="preserve"> </w:t>
      </w:r>
      <w:r w:rsidR="00572180" w:rsidRPr="001F52A8">
        <w:rPr>
          <w:rFonts w:cstheme="minorHAnsi"/>
        </w:rPr>
        <w:t>further, he</w:t>
      </w:r>
      <w:r w:rsidR="00F93BB4" w:rsidRPr="001F52A8">
        <w:rPr>
          <w:rFonts w:cstheme="minorHAnsi"/>
        </w:rPr>
        <w:t xml:space="preserve"> “</w:t>
      </w:r>
      <w:r w:rsidR="003B405D" w:rsidRPr="001F52A8">
        <w:rPr>
          <w:rFonts w:cstheme="minorHAnsi"/>
        </w:rPr>
        <w:t>refuses to be an alternative to Yahweh, who has already made his position clear (v. 16). There is no space between Yahweh and himself</w:t>
      </w:r>
      <w:r w:rsidR="002206E0" w:rsidRPr="001F52A8">
        <w:rPr>
          <w:rFonts w:cstheme="minorHAnsi"/>
        </w:rPr>
        <w:t xml:space="preserve"> </w:t>
      </w:r>
      <w:r w:rsidR="003B405D" w:rsidRPr="001F52A8">
        <w:rPr>
          <w:rFonts w:cstheme="minorHAnsi"/>
        </w:rPr>
        <w:t>that can be exploited.</w:t>
      </w:r>
      <w:r w:rsidR="003003C3" w:rsidRPr="001F52A8">
        <w:rPr>
          <w:rFonts w:cstheme="minorHAnsi"/>
        </w:rPr>
        <w:t>”</w:t>
      </w:r>
      <w:r w:rsidR="00381912" w:rsidRPr="001F52A8">
        <w:rPr>
          <w:rStyle w:val="FootnoteReference"/>
          <w:rFonts w:cstheme="minorHAnsi"/>
        </w:rPr>
        <w:t xml:space="preserve"> </w:t>
      </w:r>
      <w:r w:rsidR="00223D54" w:rsidRPr="001F52A8">
        <w:rPr>
          <w:rFonts w:cstheme="minorHAnsi"/>
        </w:rPr>
        <w:t>Commonly, a</w:t>
      </w:r>
      <w:r w:rsidR="0022639E" w:rsidRPr="001F52A8">
        <w:rPr>
          <w:rFonts w:cstheme="minorHAnsi"/>
        </w:rPr>
        <w:t xml:space="preserve"> </w:t>
      </w:r>
      <w:r w:rsidR="0005465E" w:rsidRPr="001F52A8">
        <w:rPr>
          <w:rFonts w:cstheme="minorHAnsi"/>
        </w:rPr>
        <w:t>prophet’s vocation is to encourage a king before a battle and tell hi</w:t>
      </w:r>
      <w:r w:rsidR="008F2FDB" w:rsidRPr="001F52A8">
        <w:rPr>
          <w:rFonts w:cstheme="minorHAnsi"/>
        </w:rPr>
        <w:t>m</w:t>
      </w:r>
      <w:r w:rsidR="0005465E" w:rsidRPr="001F52A8">
        <w:rPr>
          <w:rFonts w:cstheme="minorHAnsi"/>
        </w:rPr>
        <w:t xml:space="preserve"> not to </w:t>
      </w:r>
      <w:r w:rsidR="00BC56CE" w:rsidRPr="001F52A8">
        <w:rPr>
          <w:rFonts w:cstheme="minorHAnsi"/>
        </w:rPr>
        <w:t>be afraid</w:t>
      </w:r>
      <w:r w:rsidR="008F2FDB" w:rsidRPr="001F52A8">
        <w:rPr>
          <w:rFonts w:cstheme="minorHAnsi"/>
        </w:rPr>
        <w:t xml:space="preserve"> (cf. Isa 7:4)</w:t>
      </w:r>
      <w:r w:rsidR="00BC56CE" w:rsidRPr="001F52A8">
        <w:rPr>
          <w:rFonts w:cstheme="minorHAnsi"/>
        </w:rPr>
        <w:t xml:space="preserve">, </w:t>
      </w:r>
      <w:r w:rsidR="00F772AD" w:rsidRPr="001F52A8">
        <w:rPr>
          <w:rFonts w:cstheme="minorHAnsi"/>
        </w:rPr>
        <w:t xml:space="preserve">and Jonathan </w:t>
      </w:r>
      <w:r w:rsidR="00FD1B5F" w:rsidRPr="001F52A8">
        <w:rPr>
          <w:rFonts w:cstheme="minorHAnsi"/>
        </w:rPr>
        <w:t xml:space="preserve">once </w:t>
      </w:r>
      <w:r w:rsidR="00F772AD" w:rsidRPr="001F52A8">
        <w:rPr>
          <w:rFonts w:cstheme="minorHAnsi"/>
        </w:rPr>
        <w:t xml:space="preserve">gave </w:t>
      </w:r>
      <w:r w:rsidR="00FD1B5F" w:rsidRPr="001F52A8">
        <w:rPr>
          <w:rFonts w:cstheme="minorHAnsi"/>
        </w:rPr>
        <w:t xml:space="preserve">David that kind of encouragement (23:17), </w:t>
      </w:r>
      <w:r w:rsidR="00BC56CE" w:rsidRPr="001F52A8">
        <w:rPr>
          <w:rFonts w:cstheme="minorHAnsi"/>
        </w:rPr>
        <w:t>but Samuel will not fulfill the role.</w:t>
      </w:r>
      <w:r w:rsidR="003003C3" w:rsidRPr="001F52A8">
        <w:rPr>
          <w:rStyle w:val="FootnoteReference"/>
          <w:rFonts w:cstheme="minorHAnsi"/>
        </w:rPr>
        <w:footnoteReference w:id="279"/>
      </w:r>
      <w:r w:rsidR="002206E0" w:rsidRPr="001F52A8">
        <w:rPr>
          <w:rFonts w:cstheme="minorHAnsi"/>
        </w:rPr>
        <w:t xml:space="preserve"> H</w:t>
      </w:r>
      <w:r w:rsidR="00DD51A0" w:rsidRPr="001F52A8">
        <w:rPr>
          <w:rFonts w:cstheme="minorHAnsi"/>
        </w:rPr>
        <w:t>e</w:t>
      </w:r>
      <w:r w:rsidR="003C31D0" w:rsidRPr="001F52A8">
        <w:rPr>
          <w:rFonts w:cstheme="minorHAnsi"/>
        </w:rPr>
        <w:t xml:space="preserve"> </w:t>
      </w:r>
      <w:r w:rsidR="000320BF" w:rsidRPr="001F52A8">
        <w:rPr>
          <w:rFonts w:cstheme="minorHAnsi"/>
        </w:rPr>
        <w:t xml:space="preserve">reaffirms the </w:t>
      </w:r>
      <w:r w:rsidR="0097170F" w:rsidRPr="001F52A8">
        <w:rPr>
          <w:rFonts w:cstheme="minorHAnsi"/>
        </w:rPr>
        <w:t xml:space="preserve">message he gave Saul after the Amalek event and tells him </w:t>
      </w:r>
      <w:r w:rsidR="00756E12" w:rsidRPr="001F52A8">
        <w:rPr>
          <w:rFonts w:cstheme="minorHAnsi"/>
        </w:rPr>
        <w:t xml:space="preserve">that he and his sons will die in the battle next day. </w:t>
      </w:r>
      <w:r w:rsidR="00905AA8" w:rsidRPr="001F52A8">
        <w:rPr>
          <w:rFonts w:ascii="Calibri" w:hAnsi="Calibri" w:cs="Calibri"/>
        </w:rPr>
        <w:t>“He returns from the dead to cut through all the events that have occurred since 1 Samuel 15.”</w:t>
      </w:r>
      <w:r w:rsidR="00905AA8" w:rsidRPr="001F52A8">
        <w:rPr>
          <w:rStyle w:val="FootnoteReference"/>
          <w:rFonts w:ascii="Calibri" w:hAnsi="Calibri" w:cs="Calibri"/>
        </w:rPr>
        <w:footnoteReference w:id="280"/>
      </w:r>
      <w:r w:rsidR="008D252B" w:rsidRPr="001F52A8">
        <w:rPr>
          <w:rFonts w:ascii="Calibri" w:hAnsi="Calibri" w:cs="Calibri"/>
        </w:rPr>
        <w:t xml:space="preserve"> The one things </w:t>
      </w:r>
      <w:r w:rsidR="00A64890">
        <w:rPr>
          <w:rFonts w:ascii="Calibri" w:hAnsi="Calibri" w:cs="Calibri"/>
        </w:rPr>
        <w:t>he</w:t>
      </w:r>
      <w:r w:rsidR="008D252B" w:rsidRPr="001F52A8">
        <w:rPr>
          <w:rFonts w:ascii="Calibri" w:hAnsi="Calibri" w:cs="Calibri"/>
        </w:rPr>
        <w:t xml:space="preserve"> adds </w:t>
      </w:r>
      <w:r w:rsidR="008D4894" w:rsidRPr="001F52A8">
        <w:rPr>
          <w:rFonts w:ascii="Calibri" w:hAnsi="Calibri" w:cs="Calibri"/>
        </w:rPr>
        <w:t xml:space="preserve">to his earlier messages is the identification of </w:t>
      </w:r>
      <w:r w:rsidR="008D4894" w:rsidRPr="001F52A8">
        <w:rPr>
          <w:lang w:bidi="he-IL"/>
        </w:rPr>
        <w:t>t</w:t>
      </w:r>
      <w:r w:rsidR="008D252B" w:rsidRPr="001F52A8">
        <w:rPr>
          <w:lang w:bidi="he-IL"/>
        </w:rPr>
        <w:t xml:space="preserve">he neighbor </w:t>
      </w:r>
      <w:r w:rsidR="002A558B" w:rsidRPr="001F52A8">
        <w:rPr>
          <w:lang w:bidi="he-IL"/>
        </w:rPr>
        <w:t>to whom God will give the kingship</w:t>
      </w:r>
      <w:r w:rsidR="008D252B" w:rsidRPr="001F52A8">
        <w:rPr>
          <w:lang w:bidi="he-IL"/>
        </w:rPr>
        <w:t xml:space="preserve"> (28:17). It constitutes a prophetic confirmation of what Achish’s men have said (21:11 [12])</w:t>
      </w:r>
      <w:r w:rsidR="00BB5C47">
        <w:rPr>
          <w:lang w:bidi="he-IL"/>
        </w:rPr>
        <w:t>,</w:t>
      </w:r>
      <w:r w:rsidR="008D252B" w:rsidRPr="001F52A8">
        <w:rPr>
          <w:lang w:bidi="he-IL"/>
        </w:rPr>
        <w:t xml:space="preserve"> Jonathan has said (23:17) and Saul himself has said (24:20).</w:t>
      </w:r>
    </w:p>
    <w:p w14:paraId="31320C11" w14:textId="77777777" w:rsidR="00B97641" w:rsidRPr="001F52A8" w:rsidRDefault="00B97641" w:rsidP="002B6952"/>
    <w:p w14:paraId="3A1CE82A" w14:textId="65DC0C31" w:rsidR="00985998" w:rsidRPr="001F52A8" w:rsidRDefault="0071061E" w:rsidP="00B97641">
      <w:pPr>
        <w:pStyle w:val="Quote"/>
      </w:pPr>
      <w:r w:rsidRPr="001F52A8">
        <w:t xml:space="preserve">Why should Saul ask the witch to call up Samuel, of all people? Because Saul knows that Samuel can be relied upon to speak the truth to him; Samuel is the plumb line of truthfulness, in the narrative, and Saul knows it: “With Samuel, Saul is forced back to </w:t>
      </w:r>
      <w:r w:rsidRPr="001F52A8">
        <w:lastRenderedPageBreak/>
        <w:t>brutal reality, away from brutal illusion. He has been battling David all this time, as he thought, but in reality he has been battling Yahweh</w:t>
      </w:r>
      <w:r w:rsidR="002E5D94" w:rsidRPr="001F52A8">
        <w:t>.</w:t>
      </w:r>
      <w:r w:rsidRPr="001F52A8">
        <w:t>”</w:t>
      </w:r>
      <w:r w:rsidR="00263F1D" w:rsidRPr="001F52A8">
        <w:t xml:space="preserve"> . . . </w:t>
      </w:r>
      <w:r w:rsidR="00B97641" w:rsidRPr="001F52A8">
        <w:t>T</w:t>
      </w:r>
      <w:r w:rsidR="00985998" w:rsidRPr="001F52A8">
        <w:t>his meeting between Saul and Samuel</w:t>
      </w:r>
      <w:r w:rsidR="00B97641" w:rsidRPr="001F52A8">
        <w:t>. . .</w:t>
      </w:r>
      <w:r w:rsidR="00985998" w:rsidRPr="001F52A8">
        <w:t xml:space="preserve"> is like an inverted version of their first, divinely guided meeting. In the first encounter, Saul did not intend to meet Samuel, but does, and is involuntarily offered the kingdom; in their last meeting, he wills to meet Samuel and is told that his army will fall “into the hand of the Philistines” because the “kingdom” has been given by God “to David” (1 Sam. 28:19, 17).</w:t>
      </w:r>
      <w:r w:rsidR="00854560" w:rsidRPr="001F52A8">
        <w:rPr>
          <w:rStyle w:val="FootnoteReference"/>
        </w:rPr>
        <w:footnoteReference w:id="281"/>
      </w:r>
    </w:p>
    <w:p w14:paraId="1168152C" w14:textId="77777777" w:rsidR="00854560" w:rsidRPr="001F52A8" w:rsidRDefault="00854560" w:rsidP="00854560">
      <w:pPr>
        <w:rPr>
          <w:lang w:bidi="he-IL"/>
        </w:rPr>
      </w:pPr>
    </w:p>
    <w:p w14:paraId="2BAF3D7D" w14:textId="561FA7F6" w:rsidR="00847EF9" w:rsidRPr="001F52A8" w:rsidRDefault="004E3D01" w:rsidP="00847EF9">
      <w:pPr>
        <w:ind w:firstLine="0"/>
        <w:rPr>
          <w:rFonts w:cstheme="minorHAnsi"/>
        </w:rPr>
      </w:pPr>
      <w:r>
        <w:rPr>
          <w:lang w:bidi="he-IL"/>
        </w:rPr>
        <w:t>T</w:t>
      </w:r>
      <w:r w:rsidRPr="001F52A8">
        <w:rPr>
          <w:lang w:bidi="he-IL"/>
        </w:rPr>
        <w:t>he story can be read as sympathetic to Saul and to the medium</w:t>
      </w:r>
      <w:r w:rsidR="008D0F98">
        <w:rPr>
          <w:lang w:bidi="he-IL"/>
        </w:rPr>
        <w:t>. T</w:t>
      </w:r>
      <w:r w:rsidR="00656730" w:rsidRPr="001F52A8">
        <w:rPr>
          <w:rFonts w:cstheme="minorHAnsi"/>
        </w:rPr>
        <w:t xml:space="preserve">he woman is </w:t>
      </w:r>
      <w:r w:rsidR="004F7929" w:rsidRPr="001F52A8">
        <w:rPr>
          <w:rFonts w:cstheme="minorHAnsi"/>
        </w:rPr>
        <w:t xml:space="preserve">not a witch but </w:t>
      </w:r>
      <w:r w:rsidR="00656730" w:rsidRPr="001F52A8">
        <w:rPr>
          <w:rFonts w:cstheme="minorHAnsi"/>
        </w:rPr>
        <w:t xml:space="preserve">a seer </w:t>
      </w:r>
      <w:r w:rsidR="00D37914" w:rsidRPr="001F52A8">
        <w:rPr>
          <w:rFonts w:cstheme="minorHAnsi"/>
        </w:rPr>
        <w:t xml:space="preserve">who brings the word of Yahweh to Saul in a way that </w:t>
      </w:r>
      <w:r w:rsidR="004F7929" w:rsidRPr="001F52A8">
        <w:rPr>
          <w:rFonts w:cstheme="minorHAnsi"/>
        </w:rPr>
        <w:t xml:space="preserve">maybe </w:t>
      </w:r>
      <w:r w:rsidR="00D37914" w:rsidRPr="001F52A8">
        <w:rPr>
          <w:rFonts w:cstheme="minorHAnsi"/>
        </w:rPr>
        <w:t>he finally hears</w:t>
      </w:r>
      <w:r w:rsidR="008D0F98">
        <w:rPr>
          <w:rFonts w:cstheme="minorHAnsi"/>
        </w:rPr>
        <w:t>,</w:t>
      </w:r>
      <w:r w:rsidR="004F7929" w:rsidRPr="001F52A8">
        <w:rPr>
          <w:rStyle w:val="FootnoteReference"/>
          <w:rFonts w:cstheme="minorHAnsi"/>
        </w:rPr>
        <w:footnoteReference w:id="282"/>
      </w:r>
      <w:r w:rsidR="00847EF9" w:rsidRPr="001F52A8">
        <w:rPr>
          <w:rFonts w:cstheme="minorHAnsi"/>
        </w:rPr>
        <w:t xml:space="preserve"> </w:t>
      </w:r>
      <w:r w:rsidR="008D0F98">
        <w:rPr>
          <w:rFonts w:cstheme="minorHAnsi"/>
        </w:rPr>
        <w:t>and a</w:t>
      </w:r>
      <w:r w:rsidR="00EE0B9C" w:rsidRPr="001F52A8">
        <w:rPr>
          <w:rFonts w:cstheme="minorHAnsi"/>
        </w:rPr>
        <w:t>fterwards she</w:t>
      </w:r>
      <w:r w:rsidR="00884AA9" w:rsidRPr="001F52A8">
        <w:rPr>
          <w:rFonts w:cstheme="minorHAnsi"/>
        </w:rPr>
        <w:t xml:space="preserve"> mak</w:t>
      </w:r>
      <w:r w:rsidR="0025771B" w:rsidRPr="001F52A8">
        <w:rPr>
          <w:rFonts w:cstheme="minorHAnsi"/>
        </w:rPr>
        <w:t>es</w:t>
      </w:r>
      <w:r w:rsidR="00884AA9" w:rsidRPr="001F52A8">
        <w:rPr>
          <w:rFonts w:cstheme="minorHAnsi"/>
        </w:rPr>
        <w:t xml:space="preserve"> a meal for </w:t>
      </w:r>
      <w:r w:rsidR="00215527">
        <w:rPr>
          <w:rFonts w:cstheme="minorHAnsi"/>
        </w:rPr>
        <w:t>him</w:t>
      </w:r>
      <w:r w:rsidR="00884AA9" w:rsidRPr="001F52A8">
        <w:rPr>
          <w:rFonts w:cstheme="minorHAnsi"/>
        </w:rPr>
        <w:t xml:space="preserve"> before he sets o</w:t>
      </w:r>
      <w:r w:rsidR="00CE5B17">
        <w:rPr>
          <w:rFonts w:cstheme="minorHAnsi"/>
        </w:rPr>
        <w:t>f</w:t>
      </w:r>
      <w:r w:rsidR="00884AA9" w:rsidRPr="001F52A8">
        <w:rPr>
          <w:rFonts w:cstheme="minorHAnsi"/>
        </w:rPr>
        <w:t>f on his journey back to the camp</w:t>
      </w:r>
      <w:r w:rsidR="009150E1" w:rsidRPr="001F52A8">
        <w:rPr>
          <w:rFonts w:cstheme="minorHAnsi"/>
        </w:rPr>
        <w:t xml:space="preserve">; </w:t>
      </w:r>
      <w:r w:rsidR="006C5EAB">
        <w:rPr>
          <w:rFonts w:cstheme="minorHAnsi"/>
        </w:rPr>
        <w:t>a meal</w:t>
      </w:r>
      <w:r w:rsidR="009150E1" w:rsidRPr="001F52A8">
        <w:rPr>
          <w:rFonts w:cstheme="minorHAnsi"/>
        </w:rPr>
        <w:t xml:space="preserve"> is perhaps part of the séance process</w:t>
      </w:r>
      <w:r w:rsidR="00884AA9" w:rsidRPr="001F52A8">
        <w:rPr>
          <w:rFonts w:cstheme="minorHAnsi"/>
        </w:rPr>
        <w:t>.</w:t>
      </w:r>
      <w:r w:rsidR="00661832" w:rsidRPr="001F52A8">
        <w:rPr>
          <w:rFonts w:cstheme="minorHAnsi"/>
        </w:rPr>
        <w:t xml:space="preserve"> </w:t>
      </w:r>
    </w:p>
    <w:p w14:paraId="4F44E776" w14:textId="48C6B78E" w:rsidR="00037B16" w:rsidRPr="001F52A8" w:rsidRDefault="00435493" w:rsidP="003C13C1">
      <w:pPr>
        <w:rPr>
          <w:lang w:bidi="he-IL"/>
        </w:rPr>
      </w:pPr>
      <w:r w:rsidRPr="001F52A8">
        <w:rPr>
          <w:lang w:bidi="he-IL"/>
        </w:rPr>
        <w:t>The narrative takes a quite matter-of-fact for</w:t>
      </w:r>
      <w:r w:rsidR="00FC0632" w:rsidRPr="001F52A8">
        <w:rPr>
          <w:lang w:bidi="he-IL"/>
        </w:rPr>
        <w:t>m</w:t>
      </w:r>
      <w:r w:rsidR="006828CA">
        <w:rPr>
          <w:lang w:bidi="he-IL"/>
        </w:rPr>
        <w:t xml:space="preserve"> and</w:t>
      </w:r>
      <w:r w:rsidR="0028280F" w:rsidRPr="001F52A8">
        <w:rPr>
          <w:lang w:bidi="he-IL"/>
        </w:rPr>
        <w:t xml:space="preserve"> </w:t>
      </w:r>
      <w:r w:rsidR="005A6F38" w:rsidRPr="001F52A8">
        <w:rPr>
          <w:lang w:bidi="he-IL"/>
        </w:rPr>
        <w:t>raises no questions about the</w:t>
      </w:r>
      <w:r w:rsidR="00991F42" w:rsidRPr="001F52A8">
        <w:rPr>
          <w:lang w:bidi="he-IL"/>
        </w:rPr>
        <w:t xml:space="preserve"> </w:t>
      </w:r>
      <w:r w:rsidR="005A6F38" w:rsidRPr="001F52A8">
        <w:rPr>
          <w:lang w:bidi="he-IL"/>
        </w:rPr>
        <w:t>possibility of contacting dead people</w:t>
      </w:r>
      <w:r w:rsidR="006828CA">
        <w:rPr>
          <w:lang w:bidi="he-IL"/>
        </w:rPr>
        <w:t>. I</w:t>
      </w:r>
      <w:r w:rsidR="00B9069A" w:rsidRPr="001F52A8">
        <w:rPr>
          <w:lang w:bidi="he-IL"/>
        </w:rPr>
        <w:t>t</w:t>
      </w:r>
      <w:r w:rsidR="00B24044" w:rsidRPr="001F52A8">
        <w:rPr>
          <w:lang w:bidi="he-IL"/>
        </w:rPr>
        <w:t xml:space="preserve"> thus compares with the attitude </w:t>
      </w:r>
      <w:r w:rsidR="00F66F7E" w:rsidRPr="001F52A8">
        <w:rPr>
          <w:lang w:bidi="he-IL"/>
        </w:rPr>
        <w:t>taken elsewhere in the First Testament</w:t>
      </w:r>
      <w:r w:rsidR="008949B3" w:rsidRPr="001F52A8">
        <w:rPr>
          <w:lang w:bidi="he-IL"/>
        </w:rPr>
        <w:t xml:space="preserve"> (e.g., Lev 19:31; </w:t>
      </w:r>
      <w:r w:rsidR="005820DF" w:rsidRPr="001F52A8">
        <w:rPr>
          <w:lang w:bidi="he-IL"/>
        </w:rPr>
        <w:t>20:6</w:t>
      </w:r>
      <w:r w:rsidR="00E052E0" w:rsidRPr="001F52A8">
        <w:rPr>
          <w:lang w:bidi="he-IL"/>
        </w:rPr>
        <w:t>, 27</w:t>
      </w:r>
      <w:r w:rsidR="00F66F7E" w:rsidRPr="001F52A8">
        <w:rPr>
          <w:lang w:bidi="he-IL"/>
        </w:rPr>
        <w:t xml:space="preserve">; </w:t>
      </w:r>
      <w:r w:rsidR="00E052E0" w:rsidRPr="001F52A8">
        <w:rPr>
          <w:lang w:bidi="he-IL"/>
        </w:rPr>
        <w:t xml:space="preserve">Deut 18:11; </w:t>
      </w:r>
      <w:r w:rsidR="00F66F7E" w:rsidRPr="001F52A8">
        <w:rPr>
          <w:lang w:bidi="he-IL"/>
        </w:rPr>
        <w:t>2 Kgs 21:6; Isa 8:19</w:t>
      </w:r>
      <w:r w:rsidR="00C268AE" w:rsidRPr="001F52A8">
        <w:rPr>
          <w:lang w:bidi="he-IL"/>
        </w:rPr>
        <w:t>)</w:t>
      </w:r>
      <w:r w:rsidR="00B24044" w:rsidRPr="001F52A8">
        <w:rPr>
          <w:lang w:bidi="he-IL"/>
        </w:rPr>
        <w:t xml:space="preserve">, which </w:t>
      </w:r>
      <w:r w:rsidR="008F5F8F" w:rsidRPr="001F52A8">
        <w:rPr>
          <w:lang w:bidi="he-IL"/>
        </w:rPr>
        <w:t>does not question the possibility</w:t>
      </w:r>
      <w:r w:rsidR="00B24044" w:rsidRPr="001F52A8">
        <w:rPr>
          <w:lang w:bidi="he-IL"/>
        </w:rPr>
        <w:t xml:space="preserve"> </w:t>
      </w:r>
      <w:r w:rsidR="007B380B" w:rsidRPr="001F52A8">
        <w:rPr>
          <w:lang w:bidi="he-IL"/>
        </w:rPr>
        <w:t xml:space="preserve">but does </w:t>
      </w:r>
      <w:r w:rsidR="008F5F8F" w:rsidRPr="001F52A8">
        <w:rPr>
          <w:lang w:bidi="he-IL"/>
        </w:rPr>
        <w:t xml:space="preserve">forbid </w:t>
      </w:r>
      <w:r w:rsidR="006C5EAB" w:rsidRPr="001F52A8">
        <w:rPr>
          <w:lang w:bidi="he-IL"/>
        </w:rPr>
        <w:t>such activity</w:t>
      </w:r>
      <w:r w:rsidR="007B380B" w:rsidRPr="001F52A8">
        <w:rPr>
          <w:lang w:bidi="he-IL"/>
        </w:rPr>
        <w:t xml:space="preserve">. </w:t>
      </w:r>
      <w:r w:rsidR="00CC2076" w:rsidRPr="001F52A8">
        <w:rPr>
          <w:lang w:bidi="he-IL"/>
        </w:rPr>
        <w:t xml:space="preserve">After Second Temple times, </w:t>
      </w:r>
      <w:r w:rsidR="00677401" w:rsidRPr="001F52A8">
        <w:rPr>
          <w:lang w:bidi="he-IL"/>
        </w:rPr>
        <w:t>the story became more puzzling</w:t>
      </w:r>
      <w:r w:rsidR="00E00694" w:rsidRPr="001F52A8">
        <w:rPr>
          <w:lang w:bidi="he-IL"/>
        </w:rPr>
        <w:t>, partly because</w:t>
      </w:r>
      <w:r w:rsidR="00CC2076" w:rsidRPr="001F52A8">
        <w:rPr>
          <w:lang w:bidi="he-IL"/>
        </w:rPr>
        <w:t xml:space="preserve"> </w:t>
      </w:r>
      <w:r w:rsidR="00346EA8" w:rsidRPr="001F52A8">
        <w:rPr>
          <w:lang w:bidi="he-IL"/>
        </w:rPr>
        <w:t xml:space="preserve">Jews and Christians had come to assume the existence of </w:t>
      </w:r>
      <w:r w:rsidR="00E00694" w:rsidRPr="001F52A8">
        <w:rPr>
          <w:lang w:bidi="he-IL"/>
        </w:rPr>
        <w:t>Satan</w:t>
      </w:r>
      <w:r w:rsidR="00174EF3" w:rsidRPr="001F52A8">
        <w:rPr>
          <w:lang w:bidi="he-IL"/>
        </w:rPr>
        <w:t>, of resurrection, and of</w:t>
      </w:r>
      <w:r w:rsidR="00E00694" w:rsidRPr="001F52A8">
        <w:rPr>
          <w:lang w:bidi="he-IL"/>
        </w:rPr>
        <w:t xml:space="preserve"> </w:t>
      </w:r>
      <w:r w:rsidR="00346EA8" w:rsidRPr="001F52A8">
        <w:rPr>
          <w:lang w:bidi="he-IL"/>
        </w:rPr>
        <w:t>heaven and hell</w:t>
      </w:r>
      <w:r w:rsidR="00174EF3" w:rsidRPr="001F52A8">
        <w:rPr>
          <w:lang w:bidi="he-IL"/>
        </w:rPr>
        <w:t>.</w:t>
      </w:r>
      <w:r w:rsidR="00FE27E0" w:rsidRPr="001F52A8">
        <w:rPr>
          <w:lang w:bidi="he-IL"/>
        </w:rPr>
        <w:t xml:space="preserve"> Like modern readers, Jewish and Christian readers </w:t>
      </w:r>
      <w:r w:rsidR="0029189E" w:rsidRPr="001F52A8">
        <w:rPr>
          <w:lang w:bidi="he-IL"/>
        </w:rPr>
        <w:t xml:space="preserve">might </w:t>
      </w:r>
      <w:r w:rsidR="001D3362" w:rsidRPr="001F52A8">
        <w:rPr>
          <w:lang w:bidi="he-IL"/>
        </w:rPr>
        <w:t xml:space="preserve">then </w:t>
      </w:r>
      <w:r w:rsidR="0029189E" w:rsidRPr="001F52A8">
        <w:rPr>
          <w:lang w:bidi="he-IL"/>
        </w:rPr>
        <w:t>be disinclined to take the story literally</w:t>
      </w:r>
      <w:r w:rsidR="009D3C2B" w:rsidRPr="001F52A8">
        <w:rPr>
          <w:lang w:bidi="he-IL"/>
        </w:rPr>
        <w:t>.</w:t>
      </w:r>
      <w:r w:rsidR="00BB56DC" w:rsidRPr="001F52A8">
        <w:rPr>
          <w:lang w:bidi="he-IL"/>
        </w:rPr>
        <w:t xml:space="preserve"> </w:t>
      </w:r>
      <w:r w:rsidR="008B349C" w:rsidRPr="001F52A8">
        <w:t>While</w:t>
      </w:r>
      <w:r w:rsidR="00CD0641" w:rsidRPr="001F52A8">
        <w:rPr>
          <w:lang w:bidi="he-IL"/>
        </w:rPr>
        <w:t xml:space="preserve"> </w:t>
      </w:r>
      <w:r w:rsidR="000404DF" w:rsidRPr="001F52A8">
        <w:t xml:space="preserve">Samuel </w:t>
      </w:r>
      <w:r w:rsidR="006C5EAB">
        <w:t xml:space="preserve">in general </w:t>
      </w:r>
      <w:r w:rsidR="000404DF" w:rsidRPr="001F52A8">
        <w:t xml:space="preserve">did not attract the attention of </w:t>
      </w:r>
      <w:r w:rsidR="008B349C" w:rsidRPr="001F52A8">
        <w:t xml:space="preserve">Jewish and </w:t>
      </w:r>
      <w:r w:rsidR="000404DF" w:rsidRPr="001F52A8">
        <w:t xml:space="preserve">Christian writers over the centuries </w:t>
      </w:r>
      <w:r w:rsidR="006C5EAB">
        <w:t>as</w:t>
      </w:r>
      <w:r w:rsidR="000404DF" w:rsidRPr="001F52A8">
        <w:t xml:space="preserve"> Genesis</w:t>
      </w:r>
      <w:r w:rsidR="006C5EAB">
        <w:t>,</w:t>
      </w:r>
      <w:r w:rsidR="000404DF" w:rsidRPr="001F52A8">
        <w:t xml:space="preserve"> Psalms</w:t>
      </w:r>
      <w:r w:rsidR="006C5EAB">
        <w:t>,</w:t>
      </w:r>
      <w:r w:rsidR="000404DF" w:rsidRPr="001F52A8">
        <w:t xml:space="preserve"> or Isaiah did</w:t>
      </w:r>
      <w:r w:rsidR="008B349C" w:rsidRPr="001F52A8">
        <w:t>,</w:t>
      </w:r>
      <w:r w:rsidR="00996F4E" w:rsidRPr="001F52A8">
        <w:rPr>
          <w:rStyle w:val="FootnoteReference"/>
        </w:rPr>
        <w:footnoteReference w:id="283"/>
      </w:r>
      <w:r w:rsidR="008B349C" w:rsidRPr="001F52A8">
        <w:t xml:space="preserve"> Saul and the medium did </w:t>
      </w:r>
      <w:r w:rsidR="006C5EAB">
        <w:t>draw</w:t>
      </w:r>
      <w:r w:rsidR="008B349C" w:rsidRPr="001F52A8">
        <w:t xml:space="preserve"> their attention</w:t>
      </w:r>
      <w:r w:rsidR="00AB5711" w:rsidRPr="001F52A8">
        <w:t>.</w:t>
      </w:r>
      <w:r w:rsidR="000404DF" w:rsidRPr="001F52A8">
        <w:t xml:space="preserve"> </w:t>
      </w:r>
      <w:r w:rsidR="00BB56DC" w:rsidRPr="001F52A8">
        <w:rPr>
          <w:lang w:bidi="he-IL"/>
        </w:rPr>
        <w:t xml:space="preserve">Nicely, </w:t>
      </w:r>
      <w:r w:rsidR="00734291" w:rsidRPr="001F52A8">
        <w:rPr>
          <w:lang w:bidi="he-IL"/>
        </w:rPr>
        <w:t xml:space="preserve">Origen insists on a literal interpretation against people </w:t>
      </w:r>
      <w:r w:rsidR="00652217" w:rsidRPr="001F52A8">
        <w:rPr>
          <w:lang w:bidi="he-IL"/>
        </w:rPr>
        <w:t xml:space="preserve">such as Tertullian </w:t>
      </w:r>
      <w:r w:rsidR="00734291" w:rsidRPr="001F52A8">
        <w:rPr>
          <w:lang w:bidi="he-IL"/>
        </w:rPr>
        <w:t xml:space="preserve">who </w:t>
      </w:r>
      <w:r w:rsidR="00652217" w:rsidRPr="001F52A8">
        <w:rPr>
          <w:lang w:bidi="he-IL"/>
        </w:rPr>
        <w:t>read the story figuratively</w:t>
      </w:r>
      <w:r w:rsidR="00CC1C0F">
        <w:rPr>
          <w:lang w:bidi="he-IL"/>
        </w:rPr>
        <w:t xml:space="preserve"> and believed that</w:t>
      </w:r>
      <w:r w:rsidR="00300E30">
        <w:rPr>
          <w:lang w:bidi="he-IL"/>
        </w:rPr>
        <w:t xml:space="preserve"> </w:t>
      </w:r>
      <w:r w:rsidR="00AB39EC" w:rsidRPr="001F52A8">
        <w:rPr>
          <w:lang w:bidi="he-IL"/>
        </w:rPr>
        <w:lastRenderedPageBreak/>
        <w:t>Satan generated an apparition of Samuel</w:t>
      </w:r>
      <w:r w:rsidR="00652217" w:rsidRPr="001F52A8">
        <w:rPr>
          <w:lang w:bidi="he-IL"/>
        </w:rPr>
        <w:t>.</w:t>
      </w:r>
      <w:r w:rsidR="009C158A" w:rsidRPr="001F52A8">
        <w:rPr>
          <w:rStyle w:val="FootnoteReference"/>
          <w:lang w:bidi="he-IL"/>
        </w:rPr>
        <w:footnoteReference w:id="284"/>
      </w:r>
      <w:r w:rsidR="00BB56DC" w:rsidRPr="001F52A8">
        <w:rPr>
          <w:lang w:bidi="he-IL"/>
        </w:rPr>
        <w:t xml:space="preserve"> </w:t>
      </w:r>
      <w:r w:rsidR="00C134B3" w:rsidRPr="001F52A8">
        <w:rPr>
          <w:lang w:bidi="he-IL"/>
        </w:rPr>
        <w:t xml:space="preserve">In </w:t>
      </w:r>
      <w:r w:rsidR="000F790E" w:rsidRPr="001F52A8">
        <w:rPr>
          <w:lang w:bidi="he-IL"/>
        </w:rPr>
        <w:t>the sixteenth through the nineteenth centuries attention focused more on the medium/wit</w:t>
      </w:r>
      <w:r w:rsidR="00D17DA9" w:rsidRPr="001F52A8">
        <w:rPr>
          <w:lang w:bidi="he-IL"/>
        </w:rPr>
        <w:t>c</w:t>
      </w:r>
      <w:r w:rsidR="000F790E" w:rsidRPr="001F52A8">
        <w:rPr>
          <w:lang w:bidi="he-IL"/>
        </w:rPr>
        <w:t>h/prophetess</w:t>
      </w:r>
      <w:r w:rsidR="004D46E3" w:rsidRPr="001F52A8">
        <w:rPr>
          <w:lang w:bidi="he-IL"/>
        </w:rPr>
        <w:t>.</w:t>
      </w:r>
      <w:r w:rsidR="004D46E3" w:rsidRPr="001F52A8">
        <w:rPr>
          <w:rStyle w:val="FootnoteReference"/>
          <w:lang w:bidi="he-IL"/>
        </w:rPr>
        <w:footnoteReference w:id="285"/>
      </w:r>
    </w:p>
    <w:p w14:paraId="4A422C61" w14:textId="614588CA" w:rsidR="001964D5" w:rsidRPr="001F52A8" w:rsidRDefault="00903FBB" w:rsidP="00A31DC9">
      <w:pPr>
        <w:rPr>
          <w:lang w:bidi="he-IL"/>
        </w:rPr>
      </w:pPr>
      <w:r w:rsidRPr="001F52A8">
        <w:rPr>
          <w:lang w:bidi="he-IL"/>
        </w:rPr>
        <w:t xml:space="preserve">The Torah gives no reason for its </w:t>
      </w:r>
      <w:r w:rsidR="007B47C7" w:rsidRPr="001F52A8">
        <w:rPr>
          <w:lang w:bidi="he-IL"/>
        </w:rPr>
        <w:t>prohibition</w:t>
      </w:r>
      <w:r w:rsidR="00193BFE">
        <w:rPr>
          <w:lang w:bidi="he-IL"/>
        </w:rPr>
        <w:t>. It</w:t>
      </w:r>
      <w:r w:rsidR="008F0726" w:rsidRPr="001F52A8">
        <w:rPr>
          <w:lang w:bidi="he-IL"/>
        </w:rPr>
        <w:t xml:space="preserve"> is an aspect of </w:t>
      </w:r>
      <w:r w:rsidR="009E6EF3" w:rsidRPr="001F52A8">
        <w:rPr>
          <w:lang w:bidi="he-IL"/>
        </w:rPr>
        <w:t>repudiating</w:t>
      </w:r>
      <w:r w:rsidR="008F0726" w:rsidRPr="001F52A8">
        <w:rPr>
          <w:lang w:bidi="he-IL"/>
        </w:rPr>
        <w:t xml:space="preserve"> aspects of traditional religion and spirituality</w:t>
      </w:r>
      <w:r w:rsidR="006C373E" w:rsidRPr="001F52A8">
        <w:rPr>
          <w:lang w:bidi="he-IL"/>
        </w:rPr>
        <w:t xml:space="preserve"> such as the use of images of God and </w:t>
      </w:r>
      <w:r w:rsidR="00647D46" w:rsidRPr="001F52A8">
        <w:rPr>
          <w:lang w:bidi="he-IL"/>
        </w:rPr>
        <w:t>tat</w:t>
      </w:r>
      <w:r w:rsidR="009E6EF3" w:rsidRPr="001F52A8">
        <w:rPr>
          <w:lang w:bidi="he-IL"/>
        </w:rPr>
        <w:t>toos</w:t>
      </w:r>
      <w:r w:rsidR="0011626F" w:rsidRPr="001F52A8">
        <w:rPr>
          <w:lang w:bidi="he-IL"/>
        </w:rPr>
        <w:t xml:space="preserve">. </w:t>
      </w:r>
      <w:r w:rsidR="00E06297">
        <w:rPr>
          <w:lang w:bidi="he-IL"/>
        </w:rPr>
        <w:t>C</w:t>
      </w:r>
      <w:r w:rsidR="0011626F" w:rsidRPr="001F52A8">
        <w:rPr>
          <w:lang w:bidi="he-IL"/>
        </w:rPr>
        <w:t xml:space="preserve">onsiderations </w:t>
      </w:r>
      <w:r w:rsidR="00E06297">
        <w:rPr>
          <w:lang w:bidi="he-IL"/>
        </w:rPr>
        <w:t xml:space="preserve">that </w:t>
      </w:r>
      <w:r w:rsidR="008D7528" w:rsidRPr="001F52A8">
        <w:rPr>
          <w:lang w:bidi="he-IL"/>
        </w:rPr>
        <w:t xml:space="preserve">may </w:t>
      </w:r>
      <w:r w:rsidR="0011626F" w:rsidRPr="001F52A8">
        <w:rPr>
          <w:lang w:bidi="he-IL"/>
        </w:rPr>
        <w:t>underly such repudiations</w:t>
      </w:r>
      <w:r w:rsidR="00F07311">
        <w:rPr>
          <w:lang w:bidi="he-IL"/>
        </w:rPr>
        <w:t xml:space="preserve"> are that</w:t>
      </w:r>
      <w:r w:rsidR="00127256" w:rsidRPr="001F52A8">
        <w:rPr>
          <w:lang w:bidi="he-IL"/>
        </w:rPr>
        <w:t xml:space="preserve"> they</w:t>
      </w:r>
      <w:r w:rsidR="008D7528" w:rsidRPr="001F52A8">
        <w:rPr>
          <w:lang w:bidi="he-IL"/>
        </w:rPr>
        <w:t xml:space="preserve"> can</w:t>
      </w:r>
      <w:r w:rsidR="00127256" w:rsidRPr="001F52A8">
        <w:rPr>
          <w:lang w:bidi="he-IL"/>
        </w:rPr>
        <w:t xml:space="preserve"> give a misleading impression of God and of the nature of a relationship with God, and </w:t>
      </w:r>
      <w:r w:rsidR="008D7528" w:rsidRPr="001F52A8">
        <w:rPr>
          <w:lang w:bidi="he-IL"/>
        </w:rPr>
        <w:t>can</w:t>
      </w:r>
      <w:r w:rsidR="00127256" w:rsidRPr="001F52A8">
        <w:rPr>
          <w:lang w:bidi="he-IL"/>
        </w:rPr>
        <w:t xml:space="preserve"> </w:t>
      </w:r>
      <w:r w:rsidR="00AE1775" w:rsidRPr="001F52A8">
        <w:rPr>
          <w:lang w:bidi="he-IL"/>
        </w:rPr>
        <w:t xml:space="preserve">carry implications associated with </w:t>
      </w:r>
      <w:r w:rsidR="003A1660" w:rsidRPr="001F52A8">
        <w:rPr>
          <w:lang w:bidi="he-IL"/>
        </w:rPr>
        <w:t xml:space="preserve">alien </w:t>
      </w:r>
      <w:r w:rsidR="00AE1775" w:rsidRPr="001F52A8">
        <w:rPr>
          <w:lang w:bidi="he-IL"/>
        </w:rPr>
        <w:t xml:space="preserve">religious beliefs </w:t>
      </w:r>
      <w:r w:rsidR="003A1660" w:rsidRPr="001F52A8">
        <w:rPr>
          <w:lang w:bidi="he-IL"/>
        </w:rPr>
        <w:t xml:space="preserve">and </w:t>
      </w:r>
      <w:r w:rsidR="00486D1D" w:rsidRPr="001F52A8">
        <w:rPr>
          <w:lang w:bidi="he-IL"/>
        </w:rPr>
        <w:t xml:space="preserve">draw people into sharing those beliefs and practices. </w:t>
      </w:r>
      <w:r w:rsidR="00085D02" w:rsidRPr="001F52A8">
        <w:rPr>
          <w:lang w:bidi="he-IL"/>
        </w:rPr>
        <w:t xml:space="preserve">Paul takes a similar view of </w:t>
      </w:r>
      <w:r w:rsidR="003A4439" w:rsidRPr="001F52A8">
        <w:rPr>
          <w:lang w:bidi="he-IL"/>
        </w:rPr>
        <w:t>meat sacrificed to other gods (1 Cor 10</w:t>
      </w:r>
      <w:r w:rsidR="00B05EE2" w:rsidRPr="001F52A8">
        <w:rPr>
          <w:lang w:bidi="he-IL"/>
        </w:rPr>
        <w:t>:</w:t>
      </w:r>
      <w:r w:rsidR="00656761" w:rsidRPr="001F52A8">
        <w:rPr>
          <w:lang w:bidi="he-IL"/>
        </w:rPr>
        <w:t xml:space="preserve">14-32). </w:t>
      </w:r>
      <w:r w:rsidR="00AE64DE" w:rsidRPr="001F52A8">
        <w:rPr>
          <w:lang w:bidi="he-IL"/>
        </w:rPr>
        <w:t xml:space="preserve">Outside that context, </w:t>
      </w:r>
      <w:r w:rsidR="00047B7B" w:rsidRPr="001F52A8">
        <w:rPr>
          <w:lang w:bidi="he-IL"/>
        </w:rPr>
        <w:t>some</w:t>
      </w:r>
      <w:r w:rsidR="006C5EAB">
        <w:rPr>
          <w:lang w:bidi="he-IL"/>
        </w:rPr>
        <w:t xml:space="preserve"> </w:t>
      </w:r>
      <w:r w:rsidR="00BB61CD" w:rsidRPr="001F52A8">
        <w:rPr>
          <w:lang w:bidi="he-IL"/>
        </w:rPr>
        <w:t xml:space="preserve">practices </w:t>
      </w:r>
      <w:r w:rsidR="00047B7B" w:rsidRPr="001F52A8">
        <w:rPr>
          <w:lang w:bidi="he-IL"/>
        </w:rPr>
        <w:t xml:space="preserve">associated with other religions </w:t>
      </w:r>
      <w:r w:rsidR="006C5EAB">
        <w:rPr>
          <w:lang w:bidi="he-IL"/>
        </w:rPr>
        <w:t>such as</w:t>
      </w:r>
      <w:r w:rsidR="00BB61CD" w:rsidRPr="001F52A8">
        <w:rPr>
          <w:lang w:bidi="he-IL"/>
        </w:rPr>
        <w:t xml:space="preserve"> tattooing m</w:t>
      </w:r>
      <w:r w:rsidR="00063B23" w:rsidRPr="001F52A8">
        <w:rPr>
          <w:lang w:bidi="he-IL"/>
        </w:rPr>
        <w:t>ight</w:t>
      </w:r>
      <w:r w:rsidR="00BB61CD" w:rsidRPr="001F52A8">
        <w:rPr>
          <w:lang w:bidi="he-IL"/>
        </w:rPr>
        <w:t xml:space="preserve"> be unobjectionable. </w:t>
      </w:r>
      <w:r w:rsidR="006C5EAB">
        <w:rPr>
          <w:lang w:bidi="he-IL"/>
        </w:rPr>
        <w:t>As regards</w:t>
      </w:r>
      <w:r w:rsidR="00AE64DE" w:rsidRPr="001F52A8">
        <w:rPr>
          <w:lang w:bidi="he-IL"/>
        </w:rPr>
        <w:t xml:space="preserve"> recourse to mediums, seeking contact with </w:t>
      </w:r>
      <w:r w:rsidR="00BB61CD" w:rsidRPr="001F52A8">
        <w:rPr>
          <w:lang w:bidi="he-IL"/>
        </w:rPr>
        <w:t xml:space="preserve">family members who have passed </w:t>
      </w:r>
      <w:r w:rsidR="0012342C" w:rsidRPr="001F52A8">
        <w:rPr>
          <w:lang w:bidi="he-IL"/>
        </w:rPr>
        <w:t xml:space="preserve">is not inherently incompatible with faith in Yahweh. </w:t>
      </w:r>
      <w:r w:rsidR="004B3D15" w:rsidRPr="001F52A8">
        <w:rPr>
          <w:lang w:bidi="he-IL"/>
        </w:rPr>
        <w:t xml:space="preserve">But </w:t>
      </w:r>
      <w:r w:rsidR="0012342C" w:rsidRPr="001F52A8">
        <w:rPr>
          <w:lang w:bidi="he-IL"/>
        </w:rPr>
        <w:t xml:space="preserve">Isaiah </w:t>
      </w:r>
      <w:r w:rsidR="00201B88" w:rsidRPr="001F52A8">
        <w:rPr>
          <w:lang w:bidi="he-IL"/>
        </w:rPr>
        <w:t>8:19-20 (admittedly an enigmatic passage)</w:t>
      </w:r>
      <w:r w:rsidR="004B3D15" w:rsidRPr="001F52A8">
        <w:rPr>
          <w:lang w:bidi="he-IL"/>
        </w:rPr>
        <w:t xml:space="preserve"> declares that there </w:t>
      </w:r>
      <w:r w:rsidR="006C5EAB">
        <w:rPr>
          <w:lang w:bidi="he-IL"/>
        </w:rPr>
        <w:t xml:space="preserve">actually </w:t>
      </w:r>
      <w:r w:rsidR="004B3D15" w:rsidRPr="001F52A8">
        <w:rPr>
          <w:lang w:bidi="he-IL"/>
        </w:rPr>
        <w:t xml:space="preserve">is something wrong with seeking messages from </w:t>
      </w:r>
      <w:r w:rsidR="0070089B" w:rsidRPr="001F52A8">
        <w:rPr>
          <w:lang w:bidi="he-IL"/>
        </w:rPr>
        <w:t>Yahweh</w:t>
      </w:r>
      <w:r w:rsidR="004B3D15" w:rsidRPr="001F52A8">
        <w:rPr>
          <w:lang w:bidi="he-IL"/>
        </w:rPr>
        <w:t xml:space="preserve"> that way</w:t>
      </w:r>
      <w:r w:rsidR="0070089B" w:rsidRPr="001F52A8">
        <w:rPr>
          <w:lang w:bidi="he-IL"/>
        </w:rPr>
        <w:t xml:space="preserve">, and a central implication of 1 Samuel 28 is similar. </w:t>
      </w:r>
      <w:r w:rsidR="00BA0866">
        <w:rPr>
          <w:lang w:bidi="he-IL"/>
        </w:rPr>
        <w:t xml:space="preserve">Israel had other ways of </w:t>
      </w:r>
      <w:r w:rsidR="0048091B">
        <w:rPr>
          <w:lang w:bidi="he-IL"/>
        </w:rPr>
        <w:t xml:space="preserve">being in touch with Yahweh and </w:t>
      </w:r>
      <w:r w:rsidR="002F3881">
        <w:rPr>
          <w:lang w:bidi="he-IL"/>
        </w:rPr>
        <w:t>he had other ways of speaking to Israel</w:t>
      </w:r>
      <w:r w:rsidR="00A31DC9">
        <w:rPr>
          <w:lang w:bidi="he-IL"/>
        </w:rPr>
        <w:t>, and</w:t>
      </w:r>
      <w:r w:rsidR="0070089B" w:rsidRPr="001F52A8">
        <w:rPr>
          <w:lang w:bidi="he-IL"/>
        </w:rPr>
        <w:t xml:space="preserve"> Yahweh </w:t>
      </w:r>
      <w:r w:rsidR="00C1346D" w:rsidRPr="001F52A8">
        <w:rPr>
          <w:lang w:bidi="he-IL"/>
        </w:rPr>
        <w:t xml:space="preserve">has made it clear that he has nothing else to say to </w:t>
      </w:r>
      <w:r w:rsidR="00A93250">
        <w:rPr>
          <w:lang w:bidi="he-IL"/>
        </w:rPr>
        <w:t>Saul</w:t>
      </w:r>
      <w:r w:rsidR="00C1346D" w:rsidRPr="001F52A8">
        <w:rPr>
          <w:lang w:bidi="he-IL"/>
        </w:rPr>
        <w:t xml:space="preserve">. Saul’s recourse to the medium confirms the point: Samuel </w:t>
      </w:r>
      <w:r w:rsidR="00E738E2" w:rsidRPr="001F52A8">
        <w:rPr>
          <w:lang w:bidi="he-IL"/>
        </w:rPr>
        <w:t>simply says what Yahweh regularly gave him to say to Saul.</w:t>
      </w:r>
      <w:r w:rsidR="007F07E9" w:rsidRPr="001F52A8">
        <w:rPr>
          <w:lang w:bidi="he-IL"/>
        </w:rPr>
        <w:t xml:space="preserve"> The </w:t>
      </w:r>
      <w:r w:rsidR="008E7BE0" w:rsidRPr="001F52A8">
        <w:rPr>
          <w:lang w:bidi="he-IL"/>
        </w:rPr>
        <w:t xml:space="preserve">challenge to Saul was to respond to what Yahweh had said to him already. </w:t>
      </w:r>
      <w:r w:rsidR="00FF7D3A" w:rsidRPr="001F52A8">
        <w:rPr>
          <w:lang w:bidi="he-IL"/>
        </w:rPr>
        <w:t xml:space="preserve">Jesus will make a </w:t>
      </w:r>
      <w:r w:rsidR="006C5EAB">
        <w:rPr>
          <w:lang w:bidi="he-IL"/>
        </w:rPr>
        <w:t xml:space="preserve">similar </w:t>
      </w:r>
      <w:r w:rsidR="00FF7D3A" w:rsidRPr="001F52A8">
        <w:rPr>
          <w:lang w:bidi="he-IL"/>
        </w:rPr>
        <w:t xml:space="preserve">point </w:t>
      </w:r>
      <w:r w:rsidR="008A0D06" w:rsidRPr="001F52A8">
        <w:rPr>
          <w:lang w:bidi="he-IL"/>
        </w:rPr>
        <w:t xml:space="preserve">in </w:t>
      </w:r>
      <w:r w:rsidR="006C5EAB">
        <w:rPr>
          <w:lang w:bidi="he-IL"/>
        </w:rPr>
        <w:t>a</w:t>
      </w:r>
      <w:r w:rsidR="008A0D06" w:rsidRPr="001F52A8">
        <w:rPr>
          <w:lang w:bidi="he-IL"/>
        </w:rPr>
        <w:t xml:space="preserve"> parable </w:t>
      </w:r>
      <w:r w:rsidR="000A0715" w:rsidRPr="001F52A8">
        <w:rPr>
          <w:lang w:bidi="he-IL"/>
        </w:rPr>
        <w:t>about two people wo have died. The</w:t>
      </w:r>
      <w:r w:rsidR="008A0D06" w:rsidRPr="001F52A8">
        <w:rPr>
          <w:lang w:bidi="he-IL"/>
        </w:rPr>
        <w:t xml:space="preserve"> well-to-do man wants </w:t>
      </w:r>
      <w:r w:rsidR="00196A22" w:rsidRPr="001F52A8">
        <w:rPr>
          <w:lang w:bidi="he-IL"/>
        </w:rPr>
        <w:t xml:space="preserve">Abraham to send </w:t>
      </w:r>
      <w:r w:rsidR="000A0715" w:rsidRPr="001F52A8">
        <w:rPr>
          <w:lang w:bidi="he-IL"/>
        </w:rPr>
        <w:t>the</w:t>
      </w:r>
      <w:r w:rsidR="00196A22" w:rsidRPr="001F52A8">
        <w:rPr>
          <w:lang w:bidi="he-IL"/>
        </w:rPr>
        <w:t xml:space="preserve"> poor man</w:t>
      </w:r>
      <w:r w:rsidR="000A0715" w:rsidRPr="001F52A8">
        <w:rPr>
          <w:lang w:bidi="he-IL"/>
        </w:rPr>
        <w:t xml:space="preserve"> back to warn his </w:t>
      </w:r>
      <w:r w:rsidR="009619B4" w:rsidRPr="001F52A8">
        <w:rPr>
          <w:lang w:bidi="he-IL"/>
        </w:rPr>
        <w:t>family about the fate that awaits them, to which Abraham’s response is</w:t>
      </w:r>
      <w:r w:rsidR="00370EF0" w:rsidRPr="001F52A8">
        <w:rPr>
          <w:lang w:bidi="he-IL"/>
        </w:rPr>
        <w:t xml:space="preserve"> that they need to listen to Moses and the Prophets</w:t>
      </w:r>
      <w:r w:rsidR="006C5EAB">
        <w:rPr>
          <w:lang w:bidi="he-IL"/>
        </w:rPr>
        <w:t xml:space="preserve"> (Luke 16:19-31)</w:t>
      </w:r>
      <w:r w:rsidR="00370EF0" w:rsidRPr="001F52A8">
        <w:rPr>
          <w:lang w:bidi="he-IL"/>
        </w:rPr>
        <w:t>.</w:t>
      </w:r>
    </w:p>
    <w:p w14:paraId="63024509" w14:textId="317AFB1E" w:rsidR="002C42EC" w:rsidRPr="001F52A8" w:rsidRDefault="00332379" w:rsidP="002C42EC">
      <w:pPr>
        <w:rPr>
          <w:rFonts w:cstheme="minorHAnsi"/>
        </w:rPr>
      </w:pPr>
      <w:r w:rsidRPr="001F52A8">
        <w:rPr>
          <w:rFonts w:cstheme="minorHAnsi"/>
        </w:rPr>
        <w:t>In the battle that duly follows, the Philistines win a victory, kill Saul’s sons, and wound Saul. He commits suicide rather than be captured</w:t>
      </w:r>
      <w:r w:rsidR="006C5EAB">
        <w:rPr>
          <w:rFonts w:cstheme="minorHAnsi"/>
        </w:rPr>
        <w:t>,</w:t>
      </w:r>
      <w:r w:rsidRPr="001F52A8">
        <w:rPr>
          <w:rFonts w:cstheme="minorHAnsi"/>
        </w:rPr>
        <w:t xml:space="preserve"> killed, and further humiliated. The Philistines decapitate him and fasten his body to the wall of Bet-shean, the Philistine town nearby</w:t>
      </w:r>
      <w:r w:rsidR="00EB0B9A">
        <w:rPr>
          <w:rFonts w:cstheme="minorHAnsi"/>
        </w:rPr>
        <w:t>. They</w:t>
      </w:r>
      <w:r w:rsidRPr="001F52A8">
        <w:rPr>
          <w:rFonts w:cstheme="minorHAnsi"/>
        </w:rPr>
        <w:t xml:space="preserve"> th</w:t>
      </w:r>
      <w:r w:rsidR="00EB0B9A">
        <w:rPr>
          <w:rFonts w:cstheme="minorHAnsi"/>
        </w:rPr>
        <w:t>ereby</w:t>
      </w:r>
      <w:r w:rsidRPr="001F52A8">
        <w:rPr>
          <w:rFonts w:cstheme="minorHAnsi"/>
        </w:rPr>
        <w:t xml:space="preserve"> make even </w:t>
      </w:r>
      <w:r w:rsidR="006C5EAB">
        <w:rPr>
          <w:rFonts w:cstheme="minorHAnsi"/>
        </w:rPr>
        <w:t>hi</w:t>
      </w:r>
      <w:r w:rsidRPr="001F52A8">
        <w:rPr>
          <w:rFonts w:cstheme="minorHAnsi"/>
        </w:rPr>
        <w:t>s last act a failure and attempt to ensure that he does not even find rest in the tomb and thus in Sheol. But the people of Jabesh-gilead whom Saul had once delivered send a company to bring the bodies of Saul and his sons back home and give them a proper burial.</w:t>
      </w:r>
      <w:r w:rsidRPr="001F52A8">
        <w:t xml:space="preserve"> So</w:t>
      </w:r>
      <w:r w:rsidRPr="001F52A8">
        <w:rPr>
          <w:rFonts w:ascii="Calibri" w:hAnsi="Calibri" w:cs="Calibri"/>
        </w:rPr>
        <w:t xml:space="preserve"> Saul's life </w:t>
      </w:r>
      <w:r w:rsidR="00590FE8">
        <w:rPr>
          <w:rFonts w:ascii="Calibri" w:hAnsi="Calibri" w:cs="Calibri"/>
        </w:rPr>
        <w:t xml:space="preserve">does </w:t>
      </w:r>
      <w:r w:rsidRPr="001F52A8">
        <w:rPr>
          <w:rFonts w:ascii="Calibri" w:hAnsi="Calibri" w:cs="Calibri"/>
        </w:rPr>
        <w:t xml:space="preserve">end not in </w:t>
      </w:r>
      <w:r w:rsidR="00844E81">
        <w:rPr>
          <w:rFonts w:ascii="Calibri" w:hAnsi="Calibri" w:cs="Calibri"/>
        </w:rPr>
        <w:t>humiliation</w:t>
      </w:r>
      <w:r w:rsidRPr="001F52A8">
        <w:rPr>
          <w:rFonts w:ascii="Calibri" w:hAnsi="Calibri" w:cs="Calibri"/>
        </w:rPr>
        <w:t xml:space="preserve"> but </w:t>
      </w:r>
      <w:r w:rsidR="00590FE8">
        <w:rPr>
          <w:rFonts w:ascii="Calibri" w:hAnsi="Calibri" w:cs="Calibri"/>
        </w:rPr>
        <w:t>with</w:t>
      </w:r>
      <w:r w:rsidR="002708FA">
        <w:rPr>
          <w:rFonts w:ascii="Calibri" w:hAnsi="Calibri" w:cs="Calibri"/>
        </w:rPr>
        <w:t xml:space="preserve"> </w:t>
      </w:r>
      <w:r w:rsidR="00506E2B">
        <w:rPr>
          <w:rFonts w:ascii="Calibri" w:hAnsi="Calibri" w:cs="Calibri"/>
        </w:rPr>
        <w:t>dignity</w:t>
      </w:r>
      <w:r w:rsidRPr="001F52A8">
        <w:rPr>
          <w:rFonts w:ascii="Calibri" w:hAnsi="Calibri" w:cs="Calibri"/>
        </w:rPr>
        <w:t>.</w:t>
      </w:r>
      <w:r w:rsidR="002708FA">
        <w:rPr>
          <w:rStyle w:val="FootnoteReference"/>
          <w:rFonts w:cstheme="minorHAnsi"/>
        </w:rPr>
        <w:footnoteReference w:id="286"/>
      </w:r>
      <w:r w:rsidRPr="001F52A8">
        <w:rPr>
          <w:rFonts w:ascii="Calibri" w:hAnsi="Calibri" w:cs="Calibri"/>
        </w:rPr>
        <w:t xml:space="preserve"> </w:t>
      </w:r>
      <w:r w:rsidR="00590FE8">
        <w:rPr>
          <w:rFonts w:ascii="Calibri" w:hAnsi="Calibri" w:cs="Calibri"/>
        </w:rPr>
        <w:t>“</w:t>
      </w:r>
      <w:r w:rsidRPr="001F52A8">
        <w:rPr>
          <w:rFonts w:ascii="Calibri" w:hAnsi="Calibri" w:cs="Calibri"/>
        </w:rPr>
        <w:t>The curtain falls where his reign began.”</w:t>
      </w:r>
      <w:r w:rsidRPr="001F52A8">
        <w:rPr>
          <w:rStyle w:val="FootnoteReference"/>
          <w:rFonts w:ascii="Calibri" w:hAnsi="Calibri" w:cs="Calibri"/>
        </w:rPr>
        <w:footnoteReference w:id="287"/>
      </w:r>
      <w:r w:rsidR="00147D5D" w:rsidRPr="001F52A8">
        <w:rPr>
          <w:rFonts w:ascii="Calibri" w:hAnsi="Calibri" w:cs="Calibri"/>
        </w:rPr>
        <w:t xml:space="preserve"> </w:t>
      </w:r>
      <w:r w:rsidR="00CE6270" w:rsidRPr="001F52A8">
        <w:rPr>
          <w:rFonts w:cstheme="minorHAnsi"/>
        </w:rPr>
        <w:t xml:space="preserve">Indeed, </w:t>
      </w:r>
      <w:r w:rsidR="00147D5D" w:rsidRPr="001F52A8">
        <w:rPr>
          <w:rFonts w:cstheme="minorHAnsi"/>
        </w:rPr>
        <w:t>“i</w:t>
      </w:r>
      <w:r w:rsidR="00CE6270" w:rsidRPr="001F52A8">
        <w:rPr>
          <w:rFonts w:cstheme="minorHAnsi"/>
        </w:rPr>
        <w:t>t is perhaps a more generous portraiture</w:t>
      </w:r>
      <w:r w:rsidR="0033149C" w:rsidRPr="001F52A8">
        <w:rPr>
          <w:rFonts w:cstheme="minorHAnsi"/>
        </w:rPr>
        <w:t xml:space="preserve"> toward Israel’s first king than we have heard narrated elsewhere</w:t>
      </w:r>
      <w:r w:rsidR="00E03BAA">
        <w:rPr>
          <w:rFonts w:cstheme="minorHAnsi"/>
        </w:rPr>
        <w:t>.</w:t>
      </w:r>
      <w:r w:rsidR="00F37827" w:rsidRPr="001F52A8">
        <w:rPr>
          <w:rFonts w:cstheme="minorHAnsi"/>
        </w:rPr>
        <w:t>”</w:t>
      </w:r>
      <w:r w:rsidR="000216E3" w:rsidRPr="001F52A8">
        <w:rPr>
          <w:rStyle w:val="FootnoteReference"/>
          <w:rFonts w:cstheme="minorHAnsi"/>
        </w:rPr>
        <w:footnoteReference w:id="288"/>
      </w:r>
      <w:r w:rsidR="00147D5D" w:rsidRPr="001F52A8">
        <w:rPr>
          <w:rFonts w:cstheme="minorHAnsi"/>
        </w:rPr>
        <w:t xml:space="preserve"> </w:t>
      </w:r>
      <w:r w:rsidR="002D71C4" w:rsidRPr="001F52A8">
        <w:rPr>
          <w:lang w:bidi="he-IL"/>
        </w:rPr>
        <w:t xml:space="preserve">In </w:t>
      </w:r>
      <w:r w:rsidR="007F3EF6" w:rsidRPr="001F52A8">
        <w:rPr>
          <w:lang w:bidi="he-IL"/>
        </w:rPr>
        <w:t>City of God 17:7</w:t>
      </w:r>
      <w:r w:rsidR="002D71C4" w:rsidRPr="001F52A8">
        <w:rPr>
          <w:lang w:bidi="he-IL"/>
        </w:rPr>
        <w:t xml:space="preserve">, Augustine </w:t>
      </w:r>
      <w:r w:rsidR="007F3EF6" w:rsidRPr="001F52A8">
        <w:rPr>
          <w:lang w:bidi="he-IL"/>
        </w:rPr>
        <w:t xml:space="preserve">has a version of the </w:t>
      </w:r>
      <w:r w:rsidR="006C5EAB">
        <w:rPr>
          <w:lang w:bidi="he-IL"/>
        </w:rPr>
        <w:t>LXX</w:t>
      </w:r>
      <w:r w:rsidR="007F3EF6" w:rsidRPr="001F52A8">
        <w:rPr>
          <w:lang w:bidi="he-IL"/>
        </w:rPr>
        <w:t xml:space="preserve"> text </w:t>
      </w:r>
      <w:r w:rsidR="002D71C4" w:rsidRPr="001F52A8">
        <w:rPr>
          <w:lang w:bidi="he-IL"/>
        </w:rPr>
        <w:t xml:space="preserve">of Samuel’s words </w:t>
      </w:r>
      <w:r w:rsidR="007F3EF6" w:rsidRPr="001F52A8">
        <w:rPr>
          <w:lang w:bidi="he-IL"/>
        </w:rPr>
        <w:t>that speaks of God taking the kingdom from Israel</w:t>
      </w:r>
      <w:r w:rsidR="006C5EAB">
        <w:rPr>
          <w:lang w:bidi="he-IL"/>
        </w:rPr>
        <w:t>,</w:t>
      </w:r>
      <w:r w:rsidR="007F3EF6" w:rsidRPr="001F52A8">
        <w:rPr>
          <w:lang w:bidi="he-IL"/>
        </w:rPr>
        <w:t xml:space="preserve"> not just from Saul</w:t>
      </w:r>
      <w:r w:rsidR="00A353F3">
        <w:rPr>
          <w:lang w:bidi="he-IL"/>
        </w:rPr>
        <w:t>, which</w:t>
      </w:r>
      <w:r w:rsidR="007F3EF6" w:rsidRPr="001F52A8">
        <w:rPr>
          <w:lang w:bidi="he-IL"/>
        </w:rPr>
        <w:t xml:space="preserve"> Augustine interpret</w:t>
      </w:r>
      <w:r w:rsidR="006C5EAB">
        <w:rPr>
          <w:lang w:bidi="he-IL"/>
        </w:rPr>
        <w:t xml:space="preserve">s </w:t>
      </w:r>
      <w:r w:rsidR="007F3EF6" w:rsidRPr="001F52A8">
        <w:rPr>
          <w:lang w:bidi="he-IL"/>
        </w:rPr>
        <w:t xml:space="preserve">in a troubling direction: it denotes the replacement </w:t>
      </w:r>
      <w:r w:rsidR="007F3EF6" w:rsidRPr="001F52A8">
        <w:rPr>
          <w:lang w:bidi="he-IL"/>
        </w:rPr>
        <w:lastRenderedPageBreak/>
        <w:t xml:space="preserve">of the Jewish people by the church. </w:t>
      </w:r>
      <w:r w:rsidR="006C5EAB">
        <w:rPr>
          <w:lang w:bidi="he-IL"/>
        </w:rPr>
        <w:t>T</w:t>
      </w:r>
      <w:r w:rsidR="002D71C4" w:rsidRPr="001F52A8">
        <w:rPr>
          <w:lang w:bidi="he-IL"/>
        </w:rPr>
        <w:t xml:space="preserve">he </w:t>
      </w:r>
      <w:r w:rsidR="00C80411" w:rsidRPr="001F52A8">
        <w:rPr>
          <w:lang w:bidi="he-IL"/>
        </w:rPr>
        <w:t xml:space="preserve">honoring of Saul rather fits with </w:t>
      </w:r>
      <w:r w:rsidR="00A830EA" w:rsidRPr="001F52A8">
        <w:rPr>
          <w:lang w:bidi="he-IL"/>
        </w:rPr>
        <w:t>Saul</w:t>
      </w:r>
      <w:r w:rsidR="00F74F33">
        <w:rPr>
          <w:lang w:bidi="he-IL"/>
        </w:rPr>
        <w:t>’s</w:t>
      </w:r>
      <w:r w:rsidR="00A830EA" w:rsidRPr="001F52A8">
        <w:rPr>
          <w:lang w:bidi="he-IL"/>
        </w:rPr>
        <w:t xml:space="preserve"> prepar</w:t>
      </w:r>
      <w:r w:rsidR="00F74F33">
        <w:rPr>
          <w:lang w:bidi="he-IL"/>
        </w:rPr>
        <w:t>ing</w:t>
      </w:r>
      <w:r w:rsidR="00A830EA" w:rsidRPr="001F52A8">
        <w:rPr>
          <w:lang w:bidi="he-IL"/>
        </w:rPr>
        <w:t xml:space="preserve"> the way for </w:t>
      </w:r>
      <w:r w:rsidR="00A830EA" w:rsidRPr="001F52A8">
        <w:rPr>
          <w:rFonts w:cstheme="minorHAnsi"/>
          <w:lang w:bidi="he-IL"/>
        </w:rPr>
        <w:t>David</w:t>
      </w:r>
      <w:r w:rsidR="00DA2659" w:rsidRPr="00DA2659">
        <w:rPr>
          <w:lang w:bidi="he-IL"/>
        </w:rPr>
        <w:t xml:space="preserve"> </w:t>
      </w:r>
      <w:r w:rsidR="00DA2659" w:rsidRPr="001F52A8">
        <w:rPr>
          <w:lang w:bidi="he-IL"/>
        </w:rPr>
        <w:t>in a strange</w:t>
      </w:r>
      <w:r w:rsidR="00DA2659">
        <w:rPr>
          <w:lang w:bidi="he-IL"/>
        </w:rPr>
        <w:t xml:space="preserve"> sense</w:t>
      </w:r>
      <w:r w:rsidR="00DA2659">
        <w:rPr>
          <w:rFonts w:cstheme="minorHAnsi"/>
          <w:lang w:bidi="he-IL"/>
        </w:rPr>
        <w:t>;</w:t>
      </w:r>
      <w:r w:rsidR="0059197B" w:rsidRPr="001F52A8">
        <w:rPr>
          <w:rFonts w:cstheme="minorHAnsi"/>
          <w:lang w:bidi="he-IL"/>
        </w:rPr>
        <w:t xml:space="preserve"> “David </w:t>
      </w:r>
      <w:r w:rsidR="00E20938" w:rsidRPr="001F52A8">
        <w:rPr>
          <w:rFonts w:cstheme="minorHAnsi"/>
        </w:rPr>
        <w:t>is chosen for Saul and for the people he represents.”</w:t>
      </w:r>
      <w:r w:rsidR="00E54F99" w:rsidRPr="001F52A8">
        <w:rPr>
          <w:rStyle w:val="FootnoteReference"/>
          <w:rFonts w:cstheme="minorHAnsi"/>
        </w:rPr>
        <w:footnoteReference w:id="289"/>
      </w:r>
    </w:p>
    <w:p w14:paraId="32D4EDA2" w14:textId="44B64337" w:rsidR="008357EA" w:rsidRPr="001F52A8" w:rsidRDefault="005212FA" w:rsidP="000F4E5F">
      <w:pPr>
        <w:rPr>
          <w:rFonts w:ascii="Calibri" w:hAnsi="Calibri" w:cs="Calibri"/>
        </w:rPr>
      </w:pPr>
      <w:r>
        <w:rPr>
          <w:lang w:bidi="he-IL"/>
        </w:rPr>
        <w:t>T</w:t>
      </w:r>
      <w:r w:rsidR="00647E29" w:rsidRPr="001F52A8">
        <w:rPr>
          <w:lang w:bidi="he-IL"/>
        </w:rPr>
        <w:t>he sequence</w:t>
      </w:r>
      <w:r w:rsidR="00647E29">
        <w:rPr>
          <w:lang w:bidi="he-IL"/>
        </w:rPr>
        <w:t xml:space="preserve"> of events in 1 Samuel 31 repeats in 2</w:t>
      </w:r>
      <w:r w:rsidR="005D2CF1" w:rsidRPr="001F52A8">
        <w:rPr>
          <w:lang w:bidi="he-IL"/>
        </w:rPr>
        <w:t xml:space="preserve"> Samuel </w:t>
      </w:r>
      <w:r>
        <w:rPr>
          <w:lang w:bidi="he-IL"/>
        </w:rPr>
        <w:t>1 in a way that</w:t>
      </w:r>
      <w:r w:rsidR="00332379" w:rsidRPr="001F52A8">
        <w:rPr>
          <w:lang w:bidi="he-IL"/>
        </w:rPr>
        <w:t xml:space="preserve"> </w:t>
      </w:r>
      <w:r w:rsidR="00661B65" w:rsidRPr="001F52A8">
        <w:rPr>
          <w:lang w:bidi="he-IL"/>
        </w:rPr>
        <w:t>maintain</w:t>
      </w:r>
      <w:r>
        <w:rPr>
          <w:lang w:bidi="he-IL"/>
        </w:rPr>
        <w:t>s</w:t>
      </w:r>
      <w:r w:rsidR="00661B65" w:rsidRPr="001F52A8">
        <w:rPr>
          <w:lang w:bidi="he-IL"/>
        </w:rPr>
        <w:t xml:space="preserve"> the irony characteriz</w:t>
      </w:r>
      <w:r>
        <w:rPr>
          <w:lang w:bidi="he-IL"/>
        </w:rPr>
        <w:t>ing</w:t>
      </w:r>
      <w:r w:rsidR="00661B65" w:rsidRPr="001F52A8">
        <w:rPr>
          <w:lang w:bidi="he-IL"/>
        </w:rPr>
        <w:t xml:space="preserve"> this narrative. </w:t>
      </w:r>
      <w:r w:rsidR="00915492" w:rsidRPr="001F52A8">
        <w:rPr>
          <w:lang w:bidi="he-IL"/>
        </w:rPr>
        <w:t xml:space="preserve">On his return to Ziklag, </w:t>
      </w:r>
      <w:r w:rsidR="002A4F1A" w:rsidRPr="001F52A8">
        <w:rPr>
          <w:lang w:bidi="he-IL"/>
        </w:rPr>
        <w:t>David surely flops</w:t>
      </w:r>
      <w:r w:rsidR="00DF4EC2">
        <w:rPr>
          <w:lang w:bidi="he-IL"/>
        </w:rPr>
        <w:t>,</w:t>
      </w:r>
      <w:r w:rsidR="002A4F1A" w:rsidRPr="001F52A8">
        <w:rPr>
          <w:lang w:bidi="he-IL"/>
        </w:rPr>
        <w:t xml:space="preserve"> draws breath</w:t>
      </w:r>
      <w:r w:rsidR="00DF4EC2">
        <w:rPr>
          <w:lang w:bidi="he-IL"/>
        </w:rPr>
        <w:t>,</w:t>
      </w:r>
      <w:r w:rsidR="002A4F1A" w:rsidRPr="001F52A8">
        <w:rPr>
          <w:lang w:bidi="he-IL"/>
        </w:rPr>
        <w:t xml:space="preserve"> and makes love to Abigail one night and Ahinoam the next. Except that David isn’t a flopper, and not much of a lover</w:t>
      </w:r>
      <w:r w:rsidR="003D0D72" w:rsidRPr="001F52A8">
        <w:rPr>
          <w:lang w:bidi="he-IL"/>
        </w:rPr>
        <w:t xml:space="preserve"> (he doesn’t get around to fathering children </w:t>
      </w:r>
      <w:r w:rsidR="001576C7" w:rsidRPr="001F52A8">
        <w:rPr>
          <w:lang w:bidi="he-IL"/>
        </w:rPr>
        <w:t xml:space="preserve">for some while: see </w:t>
      </w:r>
      <w:r w:rsidR="00B720E2" w:rsidRPr="001F52A8">
        <w:rPr>
          <w:lang w:bidi="he-IL"/>
        </w:rPr>
        <w:t xml:space="preserve">3:2-5). </w:t>
      </w:r>
      <w:r w:rsidR="00AE5624">
        <w:rPr>
          <w:lang w:bidi="he-IL"/>
        </w:rPr>
        <w:t>H</w:t>
      </w:r>
      <w:r w:rsidR="002A4F1A" w:rsidRPr="001F52A8">
        <w:rPr>
          <w:lang w:bidi="he-IL"/>
        </w:rPr>
        <w:t xml:space="preserve">e knows that the Philistines and the Israelites </w:t>
      </w:r>
      <w:r w:rsidR="00AE5624">
        <w:rPr>
          <w:lang w:bidi="he-IL"/>
        </w:rPr>
        <w:t>were</w:t>
      </w:r>
      <w:r w:rsidR="002A4F1A" w:rsidRPr="001F52A8">
        <w:rPr>
          <w:lang w:bidi="he-IL"/>
        </w:rPr>
        <w:t xml:space="preserve"> getting ready for a battle, so the two days are moments of suspense until an Amalekite who is a resident alien in Israel arrives. At least, </w:t>
      </w:r>
      <w:r w:rsidR="00915492" w:rsidRPr="001F52A8">
        <w:rPr>
          <w:lang w:bidi="he-IL"/>
        </w:rPr>
        <w:t>the Amalekite</w:t>
      </w:r>
      <w:r w:rsidR="002A4F1A" w:rsidRPr="001F52A8">
        <w:rPr>
          <w:lang w:bidi="he-IL"/>
        </w:rPr>
        <w:t xml:space="preserve"> says that’s what he is, </w:t>
      </w:r>
      <w:r w:rsidR="00E661F3" w:rsidRPr="001F52A8">
        <w:rPr>
          <w:lang w:bidi="he-IL"/>
        </w:rPr>
        <w:t>and</w:t>
      </w:r>
      <w:r w:rsidR="002A4F1A" w:rsidRPr="001F52A8">
        <w:rPr>
          <w:lang w:bidi="he-IL"/>
        </w:rPr>
        <w:t xml:space="preserve"> it’s not the kind of thing you make up. </w:t>
      </w:r>
      <w:r w:rsidR="00E661F3" w:rsidRPr="001F52A8">
        <w:rPr>
          <w:lang w:bidi="he-IL"/>
        </w:rPr>
        <w:t>But</w:t>
      </w:r>
      <w:r w:rsidR="002A4F1A" w:rsidRPr="001F52A8">
        <w:rPr>
          <w:lang w:bidi="he-IL"/>
        </w:rPr>
        <w:t xml:space="preserve"> he gives a different account of Saul</w:t>
      </w:r>
      <w:r w:rsidR="006334EF">
        <w:rPr>
          <w:lang w:bidi="he-IL"/>
        </w:rPr>
        <w:t>’s death</w:t>
      </w:r>
      <w:r w:rsidR="002A4F1A" w:rsidRPr="001F52A8">
        <w:rPr>
          <w:lang w:bidi="he-IL"/>
        </w:rPr>
        <w:t xml:space="preserve"> from the narrator’s account, which we are presumably invited to take as the true one. </w:t>
      </w:r>
      <w:r w:rsidR="00FF67C0" w:rsidRPr="001F52A8">
        <w:rPr>
          <w:lang w:bidi="he-IL"/>
        </w:rPr>
        <w:t>T</w:t>
      </w:r>
      <w:r w:rsidR="00410848" w:rsidRPr="001F52A8">
        <w:rPr>
          <w:lang w:bidi="he-IL"/>
        </w:rPr>
        <w:t>he Amalekite</w:t>
      </w:r>
      <w:r w:rsidR="002A4F1A" w:rsidRPr="001F52A8">
        <w:rPr>
          <w:lang w:bidi="he-IL"/>
        </w:rPr>
        <w:t xml:space="preserve"> thinks that David will like his </w:t>
      </w:r>
      <w:r w:rsidR="00410848" w:rsidRPr="001F52A8">
        <w:rPr>
          <w:lang w:bidi="he-IL"/>
        </w:rPr>
        <w:t>version</w:t>
      </w:r>
      <w:r w:rsidR="00FF67C0" w:rsidRPr="001F52A8">
        <w:rPr>
          <w:lang w:bidi="he-IL"/>
        </w:rPr>
        <w:t xml:space="preserve"> </w:t>
      </w:r>
      <w:r w:rsidR="00887B73" w:rsidRPr="001F52A8">
        <w:rPr>
          <w:lang w:bidi="he-IL"/>
        </w:rPr>
        <w:t>(</w:t>
      </w:r>
      <w:r w:rsidR="00FF67C0" w:rsidRPr="001F52A8">
        <w:rPr>
          <w:lang w:bidi="he-IL"/>
        </w:rPr>
        <w:t xml:space="preserve">and perhaps </w:t>
      </w:r>
      <w:r w:rsidR="00887B73" w:rsidRPr="001F52A8">
        <w:rPr>
          <w:lang w:bidi="he-IL"/>
        </w:rPr>
        <w:t>promote him to full citizen)</w:t>
      </w:r>
      <w:r w:rsidR="002A4F1A" w:rsidRPr="001F52A8">
        <w:rPr>
          <w:lang w:bidi="he-IL"/>
        </w:rPr>
        <w:t>,</w:t>
      </w:r>
      <w:r w:rsidR="00D847AB" w:rsidRPr="001F52A8">
        <w:rPr>
          <w:rStyle w:val="FootnoteReference"/>
          <w:lang w:bidi="he-IL"/>
        </w:rPr>
        <w:footnoteReference w:id="290"/>
      </w:r>
      <w:r w:rsidR="002A4F1A" w:rsidRPr="001F52A8">
        <w:rPr>
          <w:lang w:bidi="he-IL"/>
        </w:rPr>
        <w:t xml:space="preserve"> but David doesn</w:t>
      </w:r>
      <w:r w:rsidR="007D79C7">
        <w:rPr>
          <w:lang w:bidi="he-IL"/>
        </w:rPr>
        <w:t>’</w:t>
      </w:r>
      <w:r w:rsidR="002A4F1A" w:rsidRPr="001F52A8">
        <w:rPr>
          <w:lang w:bidi="he-IL"/>
        </w:rPr>
        <w:t xml:space="preserve">t. At least, </w:t>
      </w:r>
      <w:r w:rsidR="002E6F9A" w:rsidRPr="001F52A8">
        <w:rPr>
          <w:lang w:bidi="he-IL"/>
        </w:rPr>
        <w:t>David</w:t>
      </w:r>
      <w:r w:rsidR="002A4F1A" w:rsidRPr="001F52A8">
        <w:rPr>
          <w:lang w:bidi="he-IL"/>
        </w:rPr>
        <w:t xml:space="preserve"> says he doesn’t, though the narrator doesn’t tell us what David is thinking, here or in his subsequent lament for Saul and Jonathan</w:t>
      </w:r>
      <w:r w:rsidR="00990398" w:rsidRPr="001F52A8">
        <w:rPr>
          <w:lang w:bidi="he-IL"/>
        </w:rPr>
        <w:t xml:space="preserve">. </w:t>
      </w:r>
      <w:r w:rsidR="004E0B35">
        <w:rPr>
          <w:lang w:bidi="he-IL"/>
        </w:rPr>
        <w:t>H</w:t>
      </w:r>
      <w:r w:rsidR="00FA00E5" w:rsidRPr="001F52A8">
        <w:rPr>
          <w:lang w:bidi="he-IL"/>
        </w:rPr>
        <w:t xml:space="preserve">ere is </w:t>
      </w:r>
      <w:r w:rsidR="0019010C" w:rsidRPr="001F52A8">
        <w:rPr>
          <w:lang w:bidi="he-IL"/>
        </w:rPr>
        <w:t xml:space="preserve">a </w:t>
      </w:r>
      <w:r w:rsidR="00D05C29" w:rsidRPr="001F52A8">
        <w:rPr>
          <w:lang w:bidi="he-IL"/>
        </w:rPr>
        <w:t>man who says he killed Saul but didn’t</w:t>
      </w:r>
      <w:r w:rsidR="00FA00E5" w:rsidRPr="001F52A8">
        <w:rPr>
          <w:lang w:bidi="he-IL"/>
        </w:rPr>
        <w:t>; in him</w:t>
      </w:r>
      <w:r w:rsidR="00D05C29" w:rsidRPr="001F52A8">
        <w:rPr>
          <w:lang w:bidi="he-IL"/>
        </w:rPr>
        <w:t xml:space="preserve"> does David</w:t>
      </w:r>
      <w:r w:rsidR="00FA00E5" w:rsidRPr="001F52A8">
        <w:rPr>
          <w:lang w:bidi="he-IL"/>
        </w:rPr>
        <w:t>,</w:t>
      </w:r>
      <w:r w:rsidR="0019010C" w:rsidRPr="001F52A8">
        <w:rPr>
          <w:lang w:bidi="he-IL"/>
        </w:rPr>
        <w:t xml:space="preserve"> who might have killed Saul but didn’t</w:t>
      </w:r>
      <w:r w:rsidR="00E728C1" w:rsidRPr="001F52A8">
        <w:rPr>
          <w:lang w:bidi="he-IL"/>
        </w:rPr>
        <w:t xml:space="preserve"> </w:t>
      </w:r>
      <w:r w:rsidR="00274B06" w:rsidRPr="001F52A8">
        <w:rPr>
          <w:lang w:bidi="he-IL"/>
        </w:rPr>
        <w:t xml:space="preserve">and </w:t>
      </w:r>
      <w:r w:rsidR="00E728C1" w:rsidRPr="001F52A8">
        <w:rPr>
          <w:lang w:bidi="he-IL"/>
        </w:rPr>
        <w:t>yet profits from his death</w:t>
      </w:r>
      <w:r w:rsidR="00FA00E5" w:rsidRPr="001F52A8">
        <w:rPr>
          <w:lang w:bidi="he-IL"/>
        </w:rPr>
        <w:t>,</w:t>
      </w:r>
      <w:r w:rsidR="0019010C" w:rsidRPr="001F52A8">
        <w:rPr>
          <w:lang w:bidi="he-IL"/>
        </w:rPr>
        <w:t xml:space="preserve"> </w:t>
      </w:r>
      <w:r w:rsidR="00D05C29" w:rsidRPr="001F52A8">
        <w:rPr>
          <w:lang w:bidi="he-IL"/>
        </w:rPr>
        <w:t>meet his alter ego</w:t>
      </w:r>
      <w:r w:rsidR="00E728C1" w:rsidRPr="001F52A8">
        <w:rPr>
          <w:lang w:bidi="he-IL"/>
        </w:rPr>
        <w:t xml:space="preserve"> and then </w:t>
      </w:r>
      <w:r w:rsidR="002F0592" w:rsidRPr="001F52A8">
        <w:rPr>
          <w:lang w:bidi="he-IL"/>
        </w:rPr>
        <w:t>execute him</w:t>
      </w:r>
      <w:r w:rsidR="00FA00E5" w:rsidRPr="001F52A8">
        <w:rPr>
          <w:lang w:bidi="he-IL"/>
        </w:rPr>
        <w:t>?</w:t>
      </w:r>
      <w:r w:rsidR="00FA00E5" w:rsidRPr="001F52A8">
        <w:rPr>
          <w:rStyle w:val="FootnoteReference"/>
          <w:lang w:bidi="he-IL"/>
        </w:rPr>
        <w:footnoteReference w:id="291"/>
      </w:r>
      <w:r w:rsidR="00C129AF">
        <w:rPr>
          <w:lang w:bidi="he-IL"/>
        </w:rPr>
        <w:t xml:space="preserve"> </w:t>
      </w:r>
      <w:r w:rsidR="00C129AF">
        <w:rPr>
          <w:rFonts w:ascii="Calibri" w:hAnsi="Calibri" w:cs="Calibri"/>
        </w:rPr>
        <w:t>Anyway</w:t>
      </w:r>
      <w:r w:rsidR="000818FA">
        <w:rPr>
          <w:rFonts w:ascii="Calibri" w:hAnsi="Calibri" w:cs="Calibri"/>
        </w:rPr>
        <w:t xml:space="preserve">, </w:t>
      </w:r>
      <w:r w:rsidR="00C129AF" w:rsidRPr="001F52A8">
        <w:rPr>
          <w:rFonts w:ascii="Calibri" w:hAnsi="Calibri" w:cs="Calibri"/>
        </w:rPr>
        <w:t>through him “the symbols of [Saul’s] kingship are transferred to David</w:t>
      </w:r>
      <w:r w:rsidR="00C129AF">
        <w:rPr>
          <w:rFonts w:ascii="Calibri" w:hAnsi="Calibri" w:cs="Calibri"/>
        </w:rPr>
        <w:t xml:space="preserve"> . . . .</w:t>
      </w:r>
      <w:r w:rsidR="00C129AF" w:rsidRPr="001F52A8">
        <w:rPr>
          <w:rFonts w:ascii="Calibri" w:hAnsi="Calibri" w:cs="Calibri"/>
        </w:rPr>
        <w:t xml:space="preserve"> The confirmation of David’s kingship by the people governed by that crown still lies in the future. But the crown has arrived.”</w:t>
      </w:r>
      <w:r w:rsidR="00C129AF" w:rsidRPr="001F52A8">
        <w:rPr>
          <w:rStyle w:val="FootnoteReference"/>
          <w:rFonts w:ascii="Calibri" w:hAnsi="Calibri" w:cs="Calibri"/>
        </w:rPr>
        <w:footnoteReference w:id="292"/>
      </w:r>
      <w:r w:rsidR="00F90957">
        <w:rPr>
          <w:rFonts w:ascii="Calibri" w:hAnsi="Calibri" w:cs="Calibri"/>
        </w:rPr>
        <w:t xml:space="preserve"> </w:t>
      </w:r>
      <w:r w:rsidR="00F90957" w:rsidRPr="001F52A8">
        <w:rPr>
          <w:lang w:bidi="he-IL"/>
        </w:rPr>
        <w:t>And no doubt it suits David to continue to emphasize to anyone listening that you don’t attack “Yahweh’s anointed,” and that doing so is a capital offense (1:16).</w:t>
      </w:r>
      <w:r w:rsidR="00F90957">
        <w:rPr>
          <w:lang w:bidi="he-IL"/>
        </w:rPr>
        <w:t xml:space="preserve"> </w:t>
      </w:r>
      <w:r w:rsidR="00E84481" w:rsidRPr="001F52A8">
        <w:rPr>
          <w:lang w:bidi="he-IL"/>
        </w:rPr>
        <w:t>The expression “Yahweh’s anointed” comes otherwise only in Lam</w:t>
      </w:r>
      <w:r w:rsidR="00E27003" w:rsidRPr="001F52A8">
        <w:rPr>
          <w:lang w:bidi="he-IL"/>
        </w:rPr>
        <w:t xml:space="preserve"> 4:20, where it is glossed as implying that he is </w:t>
      </w:r>
      <w:r w:rsidR="00826CAE" w:rsidRPr="001F52A8">
        <w:rPr>
          <w:lang w:bidi="he-IL"/>
        </w:rPr>
        <w:t>“the breath of our n</w:t>
      </w:r>
      <w:r w:rsidR="00FF590A" w:rsidRPr="001F52A8">
        <w:rPr>
          <w:lang w:bidi="he-IL"/>
        </w:rPr>
        <w:t>o</w:t>
      </w:r>
      <w:r w:rsidR="00826CAE" w:rsidRPr="001F52A8">
        <w:rPr>
          <w:lang w:bidi="he-IL"/>
        </w:rPr>
        <w:t xml:space="preserve">strils. . . </w:t>
      </w:r>
      <w:r w:rsidR="001F6FBC" w:rsidRPr="001F52A8">
        <w:rPr>
          <w:lang w:bidi="he-IL"/>
        </w:rPr>
        <w:t>i</w:t>
      </w:r>
      <w:r w:rsidR="00826CAE" w:rsidRPr="001F52A8">
        <w:rPr>
          <w:lang w:bidi="he-IL"/>
        </w:rPr>
        <w:t xml:space="preserve">n </w:t>
      </w:r>
      <w:r w:rsidR="002C1EC4" w:rsidRPr="001F52A8">
        <w:rPr>
          <w:lang w:bidi="he-IL"/>
        </w:rPr>
        <w:t>whose</w:t>
      </w:r>
      <w:r w:rsidR="00826CAE" w:rsidRPr="001F52A8">
        <w:rPr>
          <w:lang w:bidi="he-IL"/>
        </w:rPr>
        <w:t xml:space="preserve"> shadow we </w:t>
      </w:r>
      <w:r w:rsidR="00801D82" w:rsidRPr="001F52A8">
        <w:rPr>
          <w:lang w:bidi="he-IL"/>
        </w:rPr>
        <w:t xml:space="preserve">said we </w:t>
      </w:r>
      <w:r w:rsidR="00826CAE" w:rsidRPr="001F52A8">
        <w:rPr>
          <w:lang w:bidi="he-IL"/>
        </w:rPr>
        <w:t>w</w:t>
      </w:r>
      <w:r w:rsidR="00801D82" w:rsidRPr="001F52A8">
        <w:rPr>
          <w:lang w:bidi="he-IL"/>
        </w:rPr>
        <w:t>ould</w:t>
      </w:r>
      <w:r w:rsidR="00826CAE" w:rsidRPr="001F52A8">
        <w:rPr>
          <w:lang w:bidi="he-IL"/>
        </w:rPr>
        <w:t xml:space="preserve"> live among the nations</w:t>
      </w:r>
      <w:r w:rsidR="00C45B35" w:rsidRPr="001F52A8">
        <w:rPr>
          <w:lang w:bidi="he-IL"/>
        </w:rPr>
        <w:t>.”</w:t>
      </w:r>
      <w:r w:rsidR="00826CAE" w:rsidRPr="001F52A8">
        <w:rPr>
          <w:lang w:bidi="he-IL"/>
        </w:rPr>
        <w:t xml:space="preserve"> </w:t>
      </w:r>
      <w:r w:rsidR="00C528F0" w:rsidRPr="001F52A8">
        <w:rPr>
          <w:lang w:bidi="he-IL"/>
        </w:rPr>
        <w:t>Thus “</w:t>
      </w:r>
      <w:r w:rsidR="00C528F0" w:rsidRPr="001F52A8">
        <w:rPr>
          <w:rFonts w:cstheme="minorHAnsi"/>
        </w:rPr>
        <w:t>on the death of the king, the very life of the</w:t>
      </w:r>
      <w:r w:rsidR="00C528F0" w:rsidRPr="001F52A8">
        <w:rPr>
          <w:lang w:bidi="he-IL"/>
        </w:rPr>
        <w:t xml:space="preserve"> </w:t>
      </w:r>
      <w:r w:rsidR="00C528F0" w:rsidRPr="001F52A8">
        <w:rPr>
          <w:rFonts w:cstheme="minorHAnsi"/>
        </w:rPr>
        <w:t>nation is under threat.”</w:t>
      </w:r>
      <w:r w:rsidR="00C528F0" w:rsidRPr="001F52A8">
        <w:rPr>
          <w:rStyle w:val="FootnoteReference"/>
          <w:rFonts w:cstheme="minorHAnsi"/>
        </w:rPr>
        <w:footnoteReference w:id="293"/>
      </w:r>
      <w:r w:rsidR="00536C2D" w:rsidRPr="001F52A8">
        <w:rPr>
          <w:rFonts w:cstheme="minorHAnsi"/>
        </w:rPr>
        <w:t xml:space="preserve"> </w:t>
      </w:r>
      <w:r w:rsidR="00735BF9">
        <w:rPr>
          <w:rFonts w:ascii="Calibri" w:hAnsi="Calibri" w:cs="Calibri"/>
        </w:rPr>
        <w:t>And</w:t>
      </w:r>
      <w:r w:rsidR="007D79C7">
        <w:rPr>
          <w:rFonts w:ascii="Calibri" w:hAnsi="Calibri" w:cs="Calibri"/>
        </w:rPr>
        <w:t xml:space="preserve"> Saul’s</w:t>
      </w:r>
      <w:r w:rsidR="007D79C7" w:rsidRPr="001F52A8">
        <w:rPr>
          <w:rFonts w:ascii="Calibri" w:hAnsi="Calibri" w:cs="Calibri"/>
        </w:rPr>
        <w:t xml:space="preserve"> reign has achieved nothing</w:t>
      </w:r>
      <w:r w:rsidR="00735BF9">
        <w:rPr>
          <w:rFonts w:ascii="Calibri" w:hAnsi="Calibri" w:cs="Calibri"/>
        </w:rPr>
        <w:t>.</w:t>
      </w:r>
      <w:r w:rsidR="007D79C7" w:rsidRPr="001F52A8">
        <w:rPr>
          <w:rFonts w:ascii="Calibri" w:hAnsi="Calibri" w:cs="Calibri"/>
        </w:rPr>
        <w:t xml:space="preserve"> </w:t>
      </w:r>
      <w:r w:rsidR="00536C2D" w:rsidRPr="001F52A8">
        <w:rPr>
          <w:rFonts w:cstheme="minorHAnsi"/>
        </w:rPr>
        <w:t>“</w:t>
      </w:r>
      <w:r w:rsidR="00536C2D" w:rsidRPr="001F52A8">
        <w:rPr>
          <w:rFonts w:ascii="Calibri" w:hAnsi="Calibri" w:cs="Calibri"/>
        </w:rPr>
        <w:t>Israel is once again occupied</w:t>
      </w:r>
      <w:r w:rsidR="00536C2D" w:rsidRPr="001F52A8">
        <w:rPr>
          <w:rFonts w:cstheme="minorHAnsi"/>
        </w:rPr>
        <w:t xml:space="preserve"> </w:t>
      </w:r>
      <w:r w:rsidR="00536C2D" w:rsidRPr="001F52A8">
        <w:rPr>
          <w:rFonts w:ascii="Calibri" w:hAnsi="Calibri" w:cs="Calibri"/>
        </w:rPr>
        <w:t>by the Philistines, returning to the position it had been in prior to</w:t>
      </w:r>
      <w:r w:rsidR="00536C2D" w:rsidRPr="001F52A8">
        <w:rPr>
          <w:rFonts w:cstheme="minorHAnsi"/>
        </w:rPr>
        <w:t xml:space="preserve"> </w:t>
      </w:r>
      <w:r w:rsidR="00536C2D" w:rsidRPr="001F52A8">
        <w:rPr>
          <w:rFonts w:ascii="Calibri" w:hAnsi="Calibri" w:cs="Calibri"/>
        </w:rPr>
        <w:t>Saul's reign.”</w:t>
      </w:r>
      <w:r w:rsidR="007D79C7" w:rsidRPr="001F52A8">
        <w:rPr>
          <w:rStyle w:val="FootnoteReference"/>
          <w:rFonts w:ascii="Calibri" w:hAnsi="Calibri" w:cs="Calibri"/>
        </w:rPr>
        <w:footnoteReference w:id="294"/>
      </w:r>
      <w:r w:rsidR="00536C2D" w:rsidRPr="001F52A8">
        <w:rPr>
          <w:rFonts w:ascii="Calibri" w:hAnsi="Calibri" w:cs="Calibri"/>
        </w:rPr>
        <w:t xml:space="preserve"> </w:t>
      </w:r>
    </w:p>
    <w:p w14:paraId="2961E42B" w14:textId="63B03E0D" w:rsidR="00AF6724" w:rsidRPr="001F52A8" w:rsidRDefault="002A4F1A" w:rsidP="00263202">
      <w:pPr>
        <w:rPr>
          <w:lang w:bidi="he-IL"/>
        </w:rPr>
      </w:pPr>
      <w:r w:rsidRPr="001F52A8">
        <w:rPr>
          <w:lang w:bidi="he-IL"/>
        </w:rPr>
        <w:t>Irony and ambiguity continue in David’s elegy for Saul and Jonathan. Why would he want it taught (1:18)? An elegy belongs at someone’s funeral. Why would he want it taught specifically to Judahites (1:18)? Is that requirement another affirmation that he, the Judahite, does not rejoice in the death either of the anointed king or his potential successor, and neither should they, and everyone else should note the fact? On the other hand, when the</w:t>
      </w:r>
      <w:r w:rsidR="007D79C7">
        <w:rPr>
          <w:lang w:bidi="he-IL"/>
        </w:rPr>
        <w:t xml:space="preserve"> Philistines</w:t>
      </w:r>
      <w:r w:rsidRPr="001F52A8">
        <w:rPr>
          <w:lang w:bidi="he-IL"/>
        </w:rPr>
        <w:t xml:space="preserve"> already know about the</w:t>
      </w:r>
      <w:r w:rsidR="007D79C7">
        <w:rPr>
          <w:lang w:bidi="he-IL"/>
        </w:rPr>
        <w:t>se deaths</w:t>
      </w:r>
      <w:r w:rsidRPr="001F52A8">
        <w:rPr>
          <w:lang w:bidi="he-IL"/>
        </w:rPr>
        <w:t xml:space="preserve"> because they brought them about (1:20</w:t>
      </w:r>
      <w:r w:rsidR="0022399F" w:rsidRPr="001F52A8">
        <w:rPr>
          <w:lang w:bidi="he-IL"/>
        </w:rPr>
        <w:t>; cf. 1 Sam 31:9</w:t>
      </w:r>
      <w:r w:rsidRPr="001F52A8">
        <w:rPr>
          <w:lang w:bidi="he-IL"/>
        </w:rPr>
        <w:t>)</w:t>
      </w:r>
      <w:r w:rsidR="007D79C7">
        <w:rPr>
          <w:lang w:bidi="he-IL"/>
        </w:rPr>
        <w:t xml:space="preserve">, </w:t>
      </w:r>
      <w:r w:rsidR="007D79C7" w:rsidRPr="001F52A8">
        <w:rPr>
          <w:lang w:bidi="he-IL"/>
        </w:rPr>
        <w:t>why avoid letting the Philistines know about the</w:t>
      </w:r>
      <w:r w:rsidR="007D79C7">
        <w:rPr>
          <w:lang w:bidi="he-IL"/>
        </w:rPr>
        <w:t>m</w:t>
      </w:r>
      <w:r w:rsidRPr="001F52A8">
        <w:rPr>
          <w:lang w:bidi="he-IL"/>
        </w:rPr>
        <w:t>?</w:t>
      </w:r>
      <w:r w:rsidR="003F4A59" w:rsidRPr="001F52A8">
        <w:rPr>
          <w:rStyle w:val="FootnoteReference"/>
          <w:lang w:bidi="he-IL"/>
        </w:rPr>
        <w:footnoteReference w:id="295"/>
      </w:r>
      <w:r w:rsidRPr="001F52A8">
        <w:rPr>
          <w:lang w:bidi="he-IL"/>
        </w:rPr>
        <w:t xml:space="preserve"> </w:t>
      </w:r>
      <w:r w:rsidR="00C34267">
        <w:rPr>
          <w:lang w:bidi="he-IL"/>
        </w:rPr>
        <w:t>B</w:t>
      </w:r>
      <w:r w:rsidR="002418D7" w:rsidRPr="001F52A8">
        <w:rPr>
          <w:lang w:bidi="he-IL"/>
        </w:rPr>
        <w:t xml:space="preserve">ut rhetorically </w:t>
      </w:r>
      <w:r w:rsidR="00D90A30" w:rsidRPr="001F52A8">
        <w:rPr>
          <w:lang w:bidi="he-IL"/>
        </w:rPr>
        <w:t>the exhortation functions a</w:t>
      </w:r>
      <w:r w:rsidR="007D79C7">
        <w:rPr>
          <w:lang w:bidi="he-IL"/>
        </w:rPr>
        <w:t>s</w:t>
      </w:r>
      <w:r w:rsidR="00D90A30" w:rsidRPr="001F52A8">
        <w:rPr>
          <w:lang w:bidi="he-IL"/>
        </w:rPr>
        <w:t xml:space="preserve"> an expression of sorrow at the fact that </w:t>
      </w:r>
      <w:r w:rsidR="002C1E8F" w:rsidRPr="001F52A8">
        <w:rPr>
          <w:lang w:bidi="he-IL"/>
        </w:rPr>
        <w:t>the Philistine women will indeed rejoice.</w:t>
      </w:r>
      <w:r w:rsidR="002C1E8F" w:rsidRPr="001F52A8">
        <w:rPr>
          <w:rStyle w:val="FootnoteReference"/>
          <w:lang w:bidi="he-IL"/>
        </w:rPr>
        <w:footnoteReference w:id="296"/>
      </w:r>
      <w:r w:rsidR="002C1E8F" w:rsidRPr="001F52A8">
        <w:rPr>
          <w:lang w:bidi="he-IL"/>
        </w:rPr>
        <w:t xml:space="preserve"> </w:t>
      </w:r>
      <w:r w:rsidR="0043404A" w:rsidRPr="001F52A8">
        <w:rPr>
          <w:lang w:bidi="he-IL"/>
        </w:rPr>
        <w:t xml:space="preserve">Saul and Jonathan were great shedders of blood and </w:t>
      </w:r>
      <w:r w:rsidR="00FF50AF" w:rsidRPr="001F52A8">
        <w:rPr>
          <w:lang w:bidi="he-IL"/>
        </w:rPr>
        <w:t xml:space="preserve">piercers of </w:t>
      </w:r>
      <w:r w:rsidR="00465AED" w:rsidRPr="001F52A8">
        <w:rPr>
          <w:lang w:bidi="he-IL"/>
        </w:rPr>
        <w:t>bodies (1:2</w:t>
      </w:r>
      <w:r w:rsidR="00867346" w:rsidRPr="001F52A8">
        <w:rPr>
          <w:lang w:bidi="he-IL"/>
        </w:rPr>
        <w:t xml:space="preserve">2)? </w:t>
      </w:r>
      <w:r w:rsidR="00C34267">
        <w:rPr>
          <w:lang w:bidi="he-IL"/>
        </w:rPr>
        <w:t>T</w:t>
      </w:r>
      <w:r w:rsidR="00867346" w:rsidRPr="001F52A8">
        <w:rPr>
          <w:lang w:bidi="he-IL"/>
        </w:rPr>
        <w:t>h</w:t>
      </w:r>
      <w:r w:rsidR="007D79C7">
        <w:rPr>
          <w:lang w:bidi="he-IL"/>
        </w:rPr>
        <w:t>e person talking</w:t>
      </w:r>
      <w:r w:rsidR="00867346" w:rsidRPr="001F52A8">
        <w:rPr>
          <w:lang w:bidi="he-IL"/>
        </w:rPr>
        <w:t xml:space="preserve"> is the great killer David! They</w:t>
      </w:r>
      <w:r w:rsidRPr="001F52A8">
        <w:rPr>
          <w:lang w:bidi="he-IL"/>
        </w:rPr>
        <w:t xml:space="preserve"> were always victorious, equally speedy and strong (1:22-23)</w:t>
      </w:r>
      <w:r w:rsidR="00A114A2" w:rsidRPr="001F52A8">
        <w:rPr>
          <w:lang w:bidi="he-IL"/>
        </w:rPr>
        <w:t>?</w:t>
      </w:r>
      <w:r w:rsidR="0031798A" w:rsidRPr="001F52A8">
        <w:rPr>
          <w:lang w:bidi="he-IL"/>
        </w:rPr>
        <w:t xml:space="preserve"> </w:t>
      </w:r>
      <w:r w:rsidR="00C34267">
        <w:rPr>
          <w:lang w:bidi="he-IL"/>
        </w:rPr>
        <w:t>A</w:t>
      </w:r>
      <w:r w:rsidR="0031798A" w:rsidRPr="001F52A8">
        <w:rPr>
          <w:lang w:bidi="he-IL"/>
        </w:rPr>
        <w:t xml:space="preserve">ctually </w:t>
      </w:r>
      <w:r w:rsidR="00A114A2" w:rsidRPr="001F52A8">
        <w:rPr>
          <w:lang w:bidi="he-IL"/>
        </w:rPr>
        <w:t xml:space="preserve">1 Sam </w:t>
      </w:r>
      <w:r w:rsidR="0031798A" w:rsidRPr="001F52A8">
        <w:rPr>
          <w:lang w:bidi="he-IL"/>
        </w:rPr>
        <w:t xml:space="preserve">14:47-52 </w:t>
      </w:r>
      <w:r w:rsidR="00A114A2" w:rsidRPr="001F52A8">
        <w:rPr>
          <w:lang w:bidi="he-IL"/>
        </w:rPr>
        <w:t xml:space="preserve">did </w:t>
      </w:r>
      <w:r w:rsidR="0031798A" w:rsidRPr="001F52A8">
        <w:rPr>
          <w:lang w:bidi="he-IL"/>
        </w:rPr>
        <w:t>impl</w:t>
      </w:r>
      <w:r w:rsidR="00A114A2" w:rsidRPr="001F52A8">
        <w:rPr>
          <w:lang w:bidi="he-IL"/>
        </w:rPr>
        <w:t>y</w:t>
      </w:r>
      <w:r w:rsidR="0031798A" w:rsidRPr="001F52A8">
        <w:rPr>
          <w:lang w:bidi="he-IL"/>
        </w:rPr>
        <w:t xml:space="preserve"> someth</w:t>
      </w:r>
      <w:r w:rsidR="00A114A2" w:rsidRPr="001F52A8">
        <w:rPr>
          <w:lang w:bidi="he-IL"/>
        </w:rPr>
        <w:t>ing along those lines.</w:t>
      </w:r>
      <w:r w:rsidRPr="001F52A8">
        <w:rPr>
          <w:lang w:bidi="he-IL"/>
        </w:rPr>
        <w:t xml:space="preserve"> Both of them were </w:t>
      </w:r>
      <w:r w:rsidRPr="001F52A8">
        <w:rPr>
          <w:rFonts w:cstheme="minorHAnsi"/>
        </w:rPr>
        <w:t xml:space="preserve">lovable and </w:t>
      </w:r>
      <w:r w:rsidRPr="001F52A8">
        <w:t xml:space="preserve">gracious (1:23)? </w:t>
      </w:r>
      <w:r w:rsidRPr="001F52A8">
        <w:rPr>
          <w:lang w:bidi="he-IL"/>
        </w:rPr>
        <w:t xml:space="preserve">They were parted neither in life nor in death (1:23)? </w:t>
      </w:r>
      <w:r w:rsidR="002839E5">
        <w:rPr>
          <w:lang w:bidi="he-IL"/>
        </w:rPr>
        <w:t>W</w:t>
      </w:r>
      <w:r w:rsidR="00E463F8" w:rsidRPr="001F52A8">
        <w:rPr>
          <w:lang w:bidi="he-IL"/>
        </w:rPr>
        <w:t xml:space="preserve">hat about the </w:t>
      </w:r>
      <w:r w:rsidR="00E463F8" w:rsidRPr="001F52A8">
        <w:rPr>
          <w:lang w:bidi="he-IL"/>
        </w:rPr>
        <w:lastRenderedPageBreak/>
        <w:t>conflict between them, over David!</w:t>
      </w:r>
      <w:r w:rsidR="00117026">
        <w:rPr>
          <w:lang w:bidi="he-IL"/>
        </w:rPr>
        <w:t>?</w:t>
      </w:r>
      <w:r w:rsidR="00FD4669" w:rsidRPr="001F52A8">
        <w:rPr>
          <w:rStyle w:val="FootnoteReference"/>
          <w:lang w:bidi="he-IL"/>
        </w:rPr>
        <w:footnoteReference w:id="297"/>
      </w:r>
      <w:r w:rsidR="00E463F8" w:rsidRPr="001F52A8">
        <w:rPr>
          <w:lang w:bidi="he-IL"/>
        </w:rPr>
        <w:t xml:space="preserve"> </w:t>
      </w:r>
      <w:r w:rsidR="009C725D" w:rsidRPr="001F52A8">
        <w:rPr>
          <w:lang w:bidi="he-IL"/>
        </w:rPr>
        <w:t>David speaks with “elegiac generosity.”</w:t>
      </w:r>
      <w:r w:rsidR="00FE61BE" w:rsidRPr="001F52A8">
        <w:rPr>
          <w:rStyle w:val="FootnoteReference"/>
          <w:lang w:bidi="he-IL"/>
        </w:rPr>
        <w:footnoteReference w:id="298"/>
      </w:r>
      <w:r w:rsidR="009C725D" w:rsidRPr="001F52A8">
        <w:rPr>
          <w:lang w:bidi="he-IL"/>
        </w:rPr>
        <w:t xml:space="preserve"> </w:t>
      </w:r>
      <w:r w:rsidRPr="001F52A8">
        <w:t>Saul decked the Israelite women in crimson luxury and gold ornaments (1:24)?</w:t>
      </w:r>
      <w:r w:rsidR="000C1C5D" w:rsidRPr="001F52A8">
        <w:t xml:space="preserve"> The elegy is a eulogy,</w:t>
      </w:r>
      <w:r w:rsidR="00F4621D" w:rsidRPr="001F52A8">
        <w:rPr>
          <w:rStyle w:val="FootnoteReference"/>
        </w:rPr>
        <w:footnoteReference w:id="299"/>
      </w:r>
      <w:r w:rsidR="000C1C5D" w:rsidRPr="001F52A8">
        <w:t xml:space="preserve"> and eulogies don</w:t>
      </w:r>
      <w:r w:rsidR="00A077D3">
        <w:t>’</w:t>
      </w:r>
      <w:r w:rsidR="000C1C5D" w:rsidRPr="001F52A8">
        <w:t>t tell the whole truth.</w:t>
      </w:r>
      <w:r w:rsidR="00A077D3">
        <w:t xml:space="preserve"> </w:t>
      </w:r>
      <w:r w:rsidR="00A45BAD" w:rsidRPr="001F52A8">
        <w:rPr>
          <w:lang w:bidi="he-IL"/>
        </w:rPr>
        <w:t xml:space="preserve">David’s words have a </w:t>
      </w:r>
      <w:r w:rsidR="00477DE9" w:rsidRPr="001F52A8">
        <w:rPr>
          <w:lang w:bidi="he-IL"/>
        </w:rPr>
        <w:t>“</w:t>
      </w:r>
      <w:r w:rsidR="00A45BAD" w:rsidRPr="001F52A8">
        <w:rPr>
          <w:rFonts w:cstheme="minorHAnsi"/>
        </w:rPr>
        <w:t>calculated eloquence</w:t>
      </w:r>
      <w:r w:rsidR="00477DE9" w:rsidRPr="001F52A8">
        <w:rPr>
          <w:rFonts w:cstheme="minorHAnsi"/>
        </w:rPr>
        <w:t>,” an</w:t>
      </w:r>
      <w:r w:rsidR="00A45BAD" w:rsidRPr="001F52A8">
        <w:rPr>
          <w:rFonts w:cstheme="minorHAnsi"/>
        </w:rPr>
        <w:t xml:space="preserve"> </w:t>
      </w:r>
      <w:r w:rsidR="00477DE9" w:rsidRPr="001F52A8">
        <w:rPr>
          <w:rFonts w:cstheme="minorHAnsi"/>
        </w:rPr>
        <w:t>“</w:t>
      </w:r>
      <w:r w:rsidR="00A45BAD" w:rsidRPr="001F52A8">
        <w:rPr>
          <w:rFonts w:cstheme="minorHAnsi"/>
        </w:rPr>
        <w:t>intended rhetorical effect on</w:t>
      </w:r>
      <w:r w:rsidR="00477DE9" w:rsidRPr="001F52A8">
        <w:rPr>
          <w:rFonts w:cstheme="minorHAnsi"/>
        </w:rPr>
        <w:t xml:space="preserve"> an audience.”</w:t>
      </w:r>
      <w:r w:rsidR="00477DE9" w:rsidRPr="001F52A8">
        <w:rPr>
          <w:rStyle w:val="FootnoteReference"/>
          <w:rFonts w:cstheme="minorHAnsi"/>
        </w:rPr>
        <w:footnoteReference w:id="300"/>
      </w:r>
      <w:r w:rsidR="00E651CC" w:rsidRPr="001F52A8">
        <w:rPr>
          <w:rFonts w:cstheme="minorHAnsi"/>
        </w:rPr>
        <w:t xml:space="preserve"> </w:t>
      </w:r>
      <w:r w:rsidR="0036349A" w:rsidRPr="001F52A8">
        <w:rPr>
          <w:rFonts w:cstheme="minorHAnsi"/>
        </w:rPr>
        <w:t>Who, then, knows what feelings lie behind them</w:t>
      </w:r>
      <w:r w:rsidR="0036349A">
        <w:rPr>
          <w:rFonts w:cstheme="minorHAnsi"/>
        </w:rPr>
        <w:t xml:space="preserve">? But </w:t>
      </w:r>
      <w:r w:rsidR="004C22D6">
        <w:t>t</w:t>
      </w:r>
      <w:r w:rsidR="004C22D6" w:rsidRPr="001F52A8">
        <w:t>he elegy parallels the honoring of Saul and his sons by the Jabeshites</w:t>
      </w:r>
      <w:r w:rsidR="004C22D6">
        <w:t>,</w:t>
      </w:r>
      <w:r w:rsidR="004C22D6" w:rsidRPr="001F52A8">
        <w:t xml:space="preserve"> as the Amalekite’s story parallels the narrator’s account</w:t>
      </w:r>
      <w:r w:rsidR="004C22D6">
        <w:t xml:space="preserve">. </w:t>
      </w:r>
      <w:r w:rsidR="00181526">
        <w:rPr>
          <w:rFonts w:cstheme="minorHAnsi"/>
        </w:rPr>
        <w:t>“</w:t>
      </w:r>
      <w:r w:rsidR="004C22D6">
        <w:rPr>
          <w:rFonts w:cstheme="minorHAnsi"/>
        </w:rPr>
        <w:t>A</w:t>
      </w:r>
      <w:r w:rsidR="00181526">
        <w:rPr>
          <w:rFonts w:cstheme="minorHAnsi"/>
        </w:rPr>
        <w:t xml:space="preserve">lthough the </w:t>
      </w:r>
      <w:r w:rsidR="00FE1DBD">
        <w:rPr>
          <w:rFonts w:cstheme="minorHAnsi"/>
        </w:rPr>
        <w:t>L</w:t>
      </w:r>
      <w:r w:rsidR="00181526">
        <w:rPr>
          <w:rFonts w:cstheme="minorHAnsi"/>
        </w:rPr>
        <w:t>ament might serve David, it serves the memory of Saul and Jonathan more.</w:t>
      </w:r>
      <w:r w:rsidR="00116B68">
        <w:rPr>
          <w:rFonts w:cstheme="minorHAnsi"/>
        </w:rPr>
        <w:t>”</w:t>
      </w:r>
      <w:r w:rsidR="00FE1DBD">
        <w:rPr>
          <w:rStyle w:val="FootnoteReference"/>
          <w:rFonts w:cstheme="minorHAnsi"/>
        </w:rPr>
        <w:footnoteReference w:id="301"/>
      </w:r>
      <w:r w:rsidR="00AF6724" w:rsidRPr="001F52A8">
        <w:rPr>
          <w:lang w:bidi="he-IL"/>
        </w:rPr>
        <w:br w:type="page"/>
      </w:r>
    </w:p>
    <w:p w14:paraId="76B449CB" w14:textId="453D1DBE" w:rsidR="00D84E30" w:rsidRPr="001F52A8" w:rsidRDefault="00D84E30" w:rsidP="00DE39DB">
      <w:pPr>
        <w:pStyle w:val="Heading1"/>
        <w:numPr>
          <w:ilvl w:val="0"/>
          <w:numId w:val="19"/>
        </w:numPr>
      </w:pPr>
      <w:r w:rsidRPr="001F52A8">
        <w:lastRenderedPageBreak/>
        <w:t xml:space="preserve">Yahweh </w:t>
      </w:r>
      <w:r w:rsidR="0073160F" w:rsidRPr="001F52A8">
        <w:t>W</w:t>
      </w:r>
      <w:r w:rsidRPr="001F52A8">
        <w:t xml:space="preserve">ho </w:t>
      </w:r>
      <w:r w:rsidR="0073160F" w:rsidRPr="001F52A8">
        <w:t>E</w:t>
      </w:r>
      <w:r w:rsidRPr="001F52A8">
        <w:t xml:space="preserve">stablishes a </w:t>
      </w:r>
      <w:r w:rsidR="0073160F" w:rsidRPr="001F52A8">
        <w:t>K</w:t>
      </w:r>
      <w:r w:rsidRPr="001F52A8">
        <w:t xml:space="preserve">ing (2 Samuel </w:t>
      </w:r>
      <w:r w:rsidR="004D0EA2" w:rsidRPr="001F52A8">
        <w:t>2</w:t>
      </w:r>
      <w:r w:rsidRPr="001F52A8">
        <w:t xml:space="preserve"> – 12)</w:t>
      </w:r>
    </w:p>
    <w:p w14:paraId="7D668CD6" w14:textId="52EE328F" w:rsidR="009A1564" w:rsidRPr="001F52A8" w:rsidRDefault="002661E5" w:rsidP="00E953DB">
      <w:r>
        <w:t xml:space="preserve">Like </w:t>
      </w:r>
      <w:r w:rsidR="008001F0" w:rsidRPr="001F52A8">
        <w:t xml:space="preserve">Samuel </w:t>
      </w:r>
      <w:r>
        <w:t>as a whole</w:t>
      </w:r>
      <w:r w:rsidR="00750080" w:rsidRPr="001F52A8">
        <w:t>, 2</w:t>
      </w:r>
      <w:r w:rsidR="000C59C9" w:rsidRPr="001F52A8">
        <w:t xml:space="preserve"> </w:t>
      </w:r>
      <w:r w:rsidR="00750080" w:rsidRPr="001F52A8">
        <w:t xml:space="preserve">Samuel 2 </w:t>
      </w:r>
      <w:r w:rsidR="0069694B" w:rsidRPr="001F52A8">
        <w:t>–</w:t>
      </w:r>
      <w:r w:rsidR="00750080" w:rsidRPr="001F52A8">
        <w:t xml:space="preserve"> 1</w:t>
      </w:r>
      <w:r w:rsidR="0069694B" w:rsidRPr="001F52A8">
        <w:t xml:space="preserve">0 </w:t>
      </w:r>
      <w:r w:rsidR="00E30F40" w:rsidRPr="001F52A8">
        <w:t>works in a rough chronological order</w:t>
      </w:r>
      <w:r w:rsidR="00E71235" w:rsidRPr="001F52A8">
        <w:t xml:space="preserve"> but </w:t>
      </w:r>
      <w:r w:rsidR="0036349A" w:rsidRPr="001F52A8">
        <w:t xml:space="preserve">also groups related events </w:t>
      </w:r>
      <w:r w:rsidR="001E1368" w:rsidRPr="001F52A8">
        <w:t>within that broad framework</w:t>
      </w:r>
      <w:r w:rsidR="000C59C9" w:rsidRPr="001F52A8">
        <w:t xml:space="preserve">. </w:t>
      </w:r>
      <w:r w:rsidR="0036349A">
        <w:t>T</w:t>
      </w:r>
      <w:r w:rsidR="00662CE0" w:rsidRPr="001F52A8">
        <w:t>he</w:t>
      </w:r>
      <w:r w:rsidR="0036349A">
        <w:t>se</w:t>
      </w:r>
      <w:r w:rsidR="00662CE0" w:rsidRPr="001F52A8">
        <w:t xml:space="preserve"> chapters </w:t>
      </w:r>
      <w:r w:rsidR="002A279B" w:rsidRPr="001F52A8">
        <w:t xml:space="preserve">cover </w:t>
      </w:r>
      <w:r w:rsidR="00EA07B5" w:rsidRPr="001F52A8">
        <w:t xml:space="preserve">the positive side to David’s reign </w:t>
      </w:r>
      <w:r w:rsidR="00721A6E" w:rsidRPr="001F52A8">
        <w:t>before</w:t>
      </w:r>
      <w:r w:rsidR="00A85FF0" w:rsidRPr="001F52A8">
        <w:t xml:space="preserve"> the narrative comes to</w:t>
      </w:r>
      <w:r w:rsidR="003B6FAF" w:rsidRPr="001F52A8">
        <w:t xml:space="preserve"> </w:t>
      </w:r>
      <w:r w:rsidR="00721A6E" w:rsidRPr="001F52A8">
        <w:t>Da</w:t>
      </w:r>
      <w:r w:rsidR="003B6FAF" w:rsidRPr="001F52A8">
        <w:t>v</w:t>
      </w:r>
      <w:r w:rsidR="00721A6E" w:rsidRPr="001F52A8">
        <w:t>id’s affair</w:t>
      </w:r>
      <w:r w:rsidR="00CE011E" w:rsidRPr="001F52A8">
        <w:t xml:space="preserve"> and </w:t>
      </w:r>
      <w:r w:rsidR="0036349A">
        <w:t xml:space="preserve">the </w:t>
      </w:r>
      <w:r w:rsidR="00CE011E" w:rsidRPr="001F52A8">
        <w:t>killing of Uriah</w:t>
      </w:r>
      <w:r w:rsidR="00E42C27" w:rsidRPr="001F52A8">
        <w:t xml:space="preserve"> with</w:t>
      </w:r>
      <w:r w:rsidR="00CE011E" w:rsidRPr="001F52A8">
        <w:t xml:space="preserve"> </w:t>
      </w:r>
      <w:r w:rsidR="00E953DB" w:rsidRPr="001F52A8">
        <w:t>its</w:t>
      </w:r>
      <w:r w:rsidR="00CE011E" w:rsidRPr="001F52A8">
        <w:t xml:space="preserve"> </w:t>
      </w:r>
      <w:r w:rsidR="00A85FF0" w:rsidRPr="001F52A8">
        <w:t>g</w:t>
      </w:r>
      <w:r w:rsidR="00CE011E" w:rsidRPr="001F52A8">
        <w:t>rim aftermath</w:t>
      </w:r>
      <w:r w:rsidR="00A85FF0" w:rsidRPr="001F52A8">
        <w:t>.</w:t>
      </w:r>
      <w:r w:rsidR="002A279B" w:rsidRPr="001F52A8">
        <w:t xml:space="preserve"> </w:t>
      </w:r>
      <w:r w:rsidR="0036349A">
        <w:t>T</w:t>
      </w:r>
      <w:r w:rsidR="009C187D" w:rsidRPr="001F52A8">
        <w:t>he</w:t>
      </w:r>
      <w:r w:rsidR="00E953DB" w:rsidRPr="001F52A8">
        <w:t xml:space="preserve"> chapters</w:t>
      </w:r>
      <w:r w:rsidR="009C187D" w:rsidRPr="001F52A8">
        <w:t xml:space="preserve"> raise issues concerning </w:t>
      </w:r>
      <w:r w:rsidR="00BF06B9" w:rsidRPr="001F52A8">
        <w:t xml:space="preserve">key </w:t>
      </w:r>
      <w:r w:rsidR="00C02B79" w:rsidRPr="001F52A8">
        <w:t>aspects of</w:t>
      </w:r>
      <w:r w:rsidR="00BF06B9" w:rsidRPr="001F52A8">
        <w:t xml:space="preserve"> the na</w:t>
      </w:r>
      <w:r w:rsidR="0036349A">
        <w:t>tion’s life</w:t>
      </w:r>
      <w:r w:rsidR="00155D74" w:rsidRPr="001F52A8">
        <w:t>:</w:t>
      </w:r>
      <w:r w:rsidR="00E378BC" w:rsidRPr="001F52A8">
        <w:t xml:space="preserve"> </w:t>
      </w:r>
      <w:r w:rsidR="00C54D39" w:rsidRPr="001F52A8">
        <w:t xml:space="preserve">government, </w:t>
      </w:r>
      <w:r w:rsidR="00C02B79" w:rsidRPr="001F52A8">
        <w:t xml:space="preserve">family, </w:t>
      </w:r>
      <w:r w:rsidR="00DF1537" w:rsidRPr="001F52A8">
        <w:t xml:space="preserve">a capital city, defense, </w:t>
      </w:r>
      <w:r w:rsidR="00E378BC" w:rsidRPr="001F52A8">
        <w:t xml:space="preserve">the </w:t>
      </w:r>
      <w:r w:rsidR="008F2D3E" w:rsidRPr="001F52A8">
        <w:t>main place of worship</w:t>
      </w:r>
      <w:r w:rsidR="00EC1F81" w:rsidRPr="001F52A8">
        <w:t>, and Yahweh’s promises for David’s dynasty</w:t>
      </w:r>
      <w:r w:rsidR="008F2D3E" w:rsidRPr="001F52A8">
        <w:t xml:space="preserve">. In each case, the narrative </w:t>
      </w:r>
      <w:r w:rsidR="0047150C" w:rsidRPr="001F52A8">
        <w:t xml:space="preserve">brings out the theological ambiguity of the </w:t>
      </w:r>
      <w:r w:rsidR="00FF1961" w:rsidRPr="001F52A8">
        <w:t>subject</w:t>
      </w:r>
      <w:r w:rsidR="00DF06EE">
        <w:t>,</w:t>
      </w:r>
      <w:r w:rsidR="00FF1961" w:rsidRPr="001F52A8">
        <w:t xml:space="preserve"> or the wider First Testament context does so.</w:t>
      </w:r>
    </w:p>
    <w:p w14:paraId="6B8856B0" w14:textId="6B50A963" w:rsidR="00CE52C0" w:rsidRPr="001F52A8" w:rsidRDefault="002E59BD" w:rsidP="000B0A0F">
      <w:pPr>
        <w:pStyle w:val="Heading2"/>
        <w:rPr>
          <w:lang w:bidi="he-IL"/>
        </w:rPr>
      </w:pPr>
      <w:r w:rsidRPr="001F52A8">
        <w:rPr>
          <w:lang w:bidi="he-IL"/>
        </w:rPr>
        <w:t>Government</w:t>
      </w:r>
      <w:r w:rsidR="00F57A89" w:rsidRPr="001F52A8">
        <w:rPr>
          <w:lang w:bidi="he-IL"/>
        </w:rPr>
        <w:t>: David’s Kingship</w:t>
      </w:r>
    </w:p>
    <w:p w14:paraId="323DB828" w14:textId="640527BB" w:rsidR="00B9224D" w:rsidRPr="001F52A8" w:rsidRDefault="00890567" w:rsidP="00B9224D">
      <w:pPr>
        <w:rPr>
          <w:lang w:bidi="he-IL"/>
        </w:rPr>
      </w:pPr>
      <w:r w:rsidRPr="001F52A8">
        <w:rPr>
          <w:lang w:bidi="he-IL"/>
        </w:rPr>
        <w:t xml:space="preserve">The </w:t>
      </w:r>
      <w:r w:rsidR="00CF1E76">
        <w:rPr>
          <w:lang w:bidi="he-IL"/>
        </w:rPr>
        <w:t>auditor</w:t>
      </w:r>
      <w:r w:rsidR="00434B86" w:rsidRPr="001F52A8">
        <w:rPr>
          <w:lang w:bidi="he-IL"/>
        </w:rPr>
        <w:t xml:space="preserve">s, the narrator, and David himself, know what </w:t>
      </w:r>
      <w:r w:rsidR="004E7A53" w:rsidRPr="001F52A8">
        <w:rPr>
          <w:lang w:bidi="he-IL"/>
        </w:rPr>
        <w:t xml:space="preserve">is due to happen </w:t>
      </w:r>
      <w:r w:rsidR="001A22D7" w:rsidRPr="001F52A8">
        <w:rPr>
          <w:lang w:bidi="he-IL"/>
        </w:rPr>
        <w:t>after Saul’s death</w:t>
      </w:r>
      <w:r w:rsidR="004E7A53" w:rsidRPr="001F52A8">
        <w:rPr>
          <w:lang w:bidi="he-IL"/>
        </w:rPr>
        <w:t xml:space="preserve">. </w:t>
      </w:r>
      <w:r w:rsidR="000473B1" w:rsidRPr="001F52A8">
        <w:rPr>
          <w:lang w:bidi="he-IL"/>
        </w:rPr>
        <w:t xml:space="preserve">David needs </w:t>
      </w:r>
      <w:r w:rsidR="004E7A53" w:rsidRPr="001F52A8">
        <w:rPr>
          <w:lang w:bidi="he-IL"/>
        </w:rPr>
        <w:t xml:space="preserve">no </w:t>
      </w:r>
      <w:r w:rsidR="000473B1" w:rsidRPr="001F52A8">
        <w:rPr>
          <w:lang w:bidi="he-IL"/>
        </w:rPr>
        <w:t>prophetic</w:t>
      </w:r>
      <w:r w:rsidR="004E7A53" w:rsidRPr="001F52A8">
        <w:rPr>
          <w:lang w:bidi="he-IL"/>
        </w:rPr>
        <w:t xml:space="preserve"> anointing; Samuel per</w:t>
      </w:r>
      <w:r w:rsidR="003E50C5" w:rsidRPr="001F52A8">
        <w:rPr>
          <w:lang w:bidi="he-IL"/>
        </w:rPr>
        <w:t xml:space="preserve">formed it long ago. </w:t>
      </w:r>
      <w:r w:rsidR="00CD52F4" w:rsidRPr="001F52A8">
        <w:rPr>
          <w:lang w:bidi="he-IL"/>
        </w:rPr>
        <w:t>But</w:t>
      </w:r>
      <w:r w:rsidR="00DC1FB2" w:rsidRPr="001F52A8">
        <w:rPr>
          <w:lang w:bidi="he-IL"/>
        </w:rPr>
        <w:t xml:space="preserve"> </w:t>
      </w:r>
      <w:r w:rsidR="00CD52F4" w:rsidRPr="001F52A8">
        <w:rPr>
          <w:lang w:bidi="he-IL"/>
        </w:rPr>
        <w:t xml:space="preserve">Saul’s anointing and David’s anointing </w:t>
      </w:r>
      <w:r w:rsidR="00C479AE" w:rsidRPr="001F52A8">
        <w:rPr>
          <w:lang w:bidi="he-IL"/>
        </w:rPr>
        <w:t xml:space="preserve">were </w:t>
      </w:r>
      <w:r w:rsidR="00CD52F4" w:rsidRPr="001F52A8">
        <w:rPr>
          <w:lang w:bidi="he-IL"/>
        </w:rPr>
        <w:t>private</w:t>
      </w:r>
      <w:r w:rsidR="00D354C6" w:rsidRPr="001F52A8">
        <w:rPr>
          <w:lang w:bidi="he-IL"/>
        </w:rPr>
        <w:t xml:space="preserve"> </w:t>
      </w:r>
      <w:r w:rsidR="00906299" w:rsidRPr="001F52A8">
        <w:rPr>
          <w:lang w:bidi="he-IL"/>
        </w:rPr>
        <w:t>or family</w:t>
      </w:r>
      <w:r w:rsidR="00CD52F4" w:rsidRPr="001F52A8">
        <w:rPr>
          <w:lang w:bidi="he-IL"/>
        </w:rPr>
        <w:t xml:space="preserve"> affairs. </w:t>
      </w:r>
      <w:r w:rsidR="007C7E7B" w:rsidRPr="001F52A8">
        <w:rPr>
          <w:lang w:bidi="he-IL"/>
        </w:rPr>
        <w:t>Humanly-s</w:t>
      </w:r>
      <w:r w:rsidR="00B946AB" w:rsidRPr="001F52A8">
        <w:rPr>
          <w:lang w:bidi="he-IL"/>
        </w:rPr>
        <w:t>peaking or politically-speaking, they didn</w:t>
      </w:r>
      <w:r w:rsidR="00DF06EE">
        <w:rPr>
          <w:lang w:bidi="he-IL"/>
        </w:rPr>
        <w:t>’</w:t>
      </w:r>
      <w:r w:rsidR="00B946AB" w:rsidRPr="001F52A8">
        <w:rPr>
          <w:lang w:bidi="he-IL"/>
        </w:rPr>
        <w:t xml:space="preserve">t bring about </w:t>
      </w:r>
      <w:r w:rsidR="00DC1FB2" w:rsidRPr="001F52A8">
        <w:rPr>
          <w:lang w:bidi="he-IL"/>
        </w:rPr>
        <w:t xml:space="preserve">recognition or </w:t>
      </w:r>
      <w:r w:rsidR="00B946AB" w:rsidRPr="001F52A8">
        <w:rPr>
          <w:lang w:bidi="he-IL"/>
        </w:rPr>
        <w:t xml:space="preserve">enthronement. </w:t>
      </w:r>
      <w:r w:rsidR="00E31B73" w:rsidRPr="001F52A8">
        <w:rPr>
          <w:lang w:bidi="he-IL"/>
        </w:rPr>
        <w:t>Samuel organize</w:t>
      </w:r>
      <w:r w:rsidR="00D354C6" w:rsidRPr="001F52A8">
        <w:rPr>
          <w:lang w:bidi="he-IL"/>
        </w:rPr>
        <w:t>d</w:t>
      </w:r>
      <w:r w:rsidR="00E31B73" w:rsidRPr="001F52A8">
        <w:rPr>
          <w:lang w:bidi="he-IL"/>
        </w:rPr>
        <w:t xml:space="preserve"> it for Saul. Da</w:t>
      </w:r>
      <w:r w:rsidR="004C308C" w:rsidRPr="001F52A8">
        <w:rPr>
          <w:lang w:bidi="he-IL"/>
        </w:rPr>
        <w:t xml:space="preserve">vid now asks Yahweh what to do, implicitly in order to </w:t>
      </w:r>
      <w:r w:rsidR="00147ABC" w:rsidRPr="001F52A8">
        <w:rPr>
          <w:lang w:bidi="he-IL"/>
        </w:rPr>
        <w:t>bring it about</w:t>
      </w:r>
      <w:r w:rsidR="00840877" w:rsidRPr="001F52A8">
        <w:rPr>
          <w:lang w:bidi="he-IL"/>
        </w:rPr>
        <w:t xml:space="preserve"> (2:</w:t>
      </w:r>
      <w:r w:rsidR="00E677F9" w:rsidRPr="001F52A8">
        <w:rPr>
          <w:lang w:bidi="he-IL"/>
        </w:rPr>
        <w:t>1-4</w:t>
      </w:r>
      <w:r w:rsidR="000D2C34" w:rsidRPr="001F52A8">
        <w:rPr>
          <w:lang w:bidi="he-IL"/>
        </w:rPr>
        <w:t>a</w:t>
      </w:r>
      <w:r w:rsidR="00E677F9" w:rsidRPr="001F52A8">
        <w:rPr>
          <w:lang w:bidi="he-IL"/>
        </w:rPr>
        <w:t>)</w:t>
      </w:r>
      <w:r w:rsidR="002F36AC" w:rsidRPr="001F52A8">
        <w:rPr>
          <w:lang w:bidi="he-IL"/>
        </w:rPr>
        <w:t xml:space="preserve">; </w:t>
      </w:r>
      <w:r w:rsidR="00D82A16" w:rsidRPr="001F52A8">
        <w:rPr>
          <w:lang w:bidi="he-IL"/>
        </w:rPr>
        <w:t xml:space="preserve">consulting Yahweh </w:t>
      </w:r>
      <w:r w:rsidR="002F36AC" w:rsidRPr="001F52A8">
        <w:rPr>
          <w:lang w:bidi="he-IL"/>
        </w:rPr>
        <w:t>is w</w:t>
      </w:r>
      <w:r w:rsidR="008E698F" w:rsidRPr="001F52A8">
        <w:rPr>
          <w:lang w:bidi="he-IL"/>
        </w:rPr>
        <w:t>h</w:t>
      </w:r>
      <w:r w:rsidR="002F36AC" w:rsidRPr="001F52A8">
        <w:rPr>
          <w:lang w:bidi="he-IL"/>
        </w:rPr>
        <w:t xml:space="preserve">at he does when </w:t>
      </w:r>
      <w:r w:rsidR="008F147A" w:rsidRPr="001F52A8">
        <w:rPr>
          <w:lang w:bidi="he-IL"/>
        </w:rPr>
        <w:t>there is</w:t>
      </w:r>
      <w:r w:rsidR="008E698F" w:rsidRPr="001F52A8">
        <w:rPr>
          <w:lang w:bidi="he-IL"/>
        </w:rPr>
        <w:t xml:space="preserve"> </w:t>
      </w:r>
      <w:r w:rsidR="00CF1E76">
        <w:rPr>
          <w:lang w:bidi="he-IL"/>
        </w:rPr>
        <w:t xml:space="preserve">or </w:t>
      </w:r>
      <w:r w:rsidR="008E698F" w:rsidRPr="001F52A8">
        <w:rPr>
          <w:lang w:bidi="he-IL"/>
        </w:rPr>
        <w:t>could be</w:t>
      </w:r>
      <w:r w:rsidR="008F147A" w:rsidRPr="001F52A8">
        <w:rPr>
          <w:lang w:bidi="he-IL"/>
        </w:rPr>
        <w:t xml:space="preserve"> conflict between him and his clan (</w:t>
      </w:r>
      <w:r w:rsidR="00A75C1F" w:rsidRPr="001F52A8">
        <w:rPr>
          <w:lang w:bidi="he-IL"/>
        </w:rPr>
        <w:t>1 Sam 23:</w:t>
      </w:r>
      <w:r w:rsidR="00467189" w:rsidRPr="001F52A8">
        <w:rPr>
          <w:lang w:bidi="he-IL"/>
        </w:rPr>
        <w:t>1-13; 30</w:t>
      </w:r>
      <w:r w:rsidR="00896B17" w:rsidRPr="001F52A8">
        <w:rPr>
          <w:lang w:bidi="he-IL"/>
        </w:rPr>
        <w:t>:1-10</w:t>
      </w:r>
      <w:r w:rsidR="008E698F" w:rsidRPr="001F52A8">
        <w:rPr>
          <w:lang w:bidi="he-IL"/>
        </w:rPr>
        <w:t>)</w:t>
      </w:r>
      <w:r w:rsidR="00D33EF4" w:rsidRPr="001F52A8">
        <w:rPr>
          <w:lang w:bidi="he-IL"/>
        </w:rPr>
        <w:t>, and this moment is a key one</w:t>
      </w:r>
      <w:r w:rsidR="00250AE6" w:rsidRPr="001F52A8">
        <w:rPr>
          <w:lang w:bidi="he-IL"/>
        </w:rPr>
        <w:t xml:space="preserve"> for them all</w:t>
      </w:r>
      <w:r w:rsidR="008E698F" w:rsidRPr="001F52A8">
        <w:rPr>
          <w:lang w:bidi="he-IL"/>
        </w:rPr>
        <w:t>.</w:t>
      </w:r>
      <w:r w:rsidR="00467189" w:rsidRPr="001F52A8">
        <w:rPr>
          <w:lang w:bidi="he-IL"/>
        </w:rPr>
        <w:t xml:space="preserve"> </w:t>
      </w:r>
      <w:r w:rsidR="00147ABC" w:rsidRPr="001F52A8">
        <w:rPr>
          <w:lang w:bidi="he-IL"/>
        </w:rPr>
        <w:t>He doesn</w:t>
      </w:r>
      <w:r w:rsidR="00CF1E76">
        <w:rPr>
          <w:lang w:bidi="he-IL"/>
        </w:rPr>
        <w:t>’</w:t>
      </w:r>
      <w:r w:rsidR="00147ABC" w:rsidRPr="001F52A8">
        <w:rPr>
          <w:lang w:bidi="he-IL"/>
        </w:rPr>
        <w:t xml:space="preserve">t ask about </w:t>
      </w:r>
      <w:r w:rsidR="00840877" w:rsidRPr="001F52A8">
        <w:rPr>
          <w:lang w:bidi="he-IL"/>
        </w:rPr>
        <w:t>Benjamin</w:t>
      </w:r>
      <w:r w:rsidR="00492E62" w:rsidRPr="001F52A8">
        <w:rPr>
          <w:lang w:bidi="he-IL"/>
        </w:rPr>
        <w:t>, where Saul was based, but</w:t>
      </w:r>
      <w:r w:rsidR="00840877" w:rsidRPr="001F52A8">
        <w:rPr>
          <w:lang w:bidi="he-IL"/>
        </w:rPr>
        <w:t xml:space="preserve"> about Judah</w:t>
      </w:r>
      <w:r w:rsidR="00DF06EE">
        <w:rPr>
          <w:lang w:bidi="he-IL"/>
        </w:rPr>
        <w:t>.</w:t>
      </w:r>
      <w:r w:rsidR="00492E62" w:rsidRPr="001F52A8">
        <w:rPr>
          <w:lang w:bidi="he-IL"/>
        </w:rPr>
        <w:t xml:space="preserve"> </w:t>
      </w:r>
      <w:r w:rsidR="00DF06EE">
        <w:rPr>
          <w:lang w:bidi="he-IL"/>
        </w:rPr>
        <w:t>H</w:t>
      </w:r>
      <w:r w:rsidR="00492E62" w:rsidRPr="001F52A8">
        <w:rPr>
          <w:lang w:bidi="he-IL"/>
        </w:rPr>
        <w:t xml:space="preserve">e came from </w:t>
      </w:r>
      <w:r w:rsidR="00DF06EE">
        <w:rPr>
          <w:lang w:bidi="he-IL"/>
        </w:rPr>
        <w:t xml:space="preserve">there </w:t>
      </w:r>
      <w:r w:rsidR="00492E62" w:rsidRPr="001F52A8">
        <w:rPr>
          <w:lang w:bidi="he-IL"/>
        </w:rPr>
        <w:t>and</w:t>
      </w:r>
      <w:r w:rsidR="000F1A40" w:rsidRPr="001F52A8">
        <w:rPr>
          <w:lang w:bidi="he-IL"/>
        </w:rPr>
        <w:t xml:space="preserve"> </w:t>
      </w:r>
      <w:r w:rsidR="00492E62" w:rsidRPr="001F52A8">
        <w:rPr>
          <w:lang w:bidi="he-IL"/>
        </w:rPr>
        <w:t xml:space="preserve">has </w:t>
      </w:r>
      <w:r w:rsidR="000F1A40" w:rsidRPr="001F52A8">
        <w:rPr>
          <w:lang w:bidi="he-IL"/>
        </w:rPr>
        <w:t>links</w:t>
      </w:r>
      <w:r w:rsidR="00641A8D" w:rsidRPr="001F52A8">
        <w:rPr>
          <w:lang w:bidi="he-IL"/>
        </w:rPr>
        <w:t xml:space="preserve"> </w:t>
      </w:r>
      <w:r w:rsidR="00DF06EE">
        <w:rPr>
          <w:lang w:bidi="he-IL"/>
        </w:rPr>
        <w:t xml:space="preserve">there, </w:t>
      </w:r>
      <w:r w:rsidR="00641A8D" w:rsidRPr="001F52A8">
        <w:rPr>
          <w:lang w:bidi="he-IL"/>
        </w:rPr>
        <w:t>partly through his marriages</w:t>
      </w:r>
      <w:r w:rsidR="00FB5357" w:rsidRPr="001F52A8">
        <w:rPr>
          <w:lang w:bidi="he-IL"/>
        </w:rPr>
        <w:t>:</w:t>
      </w:r>
      <w:r w:rsidR="00840877" w:rsidRPr="001F52A8">
        <w:rPr>
          <w:lang w:bidi="he-IL"/>
        </w:rPr>
        <w:t xml:space="preserve"> </w:t>
      </w:r>
      <w:r w:rsidR="007665C1" w:rsidRPr="001F52A8">
        <w:rPr>
          <w:lang w:bidi="he-IL"/>
        </w:rPr>
        <w:t>Jezreel (</w:t>
      </w:r>
      <w:r w:rsidR="00FB5357" w:rsidRPr="001F52A8">
        <w:rPr>
          <w:lang w:bidi="he-IL"/>
        </w:rPr>
        <w:t xml:space="preserve">the Jezreel </w:t>
      </w:r>
      <w:r w:rsidR="007665C1" w:rsidRPr="001F52A8">
        <w:rPr>
          <w:lang w:bidi="he-IL"/>
        </w:rPr>
        <w:t>in Judah) and Carmel are both in the Hebron area</w:t>
      </w:r>
      <w:r w:rsidR="00DF06EE">
        <w:rPr>
          <w:lang w:bidi="he-IL"/>
        </w:rPr>
        <w:t xml:space="preserve">. </w:t>
      </w:r>
      <w:r w:rsidR="00840877" w:rsidRPr="001F52A8">
        <w:rPr>
          <w:lang w:bidi="he-IL"/>
        </w:rPr>
        <w:t xml:space="preserve">Otherwise, he leaves it to Yahweh to offer instructions. </w:t>
      </w:r>
      <w:r w:rsidR="00A87D27" w:rsidRPr="001F52A8">
        <w:rPr>
          <w:lang w:bidi="he-IL"/>
        </w:rPr>
        <w:t xml:space="preserve">The narrative </w:t>
      </w:r>
      <w:r w:rsidR="00DC7144" w:rsidRPr="001F52A8">
        <w:rPr>
          <w:lang w:bidi="he-IL"/>
        </w:rPr>
        <w:t>doesn</w:t>
      </w:r>
      <w:r w:rsidR="00DF06EE">
        <w:rPr>
          <w:lang w:bidi="he-IL"/>
        </w:rPr>
        <w:t>’</w:t>
      </w:r>
      <w:r w:rsidR="00DC7144" w:rsidRPr="001F52A8">
        <w:rPr>
          <w:lang w:bidi="he-IL"/>
        </w:rPr>
        <w:t xml:space="preserve">t tell us </w:t>
      </w:r>
      <w:r w:rsidR="00A87D27" w:rsidRPr="001F52A8">
        <w:rPr>
          <w:lang w:bidi="he-IL"/>
        </w:rPr>
        <w:t xml:space="preserve">whether </w:t>
      </w:r>
      <w:r w:rsidR="001C6998" w:rsidRPr="001F52A8">
        <w:rPr>
          <w:lang w:bidi="he-IL"/>
        </w:rPr>
        <w:t>he</w:t>
      </w:r>
      <w:r w:rsidR="00A87D27" w:rsidRPr="001F52A8">
        <w:rPr>
          <w:lang w:bidi="he-IL"/>
        </w:rPr>
        <w:t xml:space="preserve"> was still a client of the Philistines </w:t>
      </w:r>
      <w:r w:rsidR="00DC7144" w:rsidRPr="001F52A8">
        <w:rPr>
          <w:lang w:bidi="he-IL"/>
        </w:rPr>
        <w:t>or whether the people of Hebron had any say in his move there</w:t>
      </w:r>
      <w:r w:rsidR="00773D9D" w:rsidRPr="001F52A8">
        <w:rPr>
          <w:lang w:bidi="he-IL"/>
        </w:rPr>
        <w:t xml:space="preserve"> (</w:t>
      </w:r>
      <w:r w:rsidR="00F36DD8" w:rsidRPr="001F52A8">
        <w:rPr>
          <w:lang w:bidi="he-IL"/>
        </w:rPr>
        <w:t xml:space="preserve">“going up” has </w:t>
      </w:r>
      <w:r w:rsidR="00832802" w:rsidRPr="001F52A8">
        <w:rPr>
          <w:lang w:bidi="he-IL"/>
        </w:rPr>
        <w:t xml:space="preserve">military connotations </w:t>
      </w:r>
      <w:r w:rsidR="005F3E94" w:rsidRPr="001F52A8">
        <w:rPr>
          <w:lang w:bidi="he-IL"/>
        </w:rPr>
        <w:t xml:space="preserve">in </w:t>
      </w:r>
      <w:r w:rsidR="00C358A2" w:rsidRPr="001F52A8">
        <w:rPr>
          <w:lang w:bidi="he-IL"/>
        </w:rPr>
        <w:t xml:space="preserve">2 Sam </w:t>
      </w:r>
      <w:r w:rsidR="005F3E94" w:rsidRPr="001F52A8">
        <w:rPr>
          <w:lang w:bidi="he-IL"/>
        </w:rPr>
        <w:t>5:17, 19)</w:t>
      </w:r>
      <w:r w:rsidR="00DC7144" w:rsidRPr="001F52A8">
        <w:rPr>
          <w:lang w:bidi="he-IL"/>
        </w:rPr>
        <w:t>.</w:t>
      </w:r>
      <w:r w:rsidR="005F3E94" w:rsidRPr="001F52A8">
        <w:rPr>
          <w:rStyle w:val="FootnoteReference"/>
          <w:lang w:bidi="he-IL"/>
        </w:rPr>
        <w:footnoteReference w:id="302"/>
      </w:r>
      <w:r w:rsidR="002B569D" w:rsidRPr="001F52A8">
        <w:rPr>
          <w:lang w:bidi="he-IL"/>
        </w:rPr>
        <w:t xml:space="preserve"> </w:t>
      </w:r>
      <w:r w:rsidR="001C6998" w:rsidRPr="001F52A8">
        <w:rPr>
          <w:lang w:bidi="he-IL"/>
        </w:rPr>
        <w:t>But h</w:t>
      </w:r>
      <w:r w:rsidR="00E677F9" w:rsidRPr="001F52A8">
        <w:rPr>
          <w:lang w:bidi="he-IL"/>
        </w:rPr>
        <w:t xml:space="preserve">is clan </w:t>
      </w:r>
      <w:r w:rsidR="001C6998" w:rsidRPr="001F52A8">
        <w:rPr>
          <w:lang w:bidi="he-IL"/>
        </w:rPr>
        <w:t xml:space="preserve">do </w:t>
      </w:r>
      <w:r w:rsidR="00E677F9" w:rsidRPr="001F52A8">
        <w:rPr>
          <w:lang w:bidi="he-IL"/>
        </w:rPr>
        <w:t xml:space="preserve">settle in Hebron, </w:t>
      </w:r>
      <w:r w:rsidR="000D2C34" w:rsidRPr="001F52A8">
        <w:rPr>
          <w:lang w:bidi="he-IL"/>
        </w:rPr>
        <w:t>the natural capital of Judah, and the Judahites do anoint him there</w:t>
      </w:r>
      <w:r w:rsidR="007665C1" w:rsidRPr="001F52A8">
        <w:rPr>
          <w:lang w:bidi="he-IL"/>
        </w:rPr>
        <w:t>. W</w:t>
      </w:r>
      <w:r w:rsidR="00FA7CE3" w:rsidRPr="001F52A8">
        <w:rPr>
          <w:lang w:bidi="he-IL"/>
        </w:rPr>
        <w:t>as a priest such as Ab</w:t>
      </w:r>
      <w:r w:rsidR="00FD501C" w:rsidRPr="001F52A8">
        <w:rPr>
          <w:lang w:bidi="he-IL"/>
        </w:rPr>
        <w:t>i</w:t>
      </w:r>
      <w:r w:rsidR="00FA7CE3" w:rsidRPr="001F52A8">
        <w:rPr>
          <w:lang w:bidi="he-IL"/>
        </w:rPr>
        <w:t>athar their agent</w:t>
      </w:r>
      <w:r w:rsidR="00FD501C" w:rsidRPr="001F52A8">
        <w:rPr>
          <w:lang w:bidi="he-IL"/>
        </w:rPr>
        <w:t xml:space="preserve"> in this action?</w:t>
      </w:r>
      <w:r w:rsidR="00B4365A" w:rsidRPr="001F52A8">
        <w:rPr>
          <w:lang w:bidi="he-IL"/>
        </w:rPr>
        <w:t xml:space="preserve"> </w:t>
      </w:r>
    </w:p>
    <w:p w14:paraId="7A5ACC92" w14:textId="3DEE4571" w:rsidR="00246E29" w:rsidRPr="001F52A8" w:rsidRDefault="00B9224D" w:rsidP="00246E29">
      <w:pPr>
        <w:rPr>
          <w:lang w:bidi="he-IL"/>
        </w:rPr>
      </w:pPr>
      <w:r w:rsidRPr="001F52A8">
        <w:rPr>
          <w:lang w:bidi="he-IL"/>
        </w:rPr>
        <w:t>David goes on to</w:t>
      </w:r>
      <w:r w:rsidR="00B4365A" w:rsidRPr="001F52A8">
        <w:rPr>
          <w:lang w:bidi="he-IL"/>
        </w:rPr>
        <w:t xml:space="preserve"> </w:t>
      </w:r>
      <w:r w:rsidR="00733630" w:rsidRPr="001F52A8">
        <w:rPr>
          <w:lang w:bidi="he-IL"/>
        </w:rPr>
        <w:t>th</w:t>
      </w:r>
      <w:r w:rsidR="00116144" w:rsidRPr="001F52A8">
        <w:rPr>
          <w:lang w:bidi="he-IL"/>
        </w:rPr>
        <w:t>a</w:t>
      </w:r>
      <w:r w:rsidR="00733630" w:rsidRPr="001F52A8">
        <w:rPr>
          <w:lang w:bidi="he-IL"/>
        </w:rPr>
        <w:t xml:space="preserve">nk the Jabeshites for </w:t>
      </w:r>
      <w:r w:rsidR="00535DB7" w:rsidRPr="001F52A8">
        <w:rPr>
          <w:lang w:bidi="he-IL"/>
        </w:rPr>
        <w:t>the commitment to Saul</w:t>
      </w:r>
      <w:r w:rsidR="00390383" w:rsidRPr="001F52A8">
        <w:rPr>
          <w:lang w:bidi="he-IL"/>
        </w:rPr>
        <w:t xml:space="preserve"> that they had</w:t>
      </w:r>
      <w:r w:rsidR="00535DB7" w:rsidRPr="001F52A8">
        <w:rPr>
          <w:lang w:bidi="he-IL"/>
        </w:rPr>
        <w:t xml:space="preserve"> expressed in burying him</w:t>
      </w:r>
      <w:r w:rsidR="002559FE" w:rsidRPr="001F52A8">
        <w:rPr>
          <w:lang w:bidi="he-IL"/>
        </w:rPr>
        <w:t>. He</w:t>
      </w:r>
      <w:r w:rsidR="00535DB7" w:rsidRPr="001F52A8">
        <w:rPr>
          <w:lang w:bidi="he-IL"/>
        </w:rPr>
        <w:t xml:space="preserve"> </w:t>
      </w:r>
      <w:r w:rsidR="00C502E4" w:rsidRPr="001F52A8">
        <w:rPr>
          <w:lang w:bidi="he-IL"/>
        </w:rPr>
        <w:t xml:space="preserve">prays for Yahweh </w:t>
      </w:r>
      <w:r w:rsidR="000714D3" w:rsidRPr="001F52A8">
        <w:rPr>
          <w:lang w:bidi="he-IL"/>
        </w:rPr>
        <w:t xml:space="preserve">to show them commitment and steadfastness, and promises that he </w:t>
      </w:r>
      <w:r w:rsidR="00952298" w:rsidRPr="001F52A8">
        <w:rPr>
          <w:lang w:bidi="he-IL"/>
        </w:rPr>
        <w:t xml:space="preserve">will </w:t>
      </w:r>
      <w:r w:rsidR="00F42A94" w:rsidRPr="001F52A8">
        <w:rPr>
          <w:lang w:bidi="he-IL"/>
        </w:rPr>
        <w:t>bring</w:t>
      </w:r>
      <w:r w:rsidR="00952298" w:rsidRPr="001F52A8">
        <w:rPr>
          <w:lang w:bidi="he-IL"/>
        </w:rPr>
        <w:t xml:space="preserve"> good things to the</w:t>
      </w:r>
      <w:r w:rsidR="00F42A94" w:rsidRPr="001F52A8">
        <w:rPr>
          <w:lang w:bidi="he-IL"/>
        </w:rPr>
        <w:t>m in return for w</w:t>
      </w:r>
      <w:r w:rsidR="00952298" w:rsidRPr="001F52A8">
        <w:rPr>
          <w:lang w:bidi="he-IL"/>
        </w:rPr>
        <w:t>hat they did.</w:t>
      </w:r>
      <w:r w:rsidR="006E3C1B" w:rsidRPr="001F52A8">
        <w:rPr>
          <w:lang w:bidi="he-IL"/>
        </w:rPr>
        <w:t xml:space="preserve"> Oh, and by the way, the Judahites have anointed me king</w:t>
      </w:r>
      <w:r w:rsidR="00A87D4B" w:rsidRPr="001F52A8">
        <w:rPr>
          <w:lang w:bidi="he-IL"/>
        </w:rPr>
        <w:t xml:space="preserve"> (2:4b-7).</w:t>
      </w:r>
      <w:r w:rsidR="004A1C9D" w:rsidRPr="001F52A8">
        <w:rPr>
          <w:lang w:bidi="he-IL"/>
        </w:rPr>
        <w:t xml:space="preserve"> </w:t>
      </w:r>
      <w:r w:rsidR="009029C7" w:rsidRPr="001F52A8">
        <w:rPr>
          <w:lang w:bidi="he-IL"/>
        </w:rPr>
        <w:t>While i</w:t>
      </w:r>
      <w:r w:rsidR="00824E38" w:rsidRPr="001F52A8">
        <w:rPr>
          <w:lang w:bidi="he-IL"/>
        </w:rPr>
        <w:t xml:space="preserve">t </w:t>
      </w:r>
      <w:r w:rsidR="001B5E82" w:rsidRPr="001F52A8">
        <w:rPr>
          <w:lang w:bidi="he-IL"/>
        </w:rPr>
        <w:t>might seem that</w:t>
      </w:r>
      <w:r w:rsidR="004A1C9D" w:rsidRPr="001F52A8">
        <w:rPr>
          <w:lang w:bidi="he-IL"/>
        </w:rPr>
        <w:t xml:space="preserve"> the</w:t>
      </w:r>
      <w:r w:rsidR="00CA0CCF">
        <w:rPr>
          <w:lang w:bidi="he-IL"/>
        </w:rPr>
        <w:t xml:space="preserve"> Jabeshites</w:t>
      </w:r>
      <w:r w:rsidR="004A1C9D" w:rsidRPr="001F52A8">
        <w:rPr>
          <w:lang w:bidi="he-IL"/>
        </w:rPr>
        <w:t xml:space="preserve"> are too far north and east to be </w:t>
      </w:r>
      <w:r w:rsidR="003451F0" w:rsidRPr="001F52A8">
        <w:rPr>
          <w:lang w:bidi="he-IL"/>
        </w:rPr>
        <w:t>of immediate political use to him</w:t>
      </w:r>
      <w:r w:rsidR="009029C7" w:rsidRPr="001F52A8">
        <w:rPr>
          <w:lang w:bidi="he-IL"/>
        </w:rPr>
        <w:t>,</w:t>
      </w:r>
      <w:r w:rsidR="001B5E82" w:rsidRPr="001F52A8">
        <w:rPr>
          <w:lang w:bidi="he-IL"/>
        </w:rPr>
        <w:t xml:space="preserve"> actually </w:t>
      </w:r>
      <w:r w:rsidR="0049520B" w:rsidRPr="001F52A8">
        <w:rPr>
          <w:lang w:bidi="he-IL"/>
        </w:rPr>
        <w:t xml:space="preserve">Saul’s cousin and commander-in-chief, Abner (1 Sam 14:50), is about to </w:t>
      </w:r>
      <w:r w:rsidR="001B5E82" w:rsidRPr="001F52A8">
        <w:rPr>
          <w:lang w:bidi="he-IL"/>
        </w:rPr>
        <w:t xml:space="preserve">crown </w:t>
      </w:r>
      <w:r w:rsidR="0049520B" w:rsidRPr="001F52A8">
        <w:rPr>
          <w:lang w:bidi="he-IL"/>
        </w:rPr>
        <w:t xml:space="preserve">Saul’s son </w:t>
      </w:r>
      <w:r w:rsidR="004C7135" w:rsidRPr="001F52A8">
        <w:rPr>
          <w:lang w:bidi="he-IL"/>
        </w:rPr>
        <w:t>Ish-boshet</w:t>
      </w:r>
      <w:r w:rsidR="00F271B5" w:rsidRPr="001F52A8">
        <w:rPr>
          <w:lang w:bidi="he-IL"/>
        </w:rPr>
        <w:t>h</w:t>
      </w:r>
      <w:r w:rsidR="0049520B" w:rsidRPr="001F52A8">
        <w:rPr>
          <w:rStyle w:val="FootnoteReference"/>
          <w:lang w:bidi="he-IL"/>
        </w:rPr>
        <w:footnoteReference w:id="303"/>
      </w:r>
      <w:r w:rsidR="004C7135" w:rsidRPr="001F52A8">
        <w:rPr>
          <w:lang w:bidi="he-IL"/>
        </w:rPr>
        <w:t xml:space="preserve"> </w:t>
      </w:r>
      <w:r w:rsidR="00456A96" w:rsidRPr="001F52A8">
        <w:rPr>
          <w:lang w:bidi="he-IL"/>
        </w:rPr>
        <w:t xml:space="preserve">over Israel as a whole </w:t>
      </w:r>
      <w:r w:rsidR="004C7135" w:rsidRPr="001F52A8">
        <w:rPr>
          <w:lang w:bidi="he-IL"/>
        </w:rPr>
        <w:t>at Mahanaim</w:t>
      </w:r>
      <w:r w:rsidR="0049520B" w:rsidRPr="001F52A8">
        <w:rPr>
          <w:lang w:bidi="he-IL"/>
        </w:rPr>
        <w:t xml:space="preserve"> (2 Sam 2:8)</w:t>
      </w:r>
      <w:r w:rsidR="00C154B1" w:rsidRPr="001F52A8">
        <w:rPr>
          <w:lang w:bidi="he-IL"/>
        </w:rPr>
        <w:t xml:space="preserve">. </w:t>
      </w:r>
      <w:r w:rsidR="00F271B5" w:rsidRPr="001F52A8">
        <w:rPr>
          <w:lang w:bidi="he-IL"/>
        </w:rPr>
        <w:t>T</w:t>
      </w:r>
      <w:r w:rsidR="00C154B1" w:rsidRPr="001F52A8">
        <w:rPr>
          <w:lang w:bidi="he-IL"/>
        </w:rPr>
        <w:t xml:space="preserve">he </w:t>
      </w:r>
      <w:r w:rsidR="00B76CB1" w:rsidRPr="001F52A8">
        <w:rPr>
          <w:lang w:bidi="he-IL"/>
        </w:rPr>
        <w:t xml:space="preserve">precise location of </w:t>
      </w:r>
      <w:r w:rsidR="00F271B5" w:rsidRPr="001F52A8">
        <w:rPr>
          <w:lang w:bidi="he-IL"/>
        </w:rPr>
        <w:t>both towns is uncertain</w:t>
      </w:r>
      <w:r w:rsidR="00B76CB1" w:rsidRPr="001F52A8">
        <w:rPr>
          <w:lang w:bidi="he-IL"/>
        </w:rPr>
        <w:t xml:space="preserve">, but </w:t>
      </w:r>
      <w:r w:rsidR="00605A50" w:rsidRPr="001F52A8">
        <w:rPr>
          <w:lang w:bidi="he-IL"/>
        </w:rPr>
        <w:t xml:space="preserve">on any theory </w:t>
      </w:r>
      <w:r w:rsidR="00B76CB1" w:rsidRPr="001F52A8">
        <w:rPr>
          <w:lang w:bidi="he-IL"/>
        </w:rPr>
        <w:t xml:space="preserve">they </w:t>
      </w:r>
      <w:r w:rsidR="00397B43" w:rsidRPr="001F52A8">
        <w:rPr>
          <w:lang w:bidi="he-IL"/>
        </w:rPr>
        <w:t xml:space="preserve">are close to being </w:t>
      </w:r>
      <w:r w:rsidR="00F26B9E" w:rsidRPr="001F52A8">
        <w:rPr>
          <w:lang w:bidi="he-IL"/>
        </w:rPr>
        <w:t>next door</w:t>
      </w:r>
      <w:r w:rsidR="00CA0CCF">
        <w:rPr>
          <w:lang w:bidi="he-IL"/>
        </w:rPr>
        <w:t xml:space="preserve">. </w:t>
      </w:r>
      <w:r w:rsidR="00456A96" w:rsidRPr="001F52A8">
        <w:rPr>
          <w:lang w:bidi="he-IL"/>
        </w:rPr>
        <w:t>Mahanaim</w:t>
      </w:r>
      <w:r w:rsidR="00CA0CCF">
        <w:rPr>
          <w:lang w:bidi="he-IL"/>
        </w:rPr>
        <w:t>’s location</w:t>
      </w:r>
      <w:r w:rsidR="00456A96" w:rsidRPr="001F52A8">
        <w:rPr>
          <w:lang w:bidi="he-IL"/>
        </w:rPr>
        <w:t xml:space="preserve"> </w:t>
      </w:r>
      <w:r w:rsidR="00CA0CCF">
        <w:rPr>
          <w:lang w:bidi="he-IL"/>
        </w:rPr>
        <w:t xml:space="preserve">east of the Jordan </w:t>
      </w:r>
      <w:r w:rsidR="00DD3E1C" w:rsidRPr="001F52A8">
        <w:rPr>
          <w:lang w:bidi="he-IL"/>
        </w:rPr>
        <w:t xml:space="preserve">suggests </w:t>
      </w:r>
      <w:r w:rsidR="00CA0CCF">
        <w:rPr>
          <w:lang w:bidi="he-IL"/>
        </w:rPr>
        <w:t>Israel’s</w:t>
      </w:r>
      <w:r w:rsidR="00DD3E1C" w:rsidRPr="001F52A8">
        <w:rPr>
          <w:lang w:bidi="he-IL"/>
        </w:rPr>
        <w:t xml:space="preserve"> </w:t>
      </w:r>
      <w:r w:rsidR="003C5EBF" w:rsidRPr="001F52A8">
        <w:rPr>
          <w:lang w:bidi="he-IL"/>
        </w:rPr>
        <w:t>reduced</w:t>
      </w:r>
      <w:r w:rsidR="00BA2B8F" w:rsidRPr="001F52A8">
        <w:rPr>
          <w:lang w:bidi="he-IL"/>
        </w:rPr>
        <w:t xml:space="preserve"> state</w:t>
      </w:r>
      <w:r w:rsidR="00456A96" w:rsidRPr="001F52A8">
        <w:rPr>
          <w:lang w:bidi="he-IL"/>
        </w:rPr>
        <w:t>,</w:t>
      </w:r>
      <w:r w:rsidR="00BA2B8F" w:rsidRPr="001F52A8">
        <w:rPr>
          <w:lang w:bidi="he-IL"/>
        </w:rPr>
        <w:t xml:space="preserve"> weakened by the Philistines</w:t>
      </w:r>
      <w:r w:rsidR="00B132EE" w:rsidRPr="001F52A8">
        <w:rPr>
          <w:lang w:bidi="he-IL"/>
        </w:rPr>
        <w:t>. T</w:t>
      </w:r>
      <w:r w:rsidR="00A0394C" w:rsidRPr="001F52A8">
        <w:rPr>
          <w:lang w:bidi="he-IL"/>
        </w:rPr>
        <w:t xml:space="preserve">he list of </w:t>
      </w:r>
      <w:r w:rsidR="00686728" w:rsidRPr="001F52A8">
        <w:rPr>
          <w:lang w:bidi="he-IL"/>
        </w:rPr>
        <w:t xml:space="preserve">oddly miscellaneous </w:t>
      </w:r>
      <w:r w:rsidR="00A0394C" w:rsidRPr="001F52A8">
        <w:rPr>
          <w:lang w:bidi="he-IL"/>
        </w:rPr>
        <w:t xml:space="preserve">places </w:t>
      </w:r>
      <w:r w:rsidR="00B132EE" w:rsidRPr="001F52A8">
        <w:rPr>
          <w:lang w:bidi="he-IL"/>
        </w:rPr>
        <w:t>designat</w:t>
      </w:r>
      <w:r w:rsidR="00C45C5B" w:rsidRPr="001F52A8">
        <w:rPr>
          <w:lang w:bidi="he-IL"/>
        </w:rPr>
        <w:t>ed by the term</w:t>
      </w:r>
      <w:r w:rsidR="00A0394C" w:rsidRPr="001F52A8">
        <w:rPr>
          <w:lang w:bidi="he-IL"/>
        </w:rPr>
        <w:t xml:space="preserve"> </w:t>
      </w:r>
      <w:r w:rsidR="006326AD" w:rsidRPr="001F52A8">
        <w:rPr>
          <w:lang w:bidi="he-IL"/>
        </w:rPr>
        <w:t>“Israel</w:t>
      </w:r>
      <w:r w:rsidR="00A704BD" w:rsidRPr="001F52A8">
        <w:rPr>
          <w:lang w:bidi="he-IL"/>
        </w:rPr>
        <w:t>”</w:t>
      </w:r>
      <w:r w:rsidR="00A91C3B" w:rsidRPr="001F52A8">
        <w:rPr>
          <w:lang w:bidi="he-IL"/>
        </w:rPr>
        <w:t xml:space="preserve"> </w:t>
      </w:r>
      <w:r w:rsidR="00CA0CCF">
        <w:rPr>
          <w:lang w:bidi="he-IL"/>
        </w:rPr>
        <w:t xml:space="preserve">(2:9) </w:t>
      </w:r>
      <w:r w:rsidR="00B132EE" w:rsidRPr="001F52A8">
        <w:rPr>
          <w:lang w:bidi="he-IL"/>
        </w:rPr>
        <w:t xml:space="preserve">further conveys a telling impression of what the </w:t>
      </w:r>
      <w:r w:rsidR="00456A96" w:rsidRPr="001F52A8">
        <w:rPr>
          <w:lang w:bidi="he-IL"/>
        </w:rPr>
        <w:t>diminished</w:t>
      </w:r>
      <w:r w:rsidR="00B132EE" w:rsidRPr="001F52A8">
        <w:rPr>
          <w:lang w:bidi="he-IL"/>
        </w:rPr>
        <w:t xml:space="preserve"> “Israel” means</w:t>
      </w:r>
      <w:r w:rsidR="00CA0CCF">
        <w:rPr>
          <w:lang w:bidi="he-IL"/>
        </w:rPr>
        <w:t>.</w:t>
      </w:r>
    </w:p>
    <w:p w14:paraId="3917F5C2" w14:textId="1986E6CF" w:rsidR="00A650E6" w:rsidRPr="001F52A8" w:rsidRDefault="00CF7FCB" w:rsidP="00A650E6">
      <w:pPr>
        <w:rPr>
          <w:lang w:bidi="he-IL"/>
        </w:rPr>
      </w:pPr>
      <w:r w:rsidRPr="001F52A8">
        <w:rPr>
          <w:lang w:bidi="he-IL"/>
        </w:rPr>
        <w:t>There</w:t>
      </w:r>
      <w:r w:rsidR="00767CEE" w:rsidRPr="001F52A8">
        <w:rPr>
          <w:lang w:bidi="he-IL"/>
        </w:rPr>
        <w:t xml:space="preserve"> </w:t>
      </w:r>
      <w:r w:rsidR="00A650E6" w:rsidRPr="001F52A8">
        <w:rPr>
          <w:lang w:bidi="he-IL"/>
        </w:rPr>
        <w:t>follows</w:t>
      </w:r>
      <w:r w:rsidR="008D6A8A" w:rsidRPr="001F52A8">
        <w:rPr>
          <w:lang w:bidi="he-IL"/>
        </w:rPr>
        <w:t xml:space="preserve"> ongoing</w:t>
      </w:r>
      <w:r w:rsidR="00767CEE" w:rsidRPr="001F52A8">
        <w:rPr>
          <w:lang w:bidi="he-IL"/>
        </w:rPr>
        <w:t xml:space="preserve"> conflict between </w:t>
      </w:r>
      <w:r w:rsidR="00AC687F" w:rsidRPr="001F52A8">
        <w:rPr>
          <w:lang w:bidi="he-IL"/>
        </w:rPr>
        <w:t>Saul’s people and David’s people</w:t>
      </w:r>
      <w:r w:rsidR="00DF06EE">
        <w:rPr>
          <w:lang w:bidi="he-IL"/>
        </w:rPr>
        <w:t xml:space="preserve">. </w:t>
      </w:r>
      <w:r w:rsidR="00542EF8" w:rsidRPr="001F52A8">
        <w:rPr>
          <w:lang w:bidi="he-IL"/>
        </w:rPr>
        <w:t xml:space="preserve">David’s people get </w:t>
      </w:r>
      <w:r w:rsidR="00DF06EE">
        <w:rPr>
          <w:lang w:bidi="he-IL"/>
        </w:rPr>
        <w:t xml:space="preserve">consistently </w:t>
      </w:r>
      <w:r w:rsidR="00542EF8" w:rsidRPr="001F52A8">
        <w:rPr>
          <w:lang w:bidi="he-IL"/>
        </w:rPr>
        <w:t>stronger and Saul’</w:t>
      </w:r>
      <w:r w:rsidR="00F11299" w:rsidRPr="001F52A8">
        <w:rPr>
          <w:lang w:bidi="he-IL"/>
        </w:rPr>
        <w:t>s</w:t>
      </w:r>
      <w:r w:rsidR="00DF06EE">
        <w:rPr>
          <w:lang w:bidi="he-IL"/>
        </w:rPr>
        <w:t xml:space="preserve"> </w:t>
      </w:r>
      <w:r w:rsidR="00F86313" w:rsidRPr="001F52A8">
        <w:rPr>
          <w:lang w:bidi="he-IL"/>
        </w:rPr>
        <w:t>frail</w:t>
      </w:r>
      <w:r w:rsidR="00DF06EE">
        <w:rPr>
          <w:lang w:bidi="he-IL"/>
        </w:rPr>
        <w:t>er</w:t>
      </w:r>
      <w:r w:rsidR="00F86313" w:rsidRPr="001F52A8">
        <w:rPr>
          <w:lang w:bidi="he-IL"/>
        </w:rPr>
        <w:t xml:space="preserve"> </w:t>
      </w:r>
      <w:r w:rsidR="00542EF8" w:rsidRPr="001F52A8">
        <w:rPr>
          <w:lang w:bidi="he-IL"/>
        </w:rPr>
        <w:t>(</w:t>
      </w:r>
      <w:r w:rsidR="00F11299" w:rsidRPr="001F52A8">
        <w:rPr>
          <w:i/>
          <w:iCs/>
          <w:lang w:bidi="he-IL"/>
        </w:rPr>
        <w:t>dal</w:t>
      </w:r>
      <w:r w:rsidR="00F11299" w:rsidRPr="001F52A8">
        <w:rPr>
          <w:lang w:bidi="he-IL"/>
        </w:rPr>
        <w:t>,</w:t>
      </w:r>
      <w:r w:rsidR="00F11299" w:rsidRPr="001F52A8">
        <w:rPr>
          <w:i/>
          <w:iCs/>
          <w:lang w:bidi="he-IL"/>
        </w:rPr>
        <w:t xml:space="preserve"> </w:t>
      </w:r>
      <w:r w:rsidR="004A0C93" w:rsidRPr="001F52A8">
        <w:rPr>
          <w:lang w:bidi="he-IL"/>
        </w:rPr>
        <w:t xml:space="preserve">3:1). </w:t>
      </w:r>
      <w:r w:rsidR="009B6905" w:rsidRPr="001F52A8">
        <w:rPr>
          <w:lang w:bidi="he-IL"/>
        </w:rPr>
        <w:t>T</w:t>
      </w:r>
      <w:r w:rsidR="00246E29" w:rsidRPr="001F52A8">
        <w:rPr>
          <w:lang w:bidi="he-IL"/>
        </w:rPr>
        <w:t xml:space="preserve">he narrator has noted that David enquired of Yahweh before making his move, whereas for Ish-bosheth, Abner just takes action. Yahweh </w:t>
      </w:r>
      <w:r w:rsidR="00CA0CCF">
        <w:rPr>
          <w:lang w:bidi="he-IL"/>
        </w:rPr>
        <w:t xml:space="preserve">of course </w:t>
      </w:r>
      <w:r w:rsidR="00246E29" w:rsidRPr="001F52A8">
        <w:rPr>
          <w:lang w:bidi="he-IL"/>
        </w:rPr>
        <w:t>intends David to become king over Israel as a whole. The only question is the human means by which this aim will come about</w:t>
      </w:r>
      <w:r w:rsidR="00CA0CCF">
        <w:rPr>
          <w:lang w:bidi="he-IL"/>
        </w:rPr>
        <w:t xml:space="preserve">. </w:t>
      </w:r>
      <w:r w:rsidR="00A650E6" w:rsidRPr="001F52A8">
        <w:rPr>
          <w:lang w:bidi="he-IL"/>
        </w:rPr>
        <w:t xml:space="preserve">Abner </w:t>
      </w:r>
      <w:r w:rsidR="00DF06EE">
        <w:rPr>
          <w:lang w:bidi="he-IL"/>
        </w:rPr>
        <w:t>is</w:t>
      </w:r>
      <w:r w:rsidR="00A650E6" w:rsidRPr="001F52A8">
        <w:rPr>
          <w:lang w:bidi="he-IL"/>
        </w:rPr>
        <w:t xml:space="preserve"> the real power in Israel. His significance is suggested by Ish-bosheth’s accusation that he has bedded Rizpah, the mother or two of Saul’s children (</w:t>
      </w:r>
      <w:r w:rsidR="00E57BF4">
        <w:rPr>
          <w:lang w:bidi="he-IL"/>
        </w:rPr>
        <w:t>2</w:t>
      </w:r>
      <w:r w:rsidR="00A650E6" w:rsidRPr="001F52A8">
        <w:rPr>
          <w:lang w:bidi="he-IL"/>
        </w:rPr>
        <w:t xml:space="preserve"> Sam 21:8)</w:t>
      </w:r>
      <w:r w:rsidR="00DF06EE">
        <w:rPr>
          <w:lang w:bidi="he-IL"/>
        </w:rPr>
        <w:t xml:space="preserve"> and</w:t>
      </w:r>
      <w:r w:rsidR="00A650E6" w:rsidRPr="001F52A8">
        <w:rPr>
          <w:lang w:bidi="he-IL"/>
        </w:rPr>
        <w:t xml:space="preserve"> Saul’s </w:t>
      </w:r>
      <w:r w:rsidR="00A650E6" w:rsidRPr="001F52A8">
        <w:rPr>
          <w:lang w:bidi="he-IL"/>
        </w:rPr>
        <w:lastRenderedPageBreak/>
        <w:t>“second</w:t>
      </w:r>
      <w:r w:rsidR="005D1679" w:rsidRPr="001F52A8">
        <w:rPr>
          <w:lang w:bidi="he-IL"/>
        </w:rPr>
        <w:t>ary</w:t>
      </w:r>
      <w:r w:rsidR="00A650E6" w:rsidRPr="001F52A8">
        <w:rPr>
          <w:lang w:bidi="he-IL"/>
        </w:rPr>
        <w:t xml:space="preserve"> wife” or “servant-wife” (a </w:t>
      </w:r>
      <w:r w:rsidR="00A650E6" w:rsidRPr="001F52A8">
        <w:rPr>
          <w:i/>
          <w:iCs/>
          <w:lang w:bidi="he-IL"/>
        </w:rPr>
        <w:t>pilege</w:t>
      </w:r>
      <w:r w:rsidR="00A650E6" w:rsidRPr="001F52A8">
        <w:rPr>
          <w:rFonts w:cstheme="minorHAnsi"/>
          <w:i/>
          <w:iCs/>
          <w:lang w:bidi="he-IL"/>
        </w:rPr>
        <w:t>š</w:t>
      </w:r>
      <w:r w:rsidR="00A650E6" w:rsidRPr="001F52A8">
        <w:rPr>
          <w:rFonts w:cstheme="minorHAnsi"/>
          <w:lang w:bidi="he-IL"/>
        </w:rPr>
        <w:t>,</w:t>
      </w:r>
      <w:r w:rsidR="00E57BF4">
        <w:rPr>
          <w:rFonts w:cstheme="minorHAnsi"/>
          <w:lang w:bidi="he-IL"/>
        </w:rPr>
        <w:t xml:space="preserve"> </w:t>
      </w:r>
      <w:r w:rsidR="00A650E6" w:rsidRPr="001F52A8">
        <w:rPr>
          <w:lang w:bidi="he-IL"/>
        </w:rPr>
        <w:t>3:7; “concubine” is a misleading translation</w:t>
      </w:r>
      <w:r w:rsidR="00C345F0">
        <w:rPr>
          <w:lang w:bidi="he-IL"/>
        </w:rPr>
        <w:t>, as</w:t>
      </w:r>
      <w:r w:rsidR="00A650E6" w:rsidRPr="001F52A8">
        <w:rPr>
          <w:lang w:bidi="he-IL"/>
        </w:rPr>
        <w:t xml:space="preserve"> the word does not imply an</w:t>
      </w:r>
      <w:r w:rsidR="00C345F0">
        <w:rPr>
          <w:lang w:bidi="he-IL"/>
        </w:rPr>
        <w:t xml:space="preserve"> </w:t>
      </w:r>
      <w:r w:rsidR="00A650E6" w:rsidRPr="001F52A8">
        <w:rPr>
          <w:lang w:bidi="he-IL"/>
        </w:rPr>
        <w:t>extra-marital relationship but someone who, with her children, does not have the same status or rights as a primary wife). Whether the accusation is true or not, it suggest</w:t>
      </w:r>
      <w:r w:rsidR="00C345F0">
        <w:rPr>
          <w:lang w:bidi="he-IL"/>
        </w:rPr>
        <w:t>s</w:t>
      </w:r>
      <w:r w:rsidR="00A650E6" w:rsidRPr="001F52A8">
        <w:rPr>
          <w:lang w:bidi="he-IL"/>
        </w:rPr>
        <w:t xml:space="preserve"> that Ish-bosheth may suspect Abner, as a member of Saul’s family, of having aspirations to the throne. </w:t>
      </w:r>
    </w:p>
    <w:p w14:paraId="14CE9D89" w14:textId="7E564C1A" w:rsidR="00F8604E" w:rsidRDefault="00BF1676" w:rsidP="00C345F0">
      <w:pPr>
        <w:rPr>
          <w:rFonts w:ascii="Calibri" w:hAnsi="Calibri" w:cs="Calibri"/>
          <w:color w:val="222222"/>
        </w:rPr>
      </w:pPr>
      <w:r w:rsidRPr="001F52A8">
        <w:rPr>
          <w:lang w:bidi="he-IL"/>
        </w:rPr>
        <w:t xml:space="preserve">The strength of Abner’s position in </w:t>
      </w:r>
      <w:r w:rsidR="00A650E6" w:rsidRPr="001F52A8">
        <w:rPr>
          <w:lang w:bidi="he-IL"/>
        </w:rPr>
        <w:t xml:space="preserve">Israel </w:t>
      </w:r>
      <w:r w:rsidRPr="001F52A8">
        <w:rPr>
          <w:lang w:bidi="he-IL"/>
        </w:rPr>
        <w:t xml:space="preserve">is </w:t>
      </w:r>
      <w:r w:rsidR="00A650E6" w:rsidRPr="001F52A8">
        <w:rPr>
          <w:lang w:bidi="he-IL"/>
        </w:rPr>
        <w:t xml:space="preserve">then </w:t>
      </w:r>
      <w:r w:rsidRPr="001F52A8">
        <w:rPr>
          <w:lang w:bidi="he-IL"/>
        </w:rPr>
        <w:t xml:space="preserve">suggested by </w:t>
      </w:r>
      <w:r w:rsidR="008C20D4" w:rsidRPr="001F52A8">
        <w:rPr>
          <w:lang w:bidi="he-IL"/>
        </w:rPr>
        <w:t xml:space="preserve">his </w:t>
      </w:r>
      <w:r w:rsidR="00CA1F98" w:rsidRPr="001F52A8">
        <w:rPr>
          <w:lang w:bidi="he-IL"/>
        </w:rPr>
        <w:t>proposing that</w:t>
      </w:r>
      <w:r w:rsidR="002066F7" w:rsidRPr="001F52A8">
        <w:rPr>
          <w:lang w:bidi="he-IL"/>
        </w:rPr>
        <w:t xml:space="preserve"> David </w:t>
      </w:r>
      <w:r w:rsidR="00CA1F98" w:rsidRPr="001F52A8">
        <w:rPr>
          <w:lang w:bidi="he-IL"/>
        </w:rPr>
        <w:t>should</w:t>
      </w:r>
      <w:r w:rsidR="002066F7" w:rsidRPr="001F52A8">
        <w:rPr>
          <w:lang w:bidi="he-IL"/>
        </w:rPr>
        <w:t xml:space="preserve"> solemnize a</w:t>
      </w:r>
      <w:r w:rsidR="00DA6460" w:rsidRPr="001F52A8">
        <w:rPr>
          <w:lang w:bidi="he-IL"/>
        </w:rPr>
        <w:t>n agreement with h</w:t>
      </w:r>
      <w:r w:rsidR="00CA1F98" w:rsidRPr="001F52A8">
        <w:rPr>
          <w:lang w:bidi="he-IL"/>
        </w:rPr>
        <w:t>im for</w:t>
      </w:r>
      <w:r w:rsidR="00DA6460" w:rsidRPr="001F52A8">
        <w:rPr>
          <w:lang w:bidi="he-IL"/>
        </w:rPr>
        <w:t xml:space="preserve"> Abner</w:t>
      </w:r>
      <w:r w:rsidR="00CA1F98" w:rsidRPr="001F52A8">
        <w:rPr>
          <w:lang w:bidi="he-IL"/>
        </w:rPr>
        <w:t xml:space="preserve"> to</w:t>
      </w:r>
      <w:r w:rsidR="00DA6460" w:rsidRPr="001F52A8">
        <w:rPr>
          <w:lang w:bidi="he-IL"/>
        </w:rPr>
        <w:t xml:space="preserve"> support David </w:t>
      </w:r>
      <w:r w:rsidR="00F54E33" w:rsidRPr="001F52A8">
        <w:rPr>
          <w:lang w:bidi="he-IL"/>
        </w:rPr>
        <w:t xml:space="preserve">in turning </w:t>
      </w:r>
      <w:r w:rsidR="00195165" w:rsidRPr="001F52A8">
        <w:rPr>
          <w:lang w:bidi="he-IL"/>
        </w:rPr>
        <w:t>Israel as a</w:t>
      </w:r>
      <w:r w:rsidR="00F54E33" w:rsidRPr="001F52A8">
        <w:rPr>
          <w:lang w:bidi="he-IL"/>
        </w:rPr>
        <w:t xml:space="preserve"> whole</w:t>
      </w:r>
      <w:r w:rsidR="00DC2532" w:rsidRPr="001F52A8">
        <w:rPr>
          <w:lang w:bidi="he-IL"/>
        </w:rPr>
        <w:t xml:space="preserve"> </w:t>
      </w:r>
      <w:r w:rsidR="009F56A1" w:rsidRPr="001F52A8">
        <w:rPr>
          <w:lang w:bidi="he-IL"/>
        </w:rPr>
        <w:t xml:space="preserve">over to him </w:t>
      </w:r>
      <w:r w:rsidR="00DC2532" w:rsidRPr="001F52A8">
        <w:rPr>
          <w:lang w:bidi="he-IL"/>
        </w:rPr>
        <w:t>(3:</w:t>
      </w:r>
      <w:r w:rsidR="00914A82" w:rsidRPr="001F52A8">
        <w:rPr>
          <w:lang w:bidi="he-IL"/>
        </w:rPr>
        <w:t>12)</w:t>
      </w:r>
      <w:r w:rsidR="009C40BF" w:rsidRPr="001F52A8">
        <w:rPr>
          <w:lang w:bidi="he-IL"/>
        </w:rPr>
        <w:t xml:space="preserve">. </w:t>
      </w:r>
      <w:r w:rsidR="00CC3B74" w:rsidRPr="001F52A8">
        <w:rPr>
          <w:lang w:bidi="he-IL"/>
        </w:rPr>
        <w:t>Abner describes it as</w:t>
      </w:r>
      <w:r w:rsidR="003401EE" w:rsidRPr="001F52A8">
        <w:rPr>
          <w:lang w:bidi="he-IL"/>
        </w:rPr>
        <w:t xml:space="preserve"> a fulfillment of Yahweh’s word</w:t>
      </w:r>
      <w:r w:rsidR="00A1668B" w:rsidRPr="001F52A8">
        <w:rPr>
          <w:lang w:bidi="he-IL"/>
        </w:rPr>
        <w:t xml:space="preserve"> (3:</w:t>
      </w:r>
      <w:r w:rsidR="009A158A" w:rsidRPr="001F52A8">
        <w:rPr>
          <w:lang w:bidi="he-IL"/>
        </w:rPr>
        <w:t>18)</w:t>
      </w:r>
      <w:r w:rsidR="00A1668B" w:rsidRPr="001F52A8">
        <w:rPr>
          <w:lang w:bidi="he-IL"/>
        </w:rPr>
        <w:t>, which of course it is</w:t>
      </w:r>
      <w:r w:rsidR="00943442" w:rsidRPr="001F52A8">
        <w:rPr>
          <w:lang w:bidi="he-IL"/>
        </w:rPr>
        <w:t xml:space="preserve">. </w:t>
      </w:r>
      <w:r w:rsidR="009A158A" w:rsidRPr="001F52A8">
        <w:rPr>
          <w:lang w:bidi="he-IL"/>
        </w:rPr>
        <w:t xml:space="preserve">Samuel has not recorded a word that precisely expresses what Abner says, </w:t>
      </w:r>
      <w:r w:rsidR="004E43FF" w:rsidRPr="001F52A8">
        <w:rPr>
          <w:lang w:bidi="he-IL"/>
        </w:rPr>
        <w:t>but</w:t>
      </w:r>
      <w:r w:rsidR="00943442" w:rsidRPr="001F52A8">
        <w:rPr>
          <w:lang w:bidi="he-IL"/>
        </w:rPr>
        <w:t xml:space="preserve"> it wouldn’t be surprising if </w:t>
      </w:r>
      <w:r w:rsidR="00F81F9B" w:rsidRPr="001F52A8">
        <w:rPr>
          <w:lang w:bidi="he-IL"/>
        </w:rPr>
        <w:t>Abner had political considerations in mind in putting it that way</w:t>
      </w:r>
      <w:r w:rsidR="00CA0CCF">
        <w:rPr>
          <w:lang w:bidi="he-IL"/>
        </w:rPr>
        <w:t>. P</w:t>
      </w:r>
      <w:r w:rsidR="004E43FF" w:rsidRPr="001F52A8">
        <w:rPr>
          <w:lang w:bidi="he-IL"/>
        </w:rPr>
        <w:t>erhaps the agreement would entail Abner acquiring the position of commander-in-chief.</w:t>
      </w:r>
      <w:r w:rsidR="00226B3D" w:rsidRPr="001F52A8">
        <w:rPr>
          <w:lang w:bidi="he-IL"/>
        </w:rPr>
        <w:t xml:space="preserve"> </w:t>
      </w:r>
      <w:r w:rsidR="004E43FF" w:rsidRPr="001F52A8">
        <w:rPr>
          <w:lang w:bidi="he-IL"/>
        </w:rPr>
        <w:t xml:space="preserve">But </w:t>
      </w:r>
      <w:r w:rsidR="00CA0CCF">
        <w:rPr>
          <w:lang w:bidi="he-IL"/>
        </w:rPr>
        <w:t>hi</w:t>
      </w:r>
      <w:r w:rsidR="002577B4" w:rsidRPr="001F52A8">
        <w:rPr>
          <w:lang w:bidi="he-IL"/>
        </w:rPr>
        <w:t>s move</w:t>
      </w:r>
      <w:r w:rsidR="004E43FF" w:rsidRPr="001F52A8">
        <w:rPr>
          <w:lang w:bidi="he-IL"/>
        </w:rPr>
        <w:t xml:space="preserve"> </w:t>
      </w:r>
      <w:r w:rsidR="00C345F0">
        <w:rPr>
          <w:lang w:bidi="he-IL"/>
        </w:rPr>
        <w:t xml:space="preserve">becomes an ironic </w:t>
      </w:r>
      <w:r w:rsidR="004E43FF" w:rsidRPr="001F52A8">
        <w:rPr>
          <w:lang w:bidi="he-IL"/>
        </w:rPr>
        <w:t>part of the way Yahweh’s will is put into effect</w:t>
      </w:r>
      <w:r w:rsidR="00C345F0">
        <w:rPr>
          <w:lang w:bidi="he-IL"/>
        </w:rPr>
        <w:t>.</w:t>
      </w:r>
      <w:r w:rsidR="002577B4" w:rsidRPr="001F52A8">
        <w:rPr>
          <w:lang w:bidi="he-IL"/>
        </w:rPr>
        <w:t xml:space="preserve"> </w:t>
      </w:r>
      <w:r w:rsidR="00CA0CCF">
        <w:rPr>
          <w:lang w:bidi="he-IL"/>
        </w:rPr>
        <w:t>He</w:t>
      </w:r>
      <w:r w:rsidR="00A650E6" w:rsidRPr="001F52A8">
        <w:rPr>
          <w:lang w:bidi="he-IL"/>
        </w:rPr>
        <w:t xml:space="preserve"> contributes to </w:t>
      </w:r>
      <w:r w:rsidR="002577B4" w:rsidRPr="001F52A8">
        <w:rPr>
          <w:lang w:bidi="he-IL"/>
        </w:rPr>
        <w:t>the fulfillment of Yahweh’s word</w:t>
      </w:r>
      <w:r w:rsidR="00A650E6" w:rsidRPr="001F52A8">
        <w:rPr>
          <w:lang w:bidi="he-IL"/>
        </w:rPr>
        <w:t xml:space="preserve"> </w:t>
      </w:r>
      <w:r w:rsidR="00E6567C" w:rsidRPr="001F52A8">
        <w:rPr>
          <w:lang w:bidi="he-IL"/>
        </w:rPr>
        <w:t xml:space="preserve">through </w:t>
      </w:r>
      <w:r w:rsidR="00A650E6" w:rsidRPr="001F52A8">
        <w:rPr>
          <w:lang w:bidi="he-IL"/>
        </w:rPr>
        <w:t>losing</w:t>
      </w:r>
      <w:r w:rsidR="00461983" w:rsidRPr="001F52A8">
        <w:rPr>
          <w:lang w:bidi="he-IL"/>
        </w:rPr>
        <w:t xml:space="preserve"> his</w:t>
      </w:r>
      <w:r w:rsidR="00C723BA" w:rsidRPr="001F52A8">
        <w:rPr>
          <w:lang w:bidi="he-IL"/>
        </w:rPr>
        <w:t xml:space="preserve"> life</w:t>
      </w:r>
      <w:r w:rsidR="00A650E6" w:rsidRPr="001F52A8">
        <w:rPr>
          <w:lang w:bidi="he-IL"/>
        </w:rPr>
        <w:t xml:space="preserve"> in</w:t>
      </w:r>
      <w:r w:rsidR="00943F20" w:rsidRPr="001F52A8">
        <w:rPr>
          <w:lang w:bidi="he-IL"/>
        </w:rPr>
        <w:t xml:space="preserve"> </w:t>
      </w:r>
      <w:r w:rsidR="00E6348B" w:rsidRPr="001F52A8">
        <w:rPr>
          <w:lang w:bidi="he-IL"/>
        </w:rPr>
        <w:t xml:space="preserve">an act of violence that </w:t>
      </w:r>
      <w:r w:rsidR="00CC62B5" w:rsidRPr="001F52A8">
        <w:rPr>
          <w:lang w:bidi="he-IL"/>
        </w:rPr>
        <w:t>constitutes redress for a</w:t>
      </w:r>
      <w:r w:rsidR="008F10DA" w:rsidRPr="001F52A8">
        <w:rPr>
          <w:lang w:bidi="he-IL"/>
        </w:rPr>
        <w:t xml:space="preserve"> killing he undertook but tried to avoid</w:t>
      </w:r>
      <w:r w:rsidR="004E43FF" w:rsidRPr="001F52A8">
        <w:rPr>
          <w:lang w:bidi="he-IL"/>
        </w:rPr>
        <w:t>. He had</w:t>
      </w:r>
      <w:r w:rsidR="002577B4" w:rsidRPr="001F52A8">
        <w:rPr>
          <w:lang w:bidi="he-IL"/>
        </w:rPr>
        <w:t xml:space="preserve"> </w:t>
      </w:r>
      <w:r w:rsidR="004E43FF" w:rsidRPr="001F52A8">
        <w:rPr>
          <w:lang w:bidi="he-IL"/>
        </w:rPr>
        <w:t>killed the brother of Joab, one of David’s henchmen and eventual commander-in-chief (8:16)</w:t>
      </w:r>
      <w:r w:rsidR="002577B4" w:rsidRPr="001F52A8">
        <w:rPr>
          <w:lang w:bidi="he-IL"/>
        </w:rPr>
        <w:t xml:space="preserve">, who </w:t>
      </w:r>
      <w:r w:rsidR="00C345F0">
        <w:rPr>
          <w:lang w:bidi="he-IL"/>
        </w:rPr>
        <w:t>slays</w:t>
      </w:r>
      <w:r w:rsidR="00A650E6" w:rsidRPr="001F52A8">
        <w:rPr>
          <w:lang w:bidi="he-IL"/>
        </w:rPr>
        <w:t xml:space="preserve"> his brother’s killer </w:t>
      </w:r>
      <w:r w:rsidR="002577B4" w:rsidRPr="001F52A8">
        <w:rPr>
          <w:lang w:bidi="he-IL"/>
        </w:rPr>
        <w:t>of whom he</w:t>
      </w:r>
      <w:r w:rsidR="00A650E6" w:rsidRPr="001F52A8">
        <w:rPr>
          <w:lang w:bidi="he-IL"/>
        </w:rPr>
        <w:t xml:space="preserve"> </w:t>
      </w:r>
      <w:r w:rsidR="002577B4" w:rsidRPr="001F52A8">
        <w:rPr>
          <w:lang w:bidi="he-IL"/>
        </w:rPr>
        <w:t>could also be suspicious as</w:t>
      </w:r>
      <w:r w:rsidR="00A650E6" w:rsidRPr="001F52A8">
        <w:rPr>
          <w:lang w:bidi="he-IL"/>
        </w:rPr>
        <w:t xml:space="preserve"> his potential rival as commander.</w:t>
      </w:r>
      <w:r w:rsidR="00A650E6" w:rsidRPr="001F52A8">
        <w:rPr>
          <w:rStyle w:val="FootnoteReference"/>
          <w:lang w:bidi="he-IL"/>
        </w:rPr>
        <w:footnoteReference w:id="304"/>
      </w:r>
      <w:r w:rsidR="00A650E6" w:rsidRPr="001F52A8">
        <w:rPr>
          <w:lang w:bidi="he-IL"/>
        </w:rPr>
        <w:t xml:space="preserve"> </w:t>
      </w:r>
      <w:r w:rsidR="00C345F0" w:rsidRPr="00546CA8">
        <w:rPr>
          <w:rFonts w:ascii="Calibri" w:hAnsi="Calibri" w:cs="Calibri"/>
          <w:color w:val="222222"/>
        </w:rPr>
        <w:t>Should Abner have died as a fool dies? “</w:t>
      </w:r>
      <w:r w:rsidR="00C345F0" w:rsidRPr="00546CA8">
        <w:rPr>
          <w:rFonts w:ascii="Calibri" w:hAnsi="Calibri" w:cs="Calibri"/>
        </w:rPr>
        <w:t xml:space="preserve">Abner is a prime example of </w:t>
      </w:r>
      <w:r w:rsidR="00C345F0" w:rsidRPr="00546CA8">
        <w:rPr>
          <w:rFonts w:ascii="Calibri" w:hAnsi="Calibri" w:cs="Calibri"/>
          <w:i/>
          <w:iCs/>
        </w:rPr>
        <w:t xml:space="preserve">hubris </w:t>
      </w:r>
      <w:r w:rsidR="00C345F0" w:rsidRPr="00546CA8">
        <w:rPr>
          <w:rFonts w:ascii="Calibri" w:hAnsi="Calibri" w:cs="Calibri"/>
        </w:rPr>
        <w:t>that never comes to know its</w:t>
      </w:r>
      <w:r w:rsidR="00C345F0" w:rsidRPr="00546CA8">
        <w:rPr>
          <w:rFonts w:ascii="Calibri" w:hAnsi="Calibri" w:cs="Calibri"/>
          <w:color w:val="222222"/>
        </w:rPr>
        <w:t xml:space="preserve"> </w:t>
      </w:r>
      <w:r w:rsidR="00C345F0" w:rsidRPr="00546CA8">
        <w:rPr>
          <w:rFonts w:ascii="Calibri" w:hAnsi="Calibri" w:cs="Calibri"/>
        </w:rPr>
        <w:t>limits</w:t>
      </w:r>
      <w:r w:rsidR="00C345F0">
        <w:rPr>
          <w:rFonts w:ascii="Calibri" w:hAnsi="Calibri" w:cs="Calibri"/>
        </w:rPr>
        <w:t>,</w:t>
      </w:r>
      <w:r w:rsidR="00C345F0" w:rsidRPr="00546CA8">
        <w:rPr>
          <w:rFonts w:ascii="Calibri" w:hAnsi="Calibri" w:cs="Calibri"/>
        </w:rPr>
        <w:t>”</w:t>
      </w:r>
      <w:r w:rsidR="00C345F0">
        <w:rPr>
          <w:rFonts w:ascii="Calibri" w:hAnsi="Calibri" w:cs="Calibri"/>
        </w:rPr>
        <w:t xml:space="preserve"> so the answer is “Yes.”</w:t>
      </w:r>
      <w:r w:rsidR="00C345F0">
        <w:rPr>
          <w:rStyle w:val="FootnoteReference"/>
          <w:rFonts w:ascii="Calibri" w:hAnsi="Calibri" w:cs="Calibri"/>
        </w:rPr>
        <w:footnoteReference w:id="305"/>
      </w:r>
      <w:r w:rsidR="00C345F0">
        <w:rPr>
          <w:rFonts w:ascii="Calibri" w:hAnsi="Calibri" w:cs="Calibri"/>
          <w:color w:val="222222"/>
        </w:rPr>
        <w:t xml:space="preserve"> </w:t>
      </w:r>
      <w:r w:rsidR="00A51D40" w:rsidRPr="001F52A8">
        <w:rPr>
          <w:lang w:bidi="he-IL"/>
        </w:rPr>
        <w:t>A</w:t>
      </w:r>
      <w:r w:rsidR="00C345F0">
        <w:rPr>
          <w:lang w:bidi="he-IL"/>
        </w:rPr>
        <w:t>ctually</w:t>
      </w:r>
      <w:r w:rsidR="00A51D40" w:rsidRPr="001F52A8">
        <w:rPr>
          <w:lang w:bidi="he-IL"/>
        </w:rPr>
        <w:t xml:space="preserve"> “there is not room for both Abner and Joab</w:t>
      </w:r>
      <w:r w:rsidR="00386ACB" w:rsidRPr="001F52A8">
        <w:rPr>
          <w:lang w:bidi="he-IL"/>
        </w:rPr>
        <w:t xml:space="preserve"> in David’s camp</w:t>
      </w:r>
      <w:r w:rsidR="00A54152" w:rsidRPr="001F52A8">
        <w:rPr>
          <w:lang w:bidi="he-IL"/>
        </w:rPr>
        <w:t>; o</w:t>
      </w:r>
      <w:r w:rsidR="00386ACB" w:rsidRPr="001F52A8">
        <w:rPr>
          <w:lang w:bidi="he-IL"/>
        </w:rPr>
        <w:t>ne o</w:t>
      </w:r>
      <w:r w:rsidR="00A54152" w:rsidRPr="001F52A8">
        <w:rPr>
          <w:lang w:bidi="he-IL"/>
        </w:rPr>
        <w:t>r the other</w:t>
      </w:r>
      <w:r w:rsidR="00386ACB" w:rsidRPr="001F52A8">
        <w:rPr>
          <w:lang w:bidi="he-IL"/>
        </w:rPr>
        <w:t xml:space="preserve"> must die.”</w:t>
      </w:r>
      <w:r w:rsidR="00386ACB" w:rsidRPr="001F52A8">
        <w:rPr>
          <w:rStyle w:val="FootnoteReference"/>
          <w:lang w:bidi="he-IL"/>
        </w:rPr>
        <w:footnoteReference w:id="306"/>
      </w:r>
      <w:r w:rsidR="00386ACB" w:rsidRPr="001F52A8">
        <w:rPr>
          <w:lang w:bidi="he-IL"/>
        </w:rPr>
        <w:t xml:space="preserve"> </w:t>
      </w:r>
      <w:r w:rsidR="008F10DA" w:rsidRPr="001F52A8">
        <w:rPr>
          <w:lang w:bidi="he-IL"/>
        </w:rPr>
        <w:t>The fulfillment of Yahweh’s purpose come</w:t>
      </w:r>
      <w:r w:rsidR="005F0CE0">
        <w:rPr>
          <w:lang w:bidi="he-IL"/>
        </w:rPr>
        <w:t>s</w:t>
      </w:r>
      <w:r w:rsidR="008F10DA" w:rsidRPr="001F52A8">
        <w:rPr>
          <w:lang w:bidi="he-IL"/>
        </w:rPr>
        <w:t xml:space="preserve"> about </w:t>
      </w:r>
      <w:r w:rsidR="00A60A78" w:rsidRPr="001F52A8">
        <w:rPr>
          <w:lang w:bidi="he-IL"/>
        </w:rPr>
        <w:t xml:space="preserve">through misunderstanding and waywardness and by means of </w:t>
      </w:r>
      <w:r w:rsidR="001F24FC" w:rsidRPr="001F52A8">
        <w:rPr>
          <w:lang w:bidi="he-IL"/>
        </w:rPr>
        <w:t xml:space="preserve">random, misguided, </w:t>
      </w:r>
      <w:r w:rsidR="00A60A78" w:rsidRPr="001F52A8">
        <w:rPr>
          <w:lang w:bidi="he-IL"/>
        </w:rPr>
        <w:t xml:space="preserve">and </w:t>
      </w:r>
      <w:r w:rsidR="001F24FC" w:rsidRPr="001F52A8">
        <w:rPr>
          <w:lang w:bidi="he-IL"/>
        </w:rPr>
        <w:t>willful</w:t>
      </w:r>
      <w:r w:rsidR="00A60A78" w:rsidRPr="001F52A8">
        <w:rPr>
          <w:lang w:bidi="he-IL"/>
        </w:rPr>
        <w:t xml:space="preserve"> human acts</w:t>
      </w:r>
      <w:r w:rsidR="002577B4" w:rsidRPr="001F52A8">
        <w:rPr>
          <w:lang w:bidi="he-IL"/>
        </w:rPr>
        <w:t>, through bloodshed and betrayal</w:t>
      </w:r>
      <w:r w:rsidR="00A60A78" w:rsidRPr="001F52A8">
        <w:rPr>
          <w:lang w:bidi="he-IL"/>
        </w:rPr>
        <w:t>.</w:t>
      </w:r>
      <w:r w:rsidR="002577B4" w:rsidRPr="001F52A8">
        <w:rPr>
          <w:lang w:bidi="he-IL"/>
        </w:rPr>
        <w:t xml:space="preserve"> </w:t>
      </w:r>
      <w:r w:rsidR="005F0CE0">
        <w:rPr>
          <w:lang w:bidi="he-IL"/>
        </w:rPr>
        <w:t xml:space="preserve">Killing begets killing as </w:t>
      </w:r>
      <w:r w:rsidR="002577B4" w:rsidRPr="001F52A8">
        <w:rPr>
          <w:lang w:bidi="he-IL"/>
        </w:rPr>
        <w:t>“</w:t>
      </w:r>
      <w:r w:rsidR="005F0CE0">
        <w:rPr>
          <w:rFonts w:ascii="Calibri" w:hAnsi="Calibri" w:cs="Calibri"/>
        </w:rPr>
        <w:t>t</w:t>
      </w:r>
      <w:r w:rsidR="002577B4" w:rsidRPr="001F52A8">
        <w:rPr>
          <w:rFonts w:ascii="Calibri" w:hAnsi="Calibri" w:cs="Calibri"/>
        </w:rPr>
        <w:t>he road to kingship is strewn with violent and murderous</w:t>
      </w:r>
      <w:r w:rsidR="002577B4" w:rsidRPr="001F52A8">
        <w:rPr>
          <w:lang w:bidi="he-IL"/>
        </w:rPr>
        <w:t xml:space="preserve"> </w:t>
      </w:r>
      <w:r w:rsidR="002577B4" w:rsidRPr="001F52A8">
        <w:rPr>
          <w:rFonts w:ascii="Calibri" w:hAnsi="Calibri" w:cs="Calibri"/>
        </w:rPr>
        <w:t>encounters, and funerals are the order of the day.”</w:t>
      </w:r>
      <w:r w:rsidR="002577B4" w:rsidRPr="001F52A8">
        <w:rPr>
          <w:rStyle w:val="FootnoteReference"/>
          <w:rFonts w:ascii="Calibri" w:hAnsi="Calibri" w:cs="Calibri"/>
        </w:rPr>
        <w:footnoteReference w:id="307"/>
      </w:r>
      <w:r w:rsidR="00EA434B" w:rsidRPr="001F52A8">
        <w:rPr>
          <w:rFonts w:ascii="Calibri" w:hAnsi="Calibri" w:cs="Calibri"/>
        </w:rPr>
        <w:t xml:space="preserve"> </w:t>
      </w:r>
    </w:p>
    <w:p w14:paraId="06C6B0E9" w14:textId="753DE748" w:rsidR="00A87D4B" w:rsidRPr="001F52A8" w:rsidRDefault="00A650E6" w:rsidP="00FA4FA3">
      <w:pPr>
        <w:rPr>
          <w:lang w:bidi="he-IL"/>
        </w:rPr>
      </w:pPr>
      <w:r w:rsidRPr="001F52A8">
        <w:rPr>
          <w:lang w:bidi="he-IL"/>
        </w:rPr>
        <w:t>When Ish-bosheth hear</w:t>
      </w:r>
      <w:r w:rsidR="008007F2" w:rsidRPr="001F52A8">
        <w:rPr>
          <w:lang w:bidi="he-IL"/>
        </w:rPr>
        <w:t>d</w:t>
      </w:r>
      <w:r w:rsidRPr="001F52A8">
        <w:rPr>
          <w:lang w:bidi="he-IL"/>
        </w:rPr>
        <w:t xml:space="preserve"> of Abner’s death, “his hands became weak” (4:1: contrast the phrase in 1 Sam 23:16</w:t>
      </w:r>
      <w:r w:rsidR="00C345F0">
        <w:rPr>
          <w:lang w:bidi="he-IL"/>
        </w:rPr>
        <w:t xml:space="preserve"> about a hand becoming strong</w:t>
      </w:r>
      <w:r w:rsidRPr="001F52A8">
        <w:rPr>
          <w:lang w:bidi="he-IL"/>
        </w:rPr>
        <w:t xml:space="preserve">). </w:t>
      </w:r>
      <w:r w:rsidR="002577B4" w:rsidRPr="001F52A8">
        <w:rPr>
          <w:lang w:bidi="he-IL"/>
        </w:rPr>
        <w:t xml:space="preserve">Abner’s </w:t>
      </w:r>
      <w:r w:rsidR="005A3991" w:rsidRPr="001F52A8">
        <w:rPr>
          <w:lang w:bidi="he-IL"/>
        </w:rPr>
        <w:t xml:space="preserve">death </w:t>
      </w:r>
      <w:r w:rsidR="002577B4" w:rsidRPr="001F52A8">
        <w:rPr>
          <w:lang w:bidi="he-IL"/>
        </w:rPr>
        <w:t>had worked in David’s favor, and he had lamented Abner (</w:t>
      </w:r>
      <w:r w:rsidR="00321EDE">
        <w:rPr>
          <w:lang w:bidi="he-IL"/>
        </w:rPr>
        <w:t xml:space="preserve">2 Sam </w:t>
      </w:r>
      <w:r w:rsidR="002577B4" w:rsidRPr="001F52A8">
        <w:rPr>
          <w:lang w:bidi="he-IL"/>
        </w:rPr>
        <w:t xml:space="preserve">3:31-39), </w:t>
      </w:r>
      <w:r w:rsidR="00C345F0">
        <w:rPr>
          <w:lang w:bidi="he-IL"/>
        </w:rPr>
        <w:t xml:space="preserve">again </w:t>
      </w:r>
      <w:r w:rsidR="00321EDE">
        <w:rPr>
          <w:lang w:bidi="he-IL"/>
        </w:rPr>
        <w:t>with the implication</w:t>
      </w:r>
      <w:r w:rsidR="00C345F0">
        <w:rPr>
          <w:lang w:bidi="he-IL"/>
        </w:rPr>
        <w:t xml:space="preserve"> </w:t>
      </w:r>
      <w:r w:rsidR="002577B4" w:rsidRPr="001F52A8">
        <w:rPr>
          <w:lang w:bidi="he-IL"/>
        </w:rPr>
        <w:t>that he was not behind it.</w:t>
      </w:r>
      <w:r w:rsidR="008007F2" w:rsidRPr="001F52A8">
        <w:rPr>
          <w:lang w:bidi="he-IL"/>
        </w:rPr>
        <w:t xml:space="preserve"> </w:t>
      </w:r>
      <w:r w:rsidR="00321EDE" w:rsidRPr="001F52A8">
        <w:rPr>
          <w:lang w:bidi="he-IL"/>
        </w:rPr>
        <w:t>I am soft/tender/gentle (</w:t>
      </w:r>
      <w:r w:rsidR="00321EDE" w:rsidRPr="001F52A8">
        <w:rPr>
          <w:i/>
          <w:iCs/>
          <w:lang w:bidi="he-IL"/>
        </w:rPr>
        <w:t>rak</w:t>
      </w:r>
      <w:r w:rsidR="00321EDE" w:rsidRPr="001F52A8">
        <w:rPr>
          <w:lang w:bidi="he-IL"/>
        </w:rPr>
        <w:t>), David claims</w:t>
      </w:r>
      <w:r w:rsidR="00321EDE">
        <w:rPr>
          <w:lang w:bidi="he-IL"/>
        </w:rPr>
        <w:t>,</w:t>
      </w:r>
      <w:r w:rsidR="00321EDE" w:rsidRPr="001F52A8">
        <w:rPr>
          <w:sz w:val="23"/>
          <w:szCs w:val="23"/>
        </w:rPr>
        <w:t xml:space="preserve"> implausibl</w:t>
      </w:r>
      <w:r w:rsidR="00321EDE">
        <w:rPr>
          <w:sz w:val="23"/>
          <w:szCs w:val="23"/>
        </w:rPr>
        <w:t>y, and</w:t>
      </w:r>
      <w:r w:rsidR="005A3991" w:rsidRPr="001F52A8">
        <w:rPr>
          <w:lang w:bidi="he-IL"/>
        </w:rPr>
        <w:t xml:space="preserve"> </w:t>
      </w:r>
      <w:r w:rsidR="00321EDE">
        <w:rPr>
          <w:lang w:bidi="he-IL"/>
        </w:rPr>
        <w:t xml:space="preserve">he </w:t>
      </w:r>
      <w:r w:rsidR="005A3991" w:rsidRPr="001F52A8">
        <w:rPr>
          <w:lang w:bidi="he-IL"/>
        </w:rPr>
        <w:t>pray</w:t>
      </w:r>
      <w:r w:rsidR="00321EDE">
        <w:rPr>
          <w:lang w:bidi="he-IL"/>
        </w:rPr>
        <w:t>s</w:t>
      </w:r>
      <w:r w:rsidR="005A3991" w:rsidRPr="001F52A8">
        <w:rPr>
          <w:lang w:bidi="he-IL"/>
        </w:rPr>
        <w:t xml:space="preserve"> for Yahweh to requite Joab (3:29, 39), but Yahweh didn’t, and David left the task to Solomon for after his death (1 Kgs 2)</w:t>
      </w:r>
      <w:r w:rsidR="00321EDE">
        <w:rPr>
          <w:lang w:bidi="he-IL"/>
        </w:rPr>
        <w:t>. M</w:t>
      </w:r>
      <w:r w:rsidR="005A3991" w:rsidRPr="001F52A8">
        <w:rPr>
          <w:lang w:bidi="he-IL"/>
        </w:rPr>
        <w:t>ean</w:t>
      </w:r>
      <w:r w:rsidR="00C345F0">
        <w:rPr>
          <w:lang w:bidi="he-IL"/>
        </w:rPr>
        <w:t>while</w:t>
      </w:r>
      <w:r w:rsidR="005A3991" w:rsidRPr="001F52A8">
        <w:rPr>
          <w:lang w:bidi="he-IL"/>
        </w:rPr>
        <w:t>, it didn’t stop David</w:t>
      </w:r>
      <w:r w:rsidR="00290DD1" w:rsidRPr="001F52A8">
        <w:rPr>
          <w:lang w:bidi="he-IL"/>
        </w:rPr>
        <w:t xml:space="preserve"> making good use of Joab as commander-in-chief in his aggressiveness and ruthlessness, nor stop Joab, “a skilled fighter and a bold talker,”</w:t>
      </w:r>
      <w:r w:rsidR="00290DD1" w:rsidRPr="001F52A8">
        <w:rPr>
          <w:rStyle w:val="FootnoteReference"/>
          <w:lang w:bidi="he-IL"/>
        </w:rPr>
        <w:footnoteReference w:id="308"/>
      </w:r>
      <w:r w:rsidR="00290DD1" w:rsidRPr="001F52A8">
        <w:rPr>
          <w:lang w:bidi="he-IL"/>
        </w:rPr>
        <w:t xml:space="preserve"> making good use of his capacity to confront David (2 Sam 10 – 12; 14; 18 – 20; 24). In due course two Benjaminites assassinate Ish-bosheth (4:2-12). </w:t>
      </w:r>
      <w:r w:rsidRPr="001F52A8">
        <w:rPr>
          <w:lang w:bidi="he-IL"/>
        </w:rPr>
        <w:t>“</w:t>
      </w:r>
      <w:r w:rsidR="00B32C21">
        <w:rPr>
          <w:lang w:bidi="he-IL"/>
        </w:rPr>
        <w:t>F</w:t>
      </w:r>
      <w:r w:rsidRPr="001F52A8">
        <w:rPr>
          <w:lang w:bidi="he-IL"/>
        </w:rPr>
        <w:t>or David to secure power in the north, some carefully placed killings must occur – Saul and Jonathan, Abner, and now, in this chapter, Ish-bosheth.”</w:t>
      </w:r>
      <w:r w:rsidRPr="001F52A8">
        <w:rPr>
          <w:rStyle w:val="FootnoteReference"/>
          <w:lang w:bidi="he-IL"/>
        </w:rPr>
        <w:footnoteReference w:id="309"/>
      </w:r>
      <w:r w:rsidR="00290DD1" w:rsidRPr="001F52A8">
        <w:rPr>
          <w:lang w:bidi="he-IL"/>
        </w:rPr>
        <w:t xml:space="preserve"> Then </w:t>
      </w:r>
      <w:r w:rsidR="00035503" w:rsidRPr="001F52A8">
        <w:rPr>
          <w:lang w:bidi="he-IL"/>
        </w:rPr>
        <w:t xml:space="preserve">representatives of the northern Israelites </w:t>
      </w:r>
      <w:r w:rsidR="00AB7E6B" w:rsidRPr="001F52A8">
        <w:rPr>
          <w:lang w:bidi="he-IL"/>
        </w:rPr>
        <w:t xml:space="preserve">come to David: </w:t>
      </w:r>
    </w:p>
    <w:p w14:paraId="5D3F9AD8" w14:textId="6C242BA7" w:rsidR="000C40E0" w:rsidRPr="001F52A8" w:rsidRDefault="000C40E0" w:rsidP="00FA4FA3">
      <w:pPr>
        <w:rPr>
          <w:lang w:bidi="he-IL"/>
        </w:rPr>
      </w:pPr>
    </w:p>
    <w:p w14:paraId="42ABA80B" w14:textId="78168095" w:rsidR="000C40E0" w:rsidRPr="001F52A8" w:rsidRDefault="00B32C21" w:rsidP="000C40E0">
      <w:pPr>
        <w:pStyle w:val="Quote"/>
      </w:pPr>
      <w:r>
        <w:t>“</w:t>
      </w:r>
      <w:r w:rsidR="000C40E0" w:rsidRPr="001F52A8">
        <w:t xml:space="preserve">Here, we are your flesh and blood. Further, in previous days, when Saul was king over us, you were the one who took Israel out and brought Israel in. Yahweh said to you, </w:t>
      </w:r>
      <w:r>
        <w:lastRenderedPageBreak/>
        <w:t>‘</w:t>
      </w:r>
      <w:r w:rsidR="000C40E0" w:rsidRPr="001F52A8">
        <w:t>You’re the one who will shepherd my people Israel. You’re the one who will be ruler over Israel.</w:t>
      </w:r>
      <w:r>
        <w:t>’</w:t>
      </w:r>
      <w:r w:rsidR="000C40E0" w:rsidRPr="001F52A8">
        <w:t>” So all Israel’s elders came to the king at Hebron, King David solemnized a p</w:t>
      </w:r>
      <w:r w:rsidR="00CE0355" w:rsidRPr="001F52A8">
        <w:t>ledge</w:t>
      </w:r>
      <w:r w:rsidR="000C40E0" w:rsidRPr="001F52A8">
        <w:t xml:space="preserve"> to them at Hebron before Yahweh, and they anointed David as king over Israel.</w:t>
      </w:r>
      <w:r w:rsidR="00491950" w:rsidRPr="001F52A8">
        <w:t xml:space="preserve"> (5:</w:t>
      </w:r>
      <w:r w:rsidR="004914E3" w:rsidRPr="001F52A8">
        <w:t>1-3)</w:t>
      </w:r>
    </w:p>
    <w:p w14:paraId="1EC73CF9" w14:textId="5C7AF09A" w:rsidR="00AC0D4E" w:rsidRPr="001F52A8" w:rsidRDefault="00AC0D4E" w:rsidP="00AC0D4E">
      <w:pPr>
        <w:rPr>
          <w:lang w:bidi="he-IL"/>
        </w:rPr>
      </w:pPr>
    </w:p>
    <w:p w14:paraId="57BB20A7" w14:textId="2945FDDD" w:rsidR="004D46EB" w:rsidRPr="001F52A8" w:rsidRDefault="00BF6F66" w:rsidP="004D46EB">
      <w:pPr>
        <w:rPr>
          <w:rFonts w:cstheme="minorHAnsi"/>
          <w:lang w:bidi="he-IL"/>
        </w:rPr>
      </w:pPr>
      <w:r w:rsidRPr="001F52A8">
        <w:rPr>
          <w:lang w:bidi="he-IL"/>
        </w:rPr>
        <w:t xml:space="preserve">The monarchy falls into David’s lap. They are not literally David’s flesh and blood, like Abimelech when he speaks thus to the Shechemites (Judg 9:2), </w:t>
      </w:r>
      <w:r w:rsidR="00B32C21">
        <w:rPr>
          <w:lang w:bidi="he-IL"/>
        </w:rPr>
        <w:t>and</w:t>
      </w:r>
      <w:r w:rsidRPr="001F52A8">
        <w:rPr>
          <w:lang w:bidi="he-IL"/>
        </w:rPr>
        <w:t xml:space="preserve"> the point of the comment lies in that fact. They are making a declaration of commitment, a performative statement</w:t>
      </w:r>
      <w:r w:rsidR="005F0CE0">
        <w:rPr>
          <w:lang w:bidi="he-IL"/>
        </w:rPr>
        <w:t>: w</w:t>
      </w:r>
      <w:r w:rsidRPr="001F52A8">
        <w:rPr>
          <w:lang w:bidi="he-IL"/>
        </w:rPr>
        <w:t xml:space="preserve">e hereby pledge ourselves to being one people with you. </w:t>
      </w:r>
      <w:r w:rsidR="00290DD1" w:rsidRPr="001F52A8">
        <w:rPr>
          <w:lang w:bidi="he-IL"/>
        </w:rPr>
        <w:t>Once again there is no talk of Yahweh</w:t>
      </w:r>
      <w:r w:rsidR="005F0CE0">
        <w:rPr>
          <w:lang w:bidi="he-IL"/>
        </w:rPr>
        <w:t>’s involvement</w:t>
      </w:r>
      <w:r w:rsidR="00290DD1" w:rsidRPr="001F52A8">
        <w:rPr>
          <w:lang w:bidi="he-IL"/>
        </w:rPr>
        <w:t>; their approach</w:t>
      </w:r>
      <w:r w:rsidR="005F0CE0">
        <w:rPr>
          <w:lang w:bidi="he-IL"/>
        </w:rPr>
        <w:t xml:space="preserve">, </w:t>
      </w:r>
      <w:r w:rsidR="00290DD1" w:rsidRPr="001F52A8">
        <w:rPr>
          <w:lang w:bidi="he-IL"/>
        </w:rPr>
        <w:t>their pledge or covenant</w:t>
      </w:r>
      <w:r w:rsidR="005F0CE0">
        <w:rPr>
          <w:lang w:bidi="he-IL"/>
        </w:rPr>
        <w:t>,</w:t>
      </w:r>
      <w:r w:rsidR="00290DD1" w:rsidRPr="001F52A8">
        <w:rPr>
          <w:lang w:bidi="he-IL"/>
        </w:rPr>
        <w:t xml:space="preserve"> and their anointing are human actions</w:t>
      </w:r>
      <w:r w:rsidRPr="001F52A8">
        <w:rPr>
          <w:lang w:bidi="he-IL"/>
        </w:rPr>
        <w:t>, though</w:t>
      </w:r>
      <w:r w:rsidR="00290DD1" w:rsidRPr="001F52A8">
        <w:rPr>
          <w:lang w:bidi="he-IL"/>
        </w:rPr>
        <w:t xml:space="preserve"> they, too, refer to an alleged message to David.</w:t>
      </w:r>
      <w:r w:rsidR="00290DD1" w:rsidRPr="001F52A8">
        <w:rPr>
          <w:rStyle w:val="FootnoteReference"/>
          <w:lang w:bidi="he-IL"/>
        </w:rPr>
        <w:footnoteReference w:id="310"/>
      </w:r>
      <w:r w:rsidRPr="001F52A8">
        <w:rPr>
          <w:lang w:bidi="he-IL"/>
        </w:rPr>
        <w:t xml:space="preserve"> They</w:t>
      </w:r>
      <w:r w:rsidR="00B32C21">
        <w:rPr>
          <w:lang w:bidi="he-IL"/>
        </w:rPr>
        <w:t>, too,</w:t>
      </w:r>
      <w:r w:rsidRPr="001F52A8">
        <w:rPr>
          <w:lang w:bidi="he-IL"/>
        </w:rPr>
        <w:t xml:space="preserve"> describe themselves as fulfilling Yahweh’s word, </w:t>
      </w:r>
      <w:r w:rsidR="00B32C21">
        <w:rPr>
          <w:lang w:bidi="he-IL"/>
        </w:rPr>
        <w:t xml:space="preserve">but </w:t>
      </w:r>
      <w:r w:rsidRPr="001F52A8">
        <w:rPr>
          <w:lang w:bidi="he-IL"/>
        </w:rPr>
        <w:t>they</w:t>
      </w:r>
      <w:r w:rsidR="00B32C21">
        <w:rPr>
          <w:lang w:bidi="he-IL"/>
        </w:rPr>
        <w:t>, too,</w:t>
      </w:r>
      <w:r w:rsidRPr="001F52A8">
        <w:rPr>
          <w:lang w:bidi="he-IL"/>
        </w:rPr>
        <w:t xml:space="preserve"> m</w:t>
      </w:r>
      <w:r w:rsidR="00B32C21">
        <w:rPr>
          <w:lang w:bidi="he-IL"/>
        </w:rPr>
        <w:t>ay</w:t>
      </w:r>
      <w:r w:rsidRPr="001F52A8">
        <w:rPr>
          <w:lang w:bidi="he-IL"/>
        </w:rPr>
        <w:t xml:space="preserve"> be mentioning Yahweh chiefly as part of their political maneuvering</w:t>
      </w:r>
      <w:r w:rsidR="005F0CE0">
        <w:rPr>
          <w:lang w:bidi="he-IL"/>
        </w:rPr>
        <w:t>, yet</w:t>
      </w:r>
      <w:r w:rsidRPr="001F52A8">
        <w:rPr>
          <w:lang w:bidi="he-IL"/>
        </w:rPr>
        <w:t xml:space="preserve"> speak</w:t>
      </w:r>
      <w:r w:rsidR="005F0CE0">
        <w:rPr>
          <w:lang w:bidi="he-IL"/>
        </w:rPr>
        <w:t>ing</w:t>
      </w:r>
      <w:r w:rsidRPr="001F52A8">
        <w:rPr>
          <w:lang w:bidi="he-IL"/>
        </w:rPr>
        <w:t xml:space="preserve"> more truly and theologically than they realize. </w:t>
      </w:r>
      <w:r w:rsidR="00B32C21">
        <w:rPr>
          <w:lang w:bidi="he-IL"/>
        </w:rPr>
        <w:t>S</w:t>
      </w:r>
      <w:r w:rsidRPr="001F52A8">
        <w:rPr>
          <w:lang w:bidi="he-IL"/>
        </w:rPr>
        <w:t>o do their actual words</w:t>
      </w:r>
      <w:r w:rsidR="005F0CE0">
        <w:rPr>
          <w:lang w:bidi="he-IL"/>
        </w:rPr>
        <w:t xml:space="preserve"> as t</w:t>
      </w:r>
      <w:r w:rsidR="004D46EB" w:rsidRPr="001F52A8">
        <w:rPr>
          <w:lang w:bidi="he-IL"/>
        </w:rPr>
        <w:t>hey pick up the word “commandant” (</w:t>
      </w:r>
      <w:r w:rsidR="004D46EB" w:rsidRPr="001F52A8">
        <w:rPr>
          <w:i/>
          <w:iCs/>
          <w:lang w:bidi="he-IL"/>
        </w:rPr>
        <w:t>n</w:t>
      </w:r>
      <w:r w:rsidR="004D46EB" w:rsidRPr="001F52A8">
        <w:rPr>
          <w:rFonts w:cstheme="minorHAnsi"/>
          <w:i/>
          <w:iCs/>
          <w:lang w:bidi="he-IL"/>
        </w:rPr>
        <w:t>āgîd</w:t>
      </w:r>
      <w:r w:rsidR="004D46EB" w:rsidRPr="001F52A8">
        <w:rPr>
          <w:rFonts w:cstheme="minorHAnsi"/>
          <w:lang w:bidi="he-IL"/>
        </w:rPr>
        <w:t xml:space="preserve">), </w:t>
      </w:r>
      <w:r w:rsidR="00B32C21">
        <w:rPr>
          <w:rFonts w:cstheme="minorHAnsi"/>
          <w:lang w:bidi="he-IL"/>
        </w:rPr>
        <w:t>Yahweh’s</w:t>
      </w:r>
      <w:r w:rsidR="004D46EB" w:rsidRPr="001F52A8">
        <w:rPr>
          <w:rFonts w:cstheme="minorHAnsi"/>
          <w:lang w:bidi="he-IL"/>
        </w:rPr>
        <w:t xml:space="preserve"> term when he commissioned Samuel to anoint Saul (1 Sam 9:16; 10:1). It suggests someone appointed by Yahweh who rules under Yahweh’s direction</w:t>
      </w:r>
      <w:r w:rsidR="004D46EB" w:rsidRPr="001F52A8">
        <w:rPr>
          <w:rFonts w:ascii="Calibri" w:hAnsi="Calibri" w:cs="Calibri"/>
        </w:rPr>
        <w:t xml:space="preserve">. </w:t>
      </w:r>
      <w:r w:rsidR="00990F32" w:rsidRPr="001F52A8">
        <w:rPr>
          <w:rFonts w:cstheme="minorHAnsi"/>
          <w:lang w:bidi="he-IL"/>
        </w:rPr>
        <w:t>“The elders apparently d</w:t>
      </w:r>
      <w:r w:rsidR="00D64AA3" w:rsidRPr="001F52A8">
        <w:rPr>
          <w:rFonts w:cstheme="minorHAnsi"/>
          <w:lang w:bidi="he-IL"/>
        </w:rPr>
        <w:t>o</w:t>
      </w:r>
      <w:r w:rsidR="00990F32" w:rsidRPr="001F52A8">
        <w:rPr>
          <w:rFonts w:cstheme="minorHAnsi"/>
          <w:lang w:bidi="he-IL"/>
        </w:rPr>
        <w:t xml:space="preserve"> not wish to overlegitimize </w:t>
      </w:r>
      <w:r w:rsidR="00D64AA3" w:rsidRPr="001F52A8">
        <w:rPr>
          <w:rFonts w:cstheme="minorHAnsi"/>
          <w:lang w:bidi="he-IL"/>
        </w:rPr>
        <w:t xml:space="preserve">or excessively exalt </w:t>
      </w:r>
      <w:r w:rsidR="00990F32" w:rsidRPr="001F52A8">
        <w:rPr>
          <w:rFonts w:cstheme="minorHAnsi"/>
          <w:lang w:bidi="he-IL"/>
        </w:rPr>
        <w:t>David</w:t>
      </w:r>
      <w:r w:rsidR="00D64AA3" w:rsidRPr="001F52A8">
        <w:rPr>
          <w:rFonts w:cstheme="minorHAnsi"/>
          <w:lang w:bidi="he-IL"/>
        </w:rPr>
        <w:t xml:space="preserve"> in office</w:t>
      </w:r>
      <w:r w:rsidR="00184BBA" w:rsidRPr="001F52A8">
        <w:rPr>
          <w:rFonts w:cstheme="minorHAnsi"/>
          <w:lang w:bidi="he-IL"/>
        </w:rPr>
        <w:t>.”</w:t>
      </w:r>
      <w:r w:rsidR="00184BBA" w:rsidRPr="001F52A8">
        <w:rPr>
          <w:rStyle w:val="FootnoteReference"/>
          <w:rFonts w:cstheme="minorHAnsi"/>
          <w:lang w:bidi="he-IL"/>
        </w:rPr>
        <w:footnoteReference w:id="311"/>
      </w:r>
      <w:r w:rsidR="00640B4D" w:rsidRPr="001F52A8">
        <w:rPr>
          <w:rFonts w:cstheme="minorHAnsi"/>
          <w:lang w:bidi="he-IL"/>
        </w:rPr>
        <w:t xml:space="preserve"> They perhaps </w:t>
      </w:r>
      <w:r w:rsidR="00400069" w:rsidRPr="001F52A8">
        <w:rPr>
          <w:rFonts w:cstheme="minorHAnsi"/>
          <w:lang w:bidi="he-IL"/>
        </w:rPr>
        <w:t xml:space="preserve">imply that they are </w:t>
      </w:r>
      <w:r w:rsidR="00640B4D" w:rsidRPr="001F52A8">
        <w:rPr>
          <w:rFonts w:cstheme="minorHAnsi"/>
          <w:lang w:bidi="he-IL"/>
        </w:rPr>
        <w:t xml:space="preserve">not the only ones: </w:t>
      </w:r>
      <w:r w:rsidR="00400069" w:rsidRPr="001F52A8">
        <w:rPr>
          <w:rFonts w:cstheme="minorHAnsi"/>
          <w:lang w:bidi="he-IL"/>
        </w:rPr>
        <w:t xml:space="preserve">Yahweh is happy for David to be </w:t>
      </w:r>
      <w:r w:rsidR="00400069" w:rsidRPr="001F52A8">
        <w:rPr>
          <w:i/>
          <w:iCs/>
          <w:lang w:bidi="he-IL"/>
        </w:rPr>
        <w:t>n</w:t>
      </w:r>
      <w:r w:rsidR="00400069" w:rsidRPr="001F52A8">
        <w:rPr>
          <w:rFonts w:cstheme="minorHAnsi"/>
          <w:i/>
          <w:iCs/>
          <w:lang w:bidi="he-IL"/>
        </w:rPr>
        <w:t>āgîd</w:t>
      </w:r>
      <w:r w:rsidR="00400069" w:rsidRPr="001F52A8">
        <w:rPr>
          <w:rFonts w:cstheme="minorHAnsi"/>
          <w:lang w:bidi="he-IL"/>
        </w:rPr>
        <w:t>, but not s</w:t>
      </w:r>
      <w:r w:rsidR="006A6EE1" w:rsidRPr="001F52A8">
        <w:rPr>
          <w:rFonts w:cstheme="minorHAnsi"/>
          <w:lang w:bidi="he-IL"/>
        </w:rPr>
        <w:t>o</w:t>
      </w:r>
      <w:r w:rsidR="00400069" w:rsidRPr="001F52A8">
        <w:rPr>
          <w:rFonts w:cstheme="minorHAnsi"/>
          <w:lang w:bidi="he-IL"/>
        </w:rPr>
        <w:t xml:space="preserve"> enthusiastic about his being king.</w:t>
      </w:r>
      <w:r w:rsidR="006A6EE1" w:rsidRPr="001F52A8">
        <w:rPr>
          <w:rStyle w:val="FootnoteReference"/>
          <w:rFonts w:cstheme="minorHAnsi"/>
          <w:lang w:bidi="he-IL"/>
        </w:rPr>
        <w:footnoteReference w:id="312"/>
      </w:r>
      <w:r w:rsidR="004D46EB" w:rsidRPr="001F52A8">
        <w:rPr>
          <w:rFonts w:cstheme="minorHAnsi"/>
          <w:lang w:bidi="he-IL"/>
        </w:rPr>
        <w:t xml:space="preserve"> The people also quote Yahweh as commissioning David to</w:t>
      </w:r>
      <w:r w:rsidR="00345107" w:rsidRPr="001F52A8">
        <w:rPr>
          <w:rFonts w:cstheme="minorHAnsi"/>
          <w:lang w:bidi="he-IL"/>
        </w:rPr>
        <w:t xml:space="preserve"> </w:t>
      </w:r>
      <w:r w:rsidR="00BD403F" w:rsidRPr="001F52A8">
        <w:rPr>
          <w:rFonts w:cstheme="minorHAnsi"/>
          <w:lang w:bidi="he-IL"/>
        </w:rPr>
        <w:t xml:space="preserve">“shepherd” </w:t>
      </w:r>
      <w:r w:rsidR="00B85703" w:rsidRPr="001F52A8">
        <w:rPr>
          <w:rFonts w:cstheme="minorHAnsi"/>
          <w:lang w:bidi="he-IL"/>
        </w:rPr>
        <w:t xml:space="preserve">them, which </w:t>
      </w:r>
      <w:r w:rsidR="00BD403F" w:rsidRPr="001F52A8">
        <w:rPr>
          <w:rFonts w:cstheme="minorHAnsi"/>
          <w:lang w:bidi="he-IL"/>
        </w:rPr>
        <w:t xml:space="preserve">contributes </w:t>
      </w:r>
      <w:r w:rsidR="00B85703" w:rsidRPr="001F52A8">
        <w:rPr>
          <w:rFonts w:cstheme="minorHAnsi"/>
          <w:lang w:bidi="he-IL"/>
        </w:rPr>
        <w:t xml:space="preserve">further </w:t>
      </w:r>
      <w:r w:rsidR="00BD403F" w:rsidRPr="001F52A8">
        <w:rPr>
          <w:rFonts w:cstheme="minorHAnsi"/>
          <w:lang w:bidi="he-IL"/>
        </w:rPr>
        <w:t xml:space="preserve">to </w:t>
      </w:r>
      <w:r w:rsidR="005F0CE0">
        <w:rPr>
          <w:rFonts w:cstheme="minorHAnsi"/>
          <w:lang w:bidi="he-IL"/>
        </w:rPr>
        <w:t>a</w:t>
      </w:r>
      <w:r w:rsidR="00BD403F" w:rsidRPr="001F52A8">
        <w:rPr>
          <w:rFonts w:cstheme="minorHAnsi"/>
          <w:lang w:bidi="he-IL"/>
        </w:rPr>
        <w:t xml:space="preserve"> </w:t>
      </w:r>
      <w:r w:rsidR="007956A2" w:rsidRPr="001F52A8">
        <w:rPr>
          <w:rFonts w:cstheme="minorHAnsi"/>
          <w:lang w:bidi="he-IL"/>
        </w:rPr>
        <w:t>reframing</w:t>
      </w:r>
      <w:r w:rsidR="00B85703" w:rsidRPr="001F52A8">
        <w:rPr>
          <w:rFonts w:cstheme="minorHAnsi"/>
          <w:lang w:bidi="he-IL"/>
        </w:rPr>
        <w:t xml:space="preserve"> of the notion of kingship</w:t>
      </w:r>
      <w:r w:rsidR="007956A2" w:rsidRPr="001F52A8">
        <w:rPr>
          <w:rFonts w:cstheme="minorHAnsi"/>
          <w:lang w:bidi="he-IL"/>
        </w:rPr>
        <w:t>.</w:t>
      </w:r>
      <w:r w:rsidR="007956A2" w:rsidRPr="001F52A8">
        <w:rPr>
          <w:rStyle w:val="FootnoteReference"/>
          <w:rFonts w:cstheme="minorHAnsi"/>
          <w:lang w:bidi="he-IL"/>
        </w:rPr>
        <w:footnoteReference w:id="313"/>
      </w:r>
      <w:r w:rsidR="00B85703" w:rsidRPr="001F52A8">
        <w:rPr>
          <w:rFonts w:cstheme="minorHAnsi"/>
          <w:lang w:bidi="he-IL"/>
        </w:rPr>
        <w:t xml:space="preserve"> It is t</w:t>
      </w:r>
      <w:r w:rsidR="004D46EB" w:rsidRPr="001F52A8">
        <w:rPr>
          <w:rFonts w:cstheme="minorHAnsi"/>
          <w:lang w:bidi="he-IL"/>
        </w:rPr>
        <w:t xml:space="preserve">he first occurrence of the verb “shepherd” since </w:t>
      </w:r>
      <w:r w:rsidR="00B85703" w:rsidRPr="001F52A8">
        <w:rPr>
          <w:rFonts w:cstheme="minorHAnsi"/>
          <w:lang w:bidi="he-IL"/>
        </w:rPr>
        <w:t>the beginning of David’s story (</w:t>
      </w:r>
      <w:r w:rsidR="004D46EB" w:rsidRPr="001F52A8">
        <w:rPr>
          <w:rFonts w:cstheme="minorHAnsi"/>
          <w:lang w:bidi="he-IL"/>
        </w:rPr>
        <w:t>1 Sam 17:15</w:t>
      </w:r>
      <w:r w:rsidR="00B85703" w:rsidRPr="001F52A8">
        <w:rPr>
          <w:rFonts w:cstheme="minorHAnsi"/>
          <w:lang w:bidi="he-IL"/>
        </w:rPr>
        <w:t>)</w:t>
      </w:r>
      <w:r w:rsidR="004D46EB" w:rsidRPr="001F52A8">
        <w:rPr>
          <w:rFonts w:cstheme="minorHAnsi"/>
          <w:lang w:bidi="he-IL"/>
        </w:rPr>
        <w:t>.</w:t>
      </w:r>
      <w:r w:rsidR="00B85703" w:rsidRPr="001F52A8">
        <w:rPr>
          <w:rFonts w:cstheme="minorHAnsi"/>
          <w:lang w:bidi="he-IL"/>
        </w:rPr>
        <w:t xml:space="preserve"> David knows that a shepherd looks after sheep, provides for them, directs them, and protects them from attack (cf. Ps 23).</w:t>
      </w:r>
    </w:p>
    <w:p w14:paraId="0F7222E1" w14:textId="04FDFCAD" w:rsidR="00576CAD" w:rsidRPr="001F52A8" w:rsidRDefault="00B85703" w:rsidP="008A21D9">
      <w:pPr>
        <w:rPr>
          <w:rFonts w:cstheme="minorHAnsi"/>
          <w:lang w:bidi="he-IL"/>
        </w:rPr>
      </w:pPr>
      <w:r w:rsidRPr="001F52A8">
        <w:rPr>
          <w:rFonts w:cstheme="minorHAnsi"/>
          <w:lang w:bidi="he-IL"/>
        </w:rPr>
        <w:t xml:space="preserve">The related, less metaphorical Hebrew expression for the king’s remit is that he is responsible for the exercise of faithful authority or right decision-making, for </w:t>
      </w:r>
      <w:r w:rsidRPr="001F52A8">
        <w:rPr>
          <w:rFonts w:cstheme="minorHAnsi"/>
          <w:i/>
          <w:iCs/>
          <w:lang w:bidi="he-IL"/>
        </w:rPr>
        <w:t>mišpāṭ ûṣədāqâ</w:t>
      </w:r>
      <w:r w:rsidRPr="001F52A8">
        <w:rPr>
          <w:rFonts w:cstheme="minorHAnsi"/>
          <w:lang w:bidi="he-IL"/>
        </w:rPr>
        <w:t xml:space="preserve"> (</w:t>
      </w:r>
      <w:r w:rsidR="005F0CE0">
        <w:rPr>
          <w:rFonts w:cstheme="minorHAnsi"/>
          <w:lang w:bidi="he-IL"/>
        </w:rPr>
        <w:t xml:space="preserve">2 </w:t>
      </w:r>
      <w:r w:rsidR="000C1E08">
        <w:rPr>
          <w:rFonts w:cstheme="minorHAnsi"/>
          <w:lang w:bidi="he-IL"/>
        </w:rPr>
        <w:t>S</w:t>
      </w:r>
      <w:r w:rsidR="005F0CE0">
        <w:rPr>
          <w:rFonts w:cstheme="minorHAnsi"/>
          <w:lang w:bidi="he-IL"/>
        </w:rPr>
        <w:t xml:space="preserve">am </w:t>
      </w:r>
      <w:r w:rsidRPr="001F52A8">
        <w:rPr>
          <w:rFonts w:cstheme="minorHAnsi"/>
          <w:lang w:bidi="he-IL"/>
        </w:rPr>
        <w:t>8:15</w:t>
      </w:r>
      <w:r w:rsidR="008A21D9" w:rsidRPr="001F52A8">
        <w:rPr>
          <w:rFonts w:cstheme="minorHAnsi"/>
          <w:lang w:bidi="he-IL"/>
        </w:rPr>
        <w:t xml:space="preserve">). This phrase can be seen as the Hebrew term for social justice, though that notion </w:t>
      </w:r>
      <w:r w:rsidR="00B32C21">
        <w:rPr>
          <w:rFonts w:cstheme="minorHAnsi"/>
          <w:lang w:bidi="he-IL"/>
        </w:rPr>
        <w:t xml:space="preserve">in English </w:t>
      </w:r>
      <w:r w:rsidR="008A21D9" w:rsidRPr="001F52A8">
        <w:rPr>
          <w:rFonts w:cstheme="minorHAnsi"/>
          <w:lang w:bidi="he-IL"/>
        </w:rPr>
        <w:t xml:space="preserve">is vague, and one has to allow for </w:t>
      </w:r>
      <w:r w:rsidR="00B32C21">
        <w:rPr>
          <w:rFonts w:cstheme="minorHAnsi"/>
          <w:lang w:bidi="he-IL"/>
        </w:rPr>
        <w:t>differences in</w:t>
      </w:r>
      <w:r w:rsidR="008A21D9" w:rsidRPr="001F52A8">
        <w:rPr>
          <w:rFonts w:cstheme="minorHAnsi"/>
          <w:lang w:bidi="he-IL"/>
        </w:rPr>
        <w:t xml:space="preserve"> the notion of justice in different cultural contexts</w:t>
      </w:r>
      <w:r w:rsidR="00EE2F58" w:rsidRPr="001F52A8">
        <w:rPr>
          <w:rFonts w:cstheme="minorHAnsi"/>
          <w:lang w:bidi="he-IL"/>
        </w:rPr>
        <w:t xml:space="preserve"> in accordance with the different conceptual schemes within which it functions</w:t>
      </w:r>
      <w:r w:rsidR="008A21D9" w:rsidRPr="001F52A8">
        <w:rPr>
          <w:rFonts w:cstheme="minorHAnsi"/>
          <w:lang w:bidi="he-IL"/>
        </w:rPr>
        <w:t>.</w:t>
      </w:r>
      <w:r w:rsidR="008A21D9" w:rsidRPr="001F52A8">
        <w:rPr>
          <w:rStyle w:val="FootnoteReference"/>
          <w:rFonts w:cstheme="minorHAnsi"/>
          <w:lang w:bidi="he-IL"/>
        </w:rPr>
        <w:footnoteReference w:id="314"/>
      </w:r>
      <w:r w:rsidR="00EE2F58" w:rsidRPr="001F52A8">
        <w:rPr>
          <w:rFonts w:cstheme="minorHAnsi"/>
          <w:lang w:bidi="he-IL"/>
        </w:rPr>
        <w:t xml:space="preserve"> </w:t>
      </w:r>
      <w:r w:rsidR="00C06F58">
        <w:rPr>
          <w:rFonts w:cstheme="minorHAnsi"/>
          <w:lang w:bidi="he-IL"/>
        </w:rPr>
        <w:t>T</w:t>
      </w:r>
      <w:r w:rsidR="00EE2F58" w:rsidRPr="001F52A8">
        <w:rPr>
          <w:rFonts w:cstheme="minorHAnsi"/>
          <w:lang w:bidi="he-IL"/>
        </w:rPr>
        <w:t xml:space="preserve">he First Testament </w:t>
      </w:r>
      <w:r w:rsidR="00B32C21">
        <w:rPr>
          <w:rFonts w:cstheme="minorHAnsi"/>
          <w:lang w:bidi="he-IL"/>
        </w:rPr>
        <w:t>understanding</w:t>
      </w:r>
      <w:r w:rsidR="00EE2F58" w:rsidRPr="001F52A8">
        <w:rPr>
          <w:rFonts w:cstheme="minorHAnsi"/>
          <w:lang w:bidi="he-IL"/>
        </w:rPr>
        <w:t xml:space="preserve"> can usefully be seen against the background of other Middle Eastern understandings.</w:t>
      </w:r>
      <w:r w:rsidR="00EE2F58" w:rsidRPr="001F52A8">
        <w:rPr>
          <w:rStyle w:val="FootnoteReference"/>
          <w:rFonts w:cstheme="minorHAnsi"/>
          <w:lang w:bidi="he-IL"/>
        </w:rPr>
        <w:footnoteReference w:id="315"/>
      </w:r>
      <w:r w:rsidR="00EE2F58" w:rsidRPr="001F52A8">
        <w:rPr>
          <w:rFonts w:cstheme="minorHAnsi"/>
          <w:lang w:bidi="he-IL"/>
        </w:rPr>
        <w:t xml:space="preserve"> </w:t>
      </w:r>
      <w:r w:rsidR="00C06F58">
        <w:rPr>
          <w:rFonts w:cstheme="minorHAnsi"/>
          <w:lang w:bidi="he-IL"/>
        </w:rPr>
        <w:t>T</w:t>
      </w:r>
      <w:r w:rsidR="00EE2F58" w:rsidRPr="001F52A8">
        <w:rPr>
          <w:rFonts w:cstheme="minorHAnsi"/>
          <w:lang w:bidi="he-IL"/>
        </w:rPr>
        <w:t xml:space="preserve">he Hebrew hendiadys combines the </w:t>
      </w:r>
      <w:r w:rsidR="00B32C21">
        <w:rPr>
          <w:rFonts w:cstheme="minorHAnsi"/>
          <w:lang w:bidi="he-IL"/>
        </w:rPr>
        <w:t>idea</w:t>
      </w:r>
      <w:r w:rsidR="00EE2F58" w:rsidRPr="001F52A8">
        <w:rPr>
          <w:rFonts w:cstheme="minorHAnsi"/>
          <w:lang w:bidi="he-IL"/>
        </w:rPr>
        <w:t>s of legitimate power and authority (</w:t>
      </w:r>
      <w:r w:rsidR="00EE2F58" w:rsidRPr="001F52A8">
        <w:rPr>
          <w:rFonts w:cstheme="minorHAnsi"/>
          <w:i/>
          <w:iCs/>
          <w:lang w:bidi="he-IL"/>
        </w:rPr>
        <w:t>mišpāṭ</w:t>
      </w:r>
      <w:r w:rsidR="00EE2F58" w:rsidRPr="001F52A8">
        <w:rPr>
          <w:rFonts w:cstheme="minorHAnsi"/>
          <w:lang w:bidi="he-IL"/>
        </w:rPr>
        <w:t>) and obligation to do the right thing by people in one’s community to whom one is bound (</w:t>
      </w:r>
      <w:r w:rsidR="00EE2F58" w:rsidRPr="001F52A8">
        <w:rPr>
          <w:rFonts w:cstheme="minorHAnsi"/>
          <w:i/>
          <w:iCs/>
          <w:lang w:bidi="he-IL"/>
        </w:rPr>
        <w:t>ṣədāqâ</w:t>
      </w:r>
      <w:r w:rsidR="00EE2F58" w:rsidRPr="001F52A8">
        <w:rPr>
          <w:rFonts w:cstheme="minorHAnsi"/>
          <w:lang w:bidi="he-IL"/>
        </w:rPr>
        <w:t xml:space="preserve">). The king’s responsibility is to govern in a way that expresses </w:t>
      </w:r>
      <w:r w:rsidR="00EE2F58" w:rsidRPr="001F52A8">
        <w:rPr>
          <w:rFonts w:cstheme="minorHAnsi"/>
          <w:i/>
          <w:iCs/>
          <w:lang w:bidi="he-IL"/>
        </w:rPr>
        <w:t>mišpāṭ ûṣədāqâ</w:t>
      </w:r>
      <w:r w:rsidR="00EE2F58" w:rsidRPr="001F52A8">
        <w:rPr>
          <w:rFonts w:cstheme="minorHAnsi"/>
          <w:lang w:bidi="he-IL"/>
        </w:rPr>
        <w:t xml:space="preserve"> and to see that the nation as a whole works on that basis as people such as a community’s elders and the heads of its households exercise their responsibility. </w:t>
      </w:r>
    </w:p>
    <w:p w14:paraId="5ABE774B" w14:textId="3F684729" w:rsidR="002C34CF" w:rsidRPr="001F52A8" w:rsidRDefault="002C34CF" w:rsidP="000B0A0F">
      <w:pPr>
        <w:pStyle w:val="Heading2"/>
        <w:rPr>
          <w:lang w:bidi="he-IL"/>
        </w:rPr>
      </w:pPr>
      <w:r w:rsidRPr="001F52A8">
        <w:rPr>
          <w:lang w:bidi="he-IL"/>
        </w:rPr>
        <w:t>Family</w:t>
      </w:r>
      <w:r w:rsidR="001C67A9" w:rsidRPr="001F52A8">
        <w:rPr>
          <w:lang w:bidi="he-IL"/>
        </w:rPr>
        <w:t>: David’s Wives and Children</w:t>
      </w:r>
      <w:r w:rsidR="008C3E0D" w:rsidRPr="001F52A8">
        <w:rPr>
          <w:lang w:bidi="he-IL"/>
        </w:rPr>
        <w:t xml:space="preserve"> and Brothers</w:t>
      </w:r>
    </w:p>
    <w:p w14:paraId="7787A9FB" w14:textId="720ED43B" w:rsidR="005E0993" w:rsidRPr="00047386" w:rsidRDefault="00B70A4D" w:rsidP="00047386">
      <w:pPr>
        <w:rPr>
          <w:lang w:bidi="he-IL"/>
        </w:rPr>
      </w:pPr>
      <w:r w:rsidRPr="001F52A8">
        <w:rPr>
          <w:lang w:bidi="he-IL"/>
        </w:rPr>
        <w:t xml:space="preserve">When </w:t>
      </w:r>
      <w:r w:rsidR="005E0993" w:rsidRPr="001F52A8">
        <w:rPr>
          <w:lang w:bidi="he-IL"/>
        </w:rPr>
        <w:t>David</w:t>
      </w:r>
      <w:r w:rsidRPr="001F52A8">
        <w:rPr>
          <w:lang w:bidi="he-IL"/>
        </w:rPr>
        <w:t xml:space="preserve"> made his move on Hebron, </w:t>
      </w:r>
      <w:r w:rsidR="005E0993" w:rsidRPr="001F52A8">
        <w:rPr>
          <w:lang w:bidi="he-IL"/>
        </w:rPr>
        <w:t>his “men” came with him,</w:t>
      </w:r>
      <w:r w:rsidR="004A094F" w:rsidRPr="001F52A8">
        <w:rPr>
          <w:lang w:bidi="he-IL"/>
        </w:rPr>
        <w:t xml:space="preserve"> with </w:t>
      </w:r>
      <w:r w:rsidR="000C1E08">
        <w:rPr>
          <w:lang w:bidi="he-IL"/>
        </w:rPr>
        <w:t>their</w:t>
      </w:r>
      <w:r w:rsidR="004A094F" w:rsidRPr="001F52A8">
        <w:rPr>
          <w:lang w:bidi="he-IL"/>
        </w:rPr>
        <w:t xml:space="preserve"> “household</w:t>
      </w:r>
      <w:r w:rsidR="000C1E08">
        <w:rPr>
          <w:lang w:bidi="he-IL"/>
        </w:rPr>
        <w:t>s</w:t>
      </w:r>
      <w:r w:rsidR="004A094F" w:rsidRPr="001F52A8">
        <w:rPr>
          <w:lang w:bidi="he-IL"/>
        </w:rPr>
        <w:t>” (</w:t>
      </w:r>
      <w:r w:rsidR="004A094F" w:rsidRPr="001F52A8">
        <w:rPr>
          <w:i/>
          <w:iCs/>
          <w:lang w:bidi="he-IL"/>
        </w:rPr>
        <w:t>bayit</w:t>
      </w:r>
      <w:r w:rsidR="004A094F" w:rsidRPr="001F52A8">
        <w:rPr>
          <w:lang w:bidi="he-IL"/>
        </w:rPr>
        <w:t>;</w:t>
      </w:r>
      <w:r w:rsidR="004A094F" w:rsidRPr="001F52A8">
        <w:rPr>
          <w:i/>
          <w:iCs/>
          <w:lang w:bidi="he-IL"/>
        </w:rPr>
        <w:t xml:space="preserve"> </w:t>
      </w:r>
      <w:r w:rsidR="004A094F" w:rsidRPr="001F52A8">
        <w:rPr>
          <w:lang w:bidi="he-IL"/>
        </w:rPr>
        <w:t>2:3). The</w:t>
      </w:r>
      <w:r w:rsidR="005E0993" w:rsidRPr="001F52A8">
        <w:rPr>
          <w:lang w:bidi="he-IL"/>
        </w:rPr>
        <w:t>se chapters</w:t>
      </w:r>
      <w:r w:rsidR="004A094F" w:rsidRPr="001F52A8">
        <w:rPr>
          <w:lang w:bidi="he-IL"/>
        </w:rPr>
        <w:t xml:space="preserve"> do not refer to extended families (</w:t>
      </w:r>
      <w:r w:rsidR="004A094F" w:rsidRPr="001F52A8">
        <w:rPr>
          <w:i/>
          <w:iCs/>
          <w:lang w:bidi="he-IL"/>
        </w:rPr>
        <w:t>mi</w:t>
      </w:r>
      <w:r w:rsidR="004A094F" w:rsidRPr="001F52A8">
        <w:rPr>
          <w:rFonts w:cstheme="minorHAnsi"/>
          <w:i/>
          <w:iCs/>
          <w:lang w:bidi="he-IL"/>
        </w:rPr>
        <w:t>špāḥâ</w:t>
      </w:r>
      <w:r w:rsidR="005E0993" w:rsidRPr="001F52A8">
        <w:rPr>
          <w:rFonts w:cstheme="minorHAnsi"/>
          <w:lang w:bidi="he-IL"/>
        </w:rPr>
        <w:t>; cf. 1 Sam 9:21; 10:21; 18:18; 20:6, 29; 2 Sam 14:7; 16:5)</w:t>
      </w:r>
      <w:r w:rsidR="000C1E08">
        <w:rPr>
          <w:rFonts w:cstheme="minorHAnsi"/>
          <w:lang w:bidi="he-IL"/>
        </w:rPr>
        <w:t>,</w:t>
      </w:r>
      <w:r w:rsidR="005E0993" w:rsidRPr="001F52A8">
        <w:rPr>
          <w:rFonts w:cstheme="minorHAnsi"/>
          <w:lang w:bidi="he-IL"/>
        </w:rPr>
        <w:t xml:space="preserve"> perhaps a sign of the breakdown of such structures </w:t>
      </w:r>
      <w:r w:rsidR="00047386">
        <w:rPr>
          <w:rFonts w:cstheme="minorHAnsi"/>
          <w:lang w:bidi="he-IL"/>
        </w:rPr>
        <w:t>in a body</w:t>
      </w:r>
      <w:r w:rsidR="005E0993" w:rsidRPr="001F52A8">
        <w:rPr>
          <w:rFonts w:cstheme="minorHAnsi"/>
          <w:lang w:bidi="he-IL"/>
        </w:rPr>
        <w:t xml:space="preserve"> that has been </w:t>
      </w:r>
      <w:r w:rsidR="005E0993" w:rsidRPr="001F52A8">
        <w:rPr>
          <w:rFonts w:cstheme="minorHAnsi"/>
          <w:lang w:bidi="he-IL"/>
        </w:rPr>
        <w:lastRenderedPageBreak/>
        <w:t>on the move and on the run</w:t>
      </w:r>
      <w:r w:rsidR="004A094F" w:rsidRPr="001F52A8">
        <w:rPr>
          <w:rFonts w:cstheme="minorHAnsi"/>
          <w:lang w:bidi="he-IL"/>
        </w:rPr>
        <w:t xml:space="preserve">. A household would presumably be a unit </w:t>
      </w:r>
      <w:r w:rsidR="00047386">
        <w:rPr>
          <w:rFonts w:cstheme="minorHAnsi"/>
          <w:lang w:bidi="he-IL"/>
        </w:rPr>
        <w:t>such as</w:t>
      </w:r>
      <w:r w:rsidR="004A094F" w:rsidRPr="001F52A8">
        <w:rPr>
          <w:lang w:bidi="he-IL"/>
        </w:rPr>
        <w:t xml:space="preserve"> could fit in a house, not so far from what Western people might call a nuclear family. </w:t>
      </w:r>
      <w:r w:rsidR="00047386">
        <w:rPr>
          <w:rFonts w:cstheme="minorHAnsi"/>
        </w:rPr>
        <w:t>B</w:t>
      </w:r>
      <w:r w:rsidR="005E0993" w:rsidRPr="001F52A8">
        <w:rPr>
          <w:rFonts w:cstheme="minorHAnsi"/>
        </w:rPr>
        <w:t>rothers are prominent in 2 Samuel 1 – 4, usually as the agents or victims of violence.</w:t>
      </w:r>
      <w:r w:rsidR="005E0993" w:rsidRPr="001F52A8">
        <w:rPr>
          <w:rStyle w:val="FootnoteReference"/>
          <w:rFonts w:cstheme="minorHAnsi"/>
        </w:rPr>
        <w:footnoteReference w:id="316"/>
      </w:r>
      <w:r w:rsidR="005E0993" w:rsidRPr="001F52A8">
        <w:rPr>
          <w:rFonts w:cstheme="minorHAnsi"/>
        </w:rPr>
        <w:t xml:space="preserve"> Deuteronomy especially emphasizes that the community needs to see itself as a brotherhood, but monarchy </w:t>
      </w:r>
      <w:r w:rsidR="00047386">
        <w:rPr>
          <w:rFonts w:cstheme="minorHAnsi"/>
        </w:rPr>
        <w:t xml:space="preserve">seems to </w:t>
      </w:r>
      <w:r w:rsidR="005E0993" w:rsidRPr="001F52A8">
        <w:rPr>
          <w:rFonts w:cstheme="minorHAnsi"/>
        </w:rPr>
        <w:t xml:space="preserve">encourages fratricide. </w:t>
      </w:r>
    </w:p>
    <w:p w14:paraId="22B80F3C" w14:textId="72142341" w:rsidR="00201FA8" w:rsidRDefault="00B70A4D" w:rsidP="00201FA8">
      <w:pPr>
        <w:rPr>
          <w:lang w:bidi="he-IL"/>
        </w:rPr>
      </w:pPr>
      <w:r w:rsidRPr="001F52A8">
        <w:rPr>
          <w:lang w:bidi="he-IL"/>
        </w:rPr>
        <w:t xml:space="preserve">David took </w:t>
      </w:r>
      <w:r w:rsidR="00047386" w:rsidRPr="001F52A8">
        <w:rPr>
          <w:lang w:bidi="he-IL"/>
        </w:rPr>
        <w:t xml:space="preserve">Ahinoam and Abigail </w:t>
      </w:r>
      <w:r w:rsidRPr="001F52A8">
        <w:rPr>
          <w:lang w:bidi="he-IL"/>
        </w:rPr>
        <w:t xml:space="preserve">with him </w:t>
      </w:r>
      <w:r w:rsidR="005E0993" w:rsidRPr="001F52A8">
        <w:rPr>
          <w:lang w:bidi="he-IL"/>
        </w:rPr>
        <w:t xml:space="preserve">to Hebron </w:t>
      </w:r>
      <w:r w:rsidR="00C015EA" w:rsidRPr="001F52A8">
        <w:rPr>
          <w:lang w:bidi="he-IL"/>
        </w:rPr>
        <w:t>(2:2)</w:t>
      </w:r>
      <w:r w:rsidR="00203628" w:rsidRPr="001F52A8">
        <w:rPr>
          <w:lang w:bidi="he-IL"/>
        </w:rPr>
        <w:t>, and</w:t>
      </w:r>
      <w:r w:rsidR="00983D18" w:rsidRPr="001F52A8">
        <w:rPr>
          <w:lang w:bidi="he-IL"/>
        </w:rPr>
        <w:t xml:space="preserve"> acquired four more </w:t>
      </w:r>
      <w:r w:rsidR="00047386">
        <w:rPr>
          <w:lang w:bidi="he-IL"/>
        </w:rPr>
        <w:t xml:space="preserve">wives </w:t>
      </w:r>
      <w:r w:rsidR="00983D18" w:rsidRPr="001F52A8">
        <w:rPr>
          <w:lang w:bidi="he-IL"/>
        </w:rPr>
        <w:t>there (3:</w:t>
      </w:r>
      <w:r w:rsidR="00F04F09" w:rsidRPr="001F52A8">
        <w:rPr>
          <w:lang w:bidi="he-IL"/>
        </w:rPr>
        <w:t xml:space="preserve">2-4). </w:t>
      </w:r>
      <w:r w:rsidR="00F940DD" w:rsidRPr="001F52A8">
        <w:rPr>
          <w:lang w:bidi="he-IL"/>
        </w:rPr>
        <w:t xml:space="preserve">The </w:t>
      </w:r>
      <w:r w:rsidR="00047386">
        <w:rPr>
          <w:lang w:bidi="he-IL"/>
        </w:rPr>
        <w:t xml:space="preserve">Hannah story presupposed </w:t>
      </w:r>
      <w:r w:rsidR="00E51A72" w:rsidRPr="001F52A8">
        <w:rPr>
          <w:lang w:bidi="he-IL"/>
        </w:rPr>
        <w:t xml:space="preserve">that </w:t>
      </w:r>
      <w:r w:rsidR="00F77BAD" w:rsidRPr="001F52A8">
        <w:rPr>
          <w:lang w:bidi="he-IL"/>
        </w:rPr>
        <w:t xml:space="preserve">for ordinary people </w:t>
      </w:r>
      <w:r w:rsidR="00EE61B5" w:rsidRPr="001F52A8">
        <w:rPr>
          <w:lang w:bidi="he-IL"/>
        </w:rPr>
        <w:t xml:space="preserve">the essence of marriage lies in </w:t>
      </w:r>
      <w:r w:rsidR="00853E58" w:rsidRPr="001F52A8">
        <w:rPr>
          <w:lang w:bidi="he-IL"/>
        </w:rPr>
        <w:t>providing a context for develop</w:t>
      </w:r>
      <w:r w:rsidR="005C550E" w:rsidRPr="001F52A8">
        <w:rPr>
          <w:lang w:bidi="he-IL"/>
        </w:rPr>
        <w:t>ing</w:t>
      </w:r>
      <w:r w:rsidR="00853E58" w:rsidRPr="001F52A8">
        <w:rPr>
          <w:lang w:bidi="he-IL"/>
        </w:rPr>
        <w:t xml:space="preserve"> </w:t>
      </w:r>
      <w:r w:rsidR="00E51A72" w:rsidRPr="001F52A8">
        <w:rPr>
          <w:lang w:bidi="he-IL"/>
        </w:rPr>
        <w:t>love</w:t>
      </w:r>
      <w:r w:rsidR="00853E58" w:rsidRPr="001F52A8">
        <w:rPr>
          <w:lang w:bidi="he-IL"/>
        </w:rPr>
        <w:t xml:space="preserve"> and for sexual expression</w:t>
      </w:r>
      <w:r w:rsidR="00F75E77" w:rsidRPr="001F52A8">
        <w:rPr>
          <w:lang w:bidi="he-IL"/>
        </w:rPr>
        <w:t xml:space="preserve">, </w:t>
      </w:r>
      <w:r w:rsidR="00DB0129" w:rsidRPr="001F52A8">
        <w:rPr>
          <w:lang w:bidi="he-IL"/>
        </w:rPr>
        <w:t xml:space="preserve">for </w:t>
      </w:r>
      <w:r w:rsidR="00F75E77" w:rsidRPr="001F52A8">
        <w:rPr>
          <w:lang w:bidi="he-IL"/>
        </w:rPr>
        <w:t>generating a family</w:t>
      </w:r>
      <w:r w:rsidR="00F77BAD" w:rsidRPr="001F52A8">
        <w:rPr>
          <w:lang w:bidi="he-IL"/>
        </w:rPr>
        <w:t>,</w:t>
      </w:r>
      <w:r w:rsidR="00E51A72" w:rsidRPr="001F52A8">
        <w:rPr>
          <w:lang w:bidi="he-IL"/>
        </w:rPr>
        <w:t xml:space="preserve"> and </w:t>
      </w:r>
      <w:r w:rsidR="00DB0129" w:rsidRPr="001F52A8">
        <w:rPr>
          <w:lang w:bidi="he-IL"/>
        </w:rPr>
        <w:t xml:space="preserve">for </w:t>
      </w:r>
      <w:r w:rsidR="00E51A72" w:rsidRPr="001F52A8">
        <w:rPr>
          <w:lang w:bidi="he-IL"/>
        </w:rPr>
        <w:t>partner</w:t>
      </w:r>
      <w:r w:rsidR="00F77BAD" w:rsidRPr="001F52A8">
        <w:rPr>
          <w:lang w:bidi="he-IL"/>
        </w:rPr>
        <w:t>ing</w:t>
      </w:r>
      <w:r w:rsidR="00F75E77" w:rsidRPr="001F52A8">
        <w:rPr>
          <w:lang w:bidi="he-IL"/>
        </w:rPr>
        <w:t xml:space="preserve"> in work</w:t>
      </w:r>
      <w:r w:rsidR="005C550E" w:rsidRPr="001F52A8">
        <w:rPr>
          <w:lang w:bidi="he-IL"/>
        </w:rPr>
        <w:t>, though m</w:t>
      </w:r>
      <w:r w:rsidR="003C7DBB" w:rsidRPr="001F52A8">
        <w:rPr>
          <w:lang w:bidi="he-IL"/>
        </w:rPr>
        <w:t xml:space="preserve">arriage would also </w:t>
      </w:r>
      <w:r w:rsidR="00DB0129" w:rsidRPr="001F52A8">
        <w:rPr>
          <w:lang w:bidi="he-IL"/>
        </w:rPr>
        <w:t>seal relati</w:t>
      </w:r>
      <w:r w:rsidR="003C7DBB" w:rsidRPr="001F52A8">
        <w:rPr>
          <w:lang w:bidi="he-IL"/>
        </w:rPr>
        <w:t>onships between families</w:t>
      </w:r>
      <w:r w:rsidR="008F342A" w:rsidRPr="001F52A8">
        <w:rPr>
          <w:lang w:bidi="he-IL"/>
        </w:rPr>
        <w:t>.</w:t>
      </w:r>
      <w:r w:rsidR="003C7DBB" w:rsidRPr="001F52A8">
        <w:rPr>
          <w:lang w:bidi="he-IL"/>
        </w:rPr>
        <w:t xml:space="preserve"> </w:t>
      </w:r>
      <w:r w:rsidR="00541704">
        <w:rPr>
          <w:lang w:bidi="he-IL"/>
        </w:rPr>
        <w:t>Being in</w:t>
      </w:r>
      <w:r w:rsidR="004D721B" w:rsidRPr="001F52A8">
        <w:rPr>
          <w:lang w:bidi="he-IL"/>
        </w:rPr>
        <w:t xml:space="preserve"> </w:t>
      </w:r>
      <w:r w:rsidR="00BF2062" w:rsidRPr="001F52A8">
        <w:rPr>
          <w:lang w:bidi="he-IL"/>
        </w:rPr>
        <w:t xml:space="preserve">leadership </w:t>
      </w:r>
      <w:r w:rsidR="004D721B" w:rsidRPr="001F52A8">
        <w:rPr>
          <w:lang w:bidi="he-IL"/>
        </w:rPr>
        <w:t>re</w:t>
      </w:r>
      <w:r w:rsidR="005C550E" w:rsidRPr="001F52A8">
        <w:rPr>
          <w:lang w:bidi="he-IL"/>
        </w:rPr>
        <w:t>works</w:t>
      </w:r>
      <w:r w:rsidR="004D721B" w:rsidRPr="001F52A8">
        <w:rPr>
          <w:lang w:bidi="he-IL"/>
        </w:rPr>
        <w:t xml:space="preserve"> </w:t>
      </w:r>
      <w:r w:rsidR="00541704">
        <w:rPr>
          <w:lang w:bidi="he-IL"/>
        </w:rPr>
        <w:t>assumptions</w:t>
      </w:r>
      <w:r w:rsidR="006D60C1" w:rsidRPr="001F52A8">
        <w:rPr>
          <w:lang w:bidi="he-IL"/>
        </w:rPr>
        <w:t xml:space="preserve">. </w:t>
      </w:r>
      <w:r w:rsidR="00541704">
        <w:rPr>
          <w:lang w:bidi="he-IL"/>
        </w:rPr>
        <w:t>H</w:t>
      </w:r>
      <w:r w:rsidR="006D60C1" w:rsidRPr="001F52A8">
        <w:rPr>
          <w:lang w:bidi="he-IL"/>
        </w:rPr>
        <w:t xml:space="preserve">aving several wives is a sign of </w:t>
      </w:r>
      <w:r w:rsidR="00541704">
        <w:rPr>
          <w:lang w:bidi="he-IL"/>
        </w:rPr>
        <w:t xml:space="preserve">a man’s </w:t>
      </w:r>
      <w:r w:rsidR="006D60C1" w:rsidRPr="001F52A8">
        <w:rPr>
          <w:lang w:bidi="he-IL"/>
        </w:rPr>
        <w:t xml:space="preserve">status and </w:t>
      </w:r>
      <w:r w:rsidR="007F4A0A" w:rsidRPr="001F52A8">
        <w:rPr>
          <w:lang w:bidi="he-IL"/>
        </w:rPr>
        <w:t>significance</w:t>
      </w:r>
      <w:r w:rsidR="005C550E" w:rsidRPr="001F52A8">
        <w:rPr>
          <w:lang w:bidi="he-IL"/>
        </w:rPr>
        <w:t>, a</w:t>
      </w:r>
      <w:r w:rsidR="007F4A0A" w:rsidRPr="001F52A8">
        <w:rPr>
          <w:lang w:bidi="he-IL"/>
        </w:rPr>
        <w:t>nd ma</w:t>
      </w:r>
      <w:r w:rsidR="00476E8D" w:rsidRPr="001F52A8">
        <w:rPr>
          <w:lang w:bidi="he-IL"/>
        </w:rPr>
        <w:t>rriage</w:t>
      </w:r>
      <w:r w:rsidR="00A15D6E" w:rsidRPr="001F52A8">
        <w:rPr>
          <w:lang w:bidi="he-IL"/>
        </w:rPr>
        <w:t>’s potential for</w:t>
      </w:r>
      <w:r w:rsidR="00476E8D" w:rsidRPr="001F52A8">
        <w:rPr>
          <w:lang w:bidi="he-IL"/>
        </w:rPr>
        <w:t xml:space="preserve"> sealing relationships </w:t>
      </w:r>
      <w:r w:rsidR="00541704">
        <w:rPr>
          <w:lang w:bidi="he-IL"/>
        </w:rPr>
        <w:t xml:space="preserve">also </w:t>
      </w:r>
      <w:r w:rsidR="00700449" w:rsidRPr="001F52A8">
        <w:rPr>
          <w:lang w:bidi="he-IL"/>
        </w:rPr>
        <w:t>becomes a paramount consideration</w:t>
      </w:r>
      <w:r w:rsidR="005D1679" w:rsidRPr="001F52A8">
        <w:rPr>
          <w:lang w:bidi="he-IL"/>
        </w:rPr>
        <w:t xml:space="preserve">, as Ish-bosheth’s suspicion of Abner’s relationship with </w:t>
      </w:r>
      <w:r w:rsidR="00541704">
        <w:rPr>
          <w:lang w:bidi="he-IL"/>
        </w:rPr>
        <w:t>Rizpah</w:t>
      </w:r>
      <w:r w:rsidR="005D1679" w:rsidRPr="001F52A8">
        <w:rPr>
          <w:lang w:bidi="he-IL"/>
        </w:rPr>
        <w:t xml:space="preserve"> implies (3:6-7). </w:t>
      </w:r>
      <w:r w:rsidR="004344FB" w:rsidRPr="001F52A8">
        <w:rPr>
          <w:lang w:bidi="he-IL"/>
        </w:rPr>
        <w:t>Ahinoam and Abigail</w:t>
      </w:r>
      <w:r w:rsidR="00541704">
        <w:rPr>
          <w:lang w:bidi="he-IL"/>
        </w:rPr>
        <w:t xml:space="preserve"> </w:t>
      </w:r>
      <w:r w:rsidR="004344FB" w:rsidRPr="001F52A8">
        <w:rPr>
          <w:lang w:bidi="he-IL"/>
        </w:rPr>
        <w:t xml:space="preserve">regularly </w:t>
      </w:r>
      <w:r w:rsidR="00541704">
        <w:rPr>
          <w:lang w:bidi="he-IL"/>
        </w:rPr>
        <w:t>appear</w:t>
      </w:r>
      <w:r w:rsidR="00D807EB" w:rsidRPr="001F52A8">
        <w:rPr>
          <w:lang w:bidi="he-IL"/>
        </w:rPr>
        <w:t xml:space="preserve"> as “the Jezreelite” and “</w:t>
      </w:r>
      <w:r w:rsidR="00B46A9A" w:rsidRPr="001F52A8">
        <w:rPr>
          <w:lang w:bidi="he-IL"/>
        </w:rPr>
        <w:t>the wife of Nabal the Carmelite</w:t>
      </w:r>
      <w:r w:rsidR="00940502" w:rsidRPr="001F52A8">
        <w:rPr>
          <w:lang w:bidi="he-IL"/>
        </w:rPr>
        <w:t>”; the</w:t>
      </w:r>
      <w:r w:rsidR="00945D98" w:rsidRPr="001F52A8">
        <w:rPr>
          <w:lang w:bidi="he-IL"/>
        </w:rPr>
        <w:t xml:space="preserve">ir origins would </w:t>
      </w:r>
      <w:r w:rsidR="00C03BC0" w:rsidRPr="001F52A8">
        <w:rPr>
          <w:lang w:bidi="he-IL"/>
        </w:rPr>
        <w:t>u</w:t>
      </w:r>
      <w:r w:rsidR="002E4371" w:rsidRPr="001F52A8">
        <w:rPr>
          <w:lang w:bidi="he-IL"/>
        </w:rPr>
        <w:t>ndergird</w:t>
      </w:r>
      <w:r w:rsidR="00945D98" w:rsidRPr="001F52A8">
        <w:rPr>
          <w:lang w:bidi="he-IL"/>
        </w:rPr>
        <w:t xml:space="preserve"> David’s </w:t>
      </w:r>
      <w:r w:rsidR="002E4371" w:rsidRPr="001F52A8">
        <w:rPr>
          <w:lang w:bidi="he-IL"/>
        </w:rPr>
        <w:t>identity</w:t>
      </w:r>
      <w:r w:rsidR="00025B60" w:rsidRPr="001F52A8">
        <w:rPr>
          <w:lang w:bidi="he-IL"/>
        </w:rPr>
        <w:t xml:space="preserve"> as a Judahite</w:t>
      </w:r>
      <w:r w:rsidR="00263AF2" w:rsidRPr="001F52A8">
        <w:rPr>
          <w:lang w:bidi="he-IL"/>
        </w:rPr>
        <w:t>,</w:t>
      </w:r>
      <w:r w:rsidR="002E4371" w:rsidRPr="001F52A8">
        <w:rPr>
          <w:lang w:bidi="he-IL"/>
        </w:rPr>
        <w:t xml:space="preserve"> encourage </w:t>
      </w:r>
      <w:r w:rsidR="00C03BC0" w:rsidRPr="001F52A8">
        <w:rPr>
          <w:lang w:bidi="he-IL"/>
        </w:rPr>
        <w:t xml:space="preserve">his </w:t>
      </w:r>
      <w:r w:rsidR="00945D98" w:rsidRPr="001F52A8">
        <w:rPr>
          <w:lang w:bidi="he-IL"/>
        </w:rPr>
        <w:t xml:space="preserve">relationship with </w:t>
      </w:r>
      <w:r w:rsidR="00C932BD" w:rsidRPr="001F52A8">
        <w:rPr>
          <w:lang w:bidi="he-IL"/>
        </w:rPr>
        <w:t xml:space="preserve">Judahite </w:t>
      </w:r>
      <w:r w:rsidR="00C03BC0" w:rsidRPr="001F52A8">
        <w:rPr>
          <w:lang w:bidi="he-IL"/>
        </w:rPr>
        <w:t xml:space="preserve">clans </w:t>
      </w:r>
      <w:r w:rsidR="005C550E" w:rsidRPr="001F52A8">
        <w:rPr>
          <w:lang w:bidi="he-IL"/>
        </w:rPr>
        <w:t>furth</w:t>
      </w:r>
      <w:r w:rsidR="00025B60" w:rsidRPr="001F52A8">
        <w:rPr>
          <w:lang w:bidi="he-IL"/>
        </w:rPr>
        <w:t>e</w:t>
      </w:r>
      <w:r w:rsidR="00C03BC0" w:rsidRPr="001F52A8">
        <w:rPr>
          <w:lang w:bidi="he-IL"/>
        </w:rPr>
        <w:t xml:space="preserve">r south </w:t>
      </w:r>
      <w:r w:rsidR="005C550E" w:rsidRPr="001F52A8">
        <w:rPr>
          <w:lang w:bidi="he-IL"/>
        </w:rPr>
        <w:t>than</w:t>
      </w:r>
      <w:r w:rsidR="00C03BC0" w:rsidRPr="001F52A8">
        <w:rPr>
          <w:lang w:bidi="he-IL"/>
        </w:rPr>
        <w:t xml:space="preserve"> Bethlehem</w:t>
      </w:r>
      <w:r w:rsidR="00263AF2" w:rsidRPr="001F52A8">
        <w:rPr>
          <w:lang w:bidi="he-IL"/>
        </w:rPr>
        <w:t>, and stand him in good stead as he moves to Hebron.</w:t>
      </w:r>
      <w:r w:rsidR="006242A6" w:rsidRPr="001F52A8">
        <w:rPr>
          <w:lang w:bidi="he-IL"/>
        </w:rPr>
        <w:t xml:space="preserve"> </w:t>
      </w:r>
      <w:r w:rsidR="005D1679" w:rsidRPr="001F52A8">
        <w:rPr>
          <w:lang w:bidi="he-IL"/>
        </w:rPr>
        <w:t>Likewise,</w:t>
      </w:r>
      <w:r w:rsidR="006242A6" w:rsidRPr="001F52A8">
        <w:rPr>
          <w:lang w:bidi="he-IL"/>
        </w:rPr>
        <w:t xml:space="preserve"> wife number three</w:t>
      </w:r>
      <w:r w:rsidR="005D1679" w:rsidRPr="001F52A8">
        <w:rPr>
          <w:lang w:bidi="he-IL"/>
        </w:rPr>
        <w:t>’</w:t>
      </w:r>
      <w:r w:rsidR="006242A6" w:rsidRPr="001F52A8">
        <w:rPr>
          <w:lang w:bidi="he-IL"/>
        </w:rPr>
        <w:t xml:space="preserve">s </w:t>
      </w:r>
      <w:r w:rsidR="005D1679" w:rsidRPr="001F52A8">
        <w:rPr>
          <w:lang w:bidi="he-IL"/>
        </w:rPr>
        <w:t xml:space="preserve">being </w:t>
      </w:r>
      <w:r w:rsidR="00341ECD" w:rsidRPr="001F52A8">
        <w:rPr>
          <w:lang w:bidi="he-IL"/>
        </w:rPr>
        <w:t>the daughter of King Talmay of Geshur</w:t>
      </w:r>
      <w:r w:rsidR="005A5FE3" w:rsidRPr="001F52A8">
        <w:rPr>
          <w:lang w:bidi="he-IL"/>
        </w:rPr>
        <w:t xml:space="preserve"> suggests a healing of the relationship implied by</w:t>
      </w:r>
      <w:r w:rsidR="00D55D53" w:rsidRPr="001F52A8">
        <w:rPr>
          <w:lang w:bidi="he-IL"/>
        </w:rPr>
        <w:t xml:space="preserve"> </w:t>
      </w:r>
      <w:r w:rsidR="00134EAE" w:rsidRPr="001F52A8">
        <w:rPr>
          <w:lang w:bidi="he-IL"/>
        </w:rPr>
        <w:t>1 Sam 27:8</w:t>
      </w:r>
      <w:r w:rsidR="00503FF0" w:rsidRPr="001F52A8">
        <w:rPr>
          <w:lang w:bidi="he-IL"/>
        </w:rPr>
        <w:t xml:space="preserve">. </w:t>
      </w:r>
      <w:r w:rsidR="001251C1" w:rsidRPr="001F52A8">
        <w:rPr>
          <w:lang w:bidi="he-IL"/>
        </w:rPr>
        <w:t xml:space="preserve">The narrative </w:t>
      </w:r>
      <w:r w:rsidR="00B704B7" w:rsidRPr="001F52A8">
        <w:rPr>
          <w:lang w:bidi="he-IL"/>
        </w:rPr>
        <w:t>tells us nothing about the background of David’s other three wives</w:t>
      </w:r>
      <w:r w:rsidR="000C1E08">
        <w:rPr>
          <w:lang w:bidi="he-IL"/>
        </w:rPr>
        <w:t>;</w:t>
      </w:r>
      <w:r w:rsidR="00584AC4" w:rsidRPr="001F52A8">
        <w:rPr>
          <w:lang w:bidi="he-IL"/>
        </w:rPr>
        <w:t xml:space="preserve"> maybe they were just a means of making David look impressive. It does tell us that</w:t>
      </w:r>
      <w:r w:rsidR="00E91A22" w:rsidRPr="001F52A8">
        <w:rPr>
          <w:lang w:bidi="he-IL"/>
        </w:rPr>
        <w:t xml:space="preserve"> between them the six wives gave birth to</w:t>
      </w:r>
      <w:r w:rsidR="000A229D" w:rsidRPr="001F52A8">
        <w:rPr>
          <w:lang w:bidi="he-IL"/>
        </w:rPr>
        <w:t xml:space="preserve"> six </w:t>
      </w:r>
      <w:r w:rsidR="008D78FB" w:rsidRPr="001F52A8">
        <w:rPr>
          <w:lang w:bidi="he-IL"/>
        </w:rPr>
        <w:t>sons</w:t>
      </w:r>
      <w:r w:rsidR="001D6E3C" w:rsidRPr="001F52A8">
        <w:rPr>
          <w:lang w:bidi="he-IL"/>
        </w:rPr>
        <w:t xml:space="preserve"> in Hebron</w:t>
      </w:r>
      <w:r w:rsidR="008D78FB" w:rsidRPr="001F52A8">
        <w:rPr>
          <w:lang w:bidi="he-IL"/>
        </w:rPr>
        <w:t xml:space="preserve"> (3:</w:t>
      </w:r>
      <w:r w:rsidR="00255F8F" w:rsidRPr="001F52A8">
        <w:rPr>
          <w:lang w:bidi="he-IL"/>
        </w:rPr>
        <w:t>2-4)</w:t>
      </w:r>
      <w:r w:rsidR="001A65CC" w:rsidRPr="001F52A8">
        <w:rPr>
          <w:lang w:bidi="he-IL"/>
        </w:rPr>
        <w:t xml:space="preserve">. The notes about wives and children are marks of David’s flourishing and eminence, though </w:t>
      </w:r>
      <w:r w:rsidR="00710D6B" w:rsidRPr="001F52A8">
        <w:rPr>
          <w:lang w:bidi="he-IL"/>
        </w:rPr>
        <w:t>“</w:t>
      </w:r>
      <w:r w:rsidR="001A65CC" w:rsidRPr="001F52A8">
        <w:rPr>
          <w:lang w:bidi="he-IL"/>
        </w:rPr>
        <w:t>t</w:t>
      </w:r>
      <w:r w:rsidR="00710D6B" w:rsidRPr="001F52A8">
        <w:rPr>
          <w:lang w:bidi="he-IL"/>
        </w:rPr>
        <w:t xml:space="preserve">he list bristles with potential </w:t>
      </w:r>
      <w:r w:rsidR="003B7956" w:rsidRPr="001F52A8">
        <w:rPr>
          <w:lang w:bidi="he-IL"/>
        </w:rPr>
        <w:t>disasters</w:t>
      </w:r>
      <w:r w:rsidR="005D1679" w:rsidRPr="001F52A8">
        <w:rPr>
          <w:lang w:bidi="he-IL"/>
        </w:rPr>
        <w:t>,</w:t>
      </w:r>
      <w:r w:rsidR="003B7956" w:rsidRPr="001F52A8">
        <w:rPr>
          <w:lang w:bidi="he-IL"/>
        </w:rPr>
        <w:t>”</w:t>
      </w:r>
      <w:r w:rsidR="003B7956" w:rsidRPr="001F52A8">
        <w:rPr>
          <w:rStyle w:val="FootnoteReference"/>
          <w:lang w:bidi="he-IL"/>
        </w:rPr>
        <w:footnoteReference w:id="317"/>
      </w:r>
      <w:r w:rsidR="001D6E3C" w:rsidRPr="001F52A8">
        <w:rPr>
          <w:lang w:bidi="he-IL"/>
        </w:rPr>
        <w:t xml:space="preserve"> </w:t>
      </w:r>
      <w:r w:rsidR="005D1679" w:rsidRPr="001F52A8">
        <w:rPr>
          <w:lang w:bidi="he-IL"/>
        </w:rPr>
        <w:t>a</w:t>
      </w:r>
      <w:r w:rsidR="001D6E3C" w:rsidRPr="001F52A8">
        <w:rPr>
          <w:lang w:bidi="he-IL"/>
        </w:rPr>
        <w:t>s will emerge</w:t>
      </w:r>
      <w:r w:rsidR="004724D9" w:rsidRPr="001F52A8">
        <w:rPr>
          <w:lang w:bidi="he-IL"/>
        </w:rPr>
        <w:t xml:space="preserve">. </w:t>
      </w:r>
      <w:r w:rsidR="00F74EF6" w:rsidRPr="001F52A8">
        <w:rPr>
          <w:lang w:bidi="he-IL"/>
        </w:rPr>
        <w:t xml:space="preserve">In Jerusalem </w:t>
      </w:r>
      <w:r w:rsidR="005D1679" w:rsidRPr="001F52A8">
        <w:rPr>
          <w:lang w:bidi="he-IL"/>
        </w:rPr>
        <w:t>David</w:t>
      </w:r>
      <w:r w:rsidR="00F74EF6" w:rsidRPr="001F52A8">
        <w:rPr>
          <w:lang w:bidi="he-IL"/>
        </w:rPr>
        <w:t xml:space="preserve"> acquires more full wives and secondary wives</w:t>
      </w:r>
      <w:r w:rsidR="005D1679" w:rsidRPr="001F52A8">
        <w:rPr>
          <w:lang w:bidi="he-IL"/>
        </w:rPr>
        <w:t>,</w:t>
      </w:r>
      <w:r w:rsidR="00F74EF6" w:rsidRPr="001F52A8">
        <w:rPr>
          <w:lang w:bidi="he-IL"/>
        </w:rPr>
        <w:t xml:space="preserve"> and fathers eleven </w:t>
      </w:r>
      <w:r w:rsidR="00DD784A" w:rsidRPr="001F52A8">
        <w:rPr>
          <w:lang w:bidi="he-IL"/>
        </w:rPr>
        <w:t xml:space="preserve">more </w:t>
      </w:r>
      <w:r w:rsidR="00F74EF6" w:rsidRPr="001F52A8">
        <w:rPr>
          <w:lang w:bidi="he-IL"/>
        </w:rPr>
        <w:t xml:space="preserve">sons and some daughters (5:13-14). </w:t>
      </w:r>
      <w:r w:rsidR="001A65CC" w:rsidRPr="001F52A8">
        <w:rPr>
          <w:lang w:bidi="he-IL"/>
        </w:rPr>
        <w:t>“T</w:t>
      </w:r>
      <w:r w:rsidR="001A65CC" w:rsidRPr="001F52A8">
        <w:t>his listing of David's wives clashes with any</w:t>
      </w:r>
      <w:r w:rsidR="001A65CC" w:rsidRPr="001F52A8">
        <w:rPr>
          <w:lang w:bidi="he-IL"/>
        </w:rPr>
        <w:t xml:space="preserve"> </w:t>
      </w:r>
      <w:r w:rsidR="001A65CC" w:rsidRPr="001F52A8">
        <w:t>romantic stereotypes that may have accrued to David in our</w:t>
      </w:r>
      <w:r w:rsidR="001A65CC" w:rsidRPr="001F52A8">
        <w:rPr>
          <w:lang w:bidi="he-IL"/>
        </w:rPr>
        <w:t xml:space="preserve"> </w:t>
      </w:r>
      <w:r w:rsidR="001A65CC" w:rsidRPr="001F52A8">
        <w:t>imaginations.”</w:t>
      </w:r>
      <w:r w:rsidR="001A65CC" w:rsidRPr="001F52A8">
        <w:rPr>
          <w:rStyle w:val="FootnoteReference"/>
        </w:rPr>
        <w:footnoteReference w:id="318"/>
      </w:r>
      <w:r w:rsidR="001A65CC" w:rsidRPr="001F52A8">
        <w:rPr>
          <w:lang w:bidi="he-IL"/>
        </w:rPr>
        <w:t xml:space="preserve"> </w:t>
      </w:r>
      <w:r w:rsidR="004724D9" w:rsidRPr="001F52A8">
        <w:rPr>
          <w:lang w:bidi="he-IL"/>
        </w:rPr>
        <w:t>While the F</w:t>
      </w:r>
      <w:r w:rsidR="00675CE4" w:rsidRPr="001F52A8">
        <w:rPr>
          <w:lang w:bidi="he-IL"/>
        </w:rPr>
        <w:t xml:space="preserve">irst Testament does not express </w:t>
      </w:r>
      <w:r w:rsidR="001A65CC" w:rsidRPr="001F52A8">
        <w:rPr>
          <w:lang w:bidi="he-IL"/>
        </w:rPr>
        <w:t xml:space="preserve">general </w:t>
      </w:r>
      <w:r w:rsidR="00675CE4" w:rsidRPr="001F52A8">
        <w:rPr>
          <w:lang w:bidi="he-IL"/>
        </w:rPr>
        <w:t>disapproval of polygamy</w:t>
      </w:r>
      <w:r w:rsidR="00D843AD" w:rsidRPr="001F52A8">
        <w:rPr>
          <w:lang w:bidi="he-IL"/>
        </w:rPr>
        <w:t xml:space="preserve"> but accepts it</w:t>
      </w:r>
      <w:r w:rsidR="00675CE4" w:rsidRPr="001F52A8">
        <w:rPr>
          <w:lang w:bidi="he-IL"/>
        </w:rPr>
        <w:t xml:space="preserve"> </w:t>
      </w:r>
      <w:r w:rsidR="008D0D89" w:rsidRPr="001F52A8">
        <w:rPr>
          <w:lang w:bidi="he-IL"/>
        </w:rPr>
        <w:t xml:space="preserve">as an aspect of the way things are, like divorce </w:t>
      </w:r>
      <w:r w:rsidR="00131360" w:rsidRPr="001F52A8">
        <w:rPr>
          <w:lang w:bidi="he-IL"/>
        </w:rPr>
        <w:t xml:space="preserve">and multiple marriages </w:t>
      </w:r>
      <w:r w:rsidR="008D0D89" w:rsidRPr="001F52A8">
        <w:rPr>
          <w:lang w:bidi="he-IL"/>
        </w:rPr>
        <w:t>in W</w:t>
      </w:r>
      <w:r w:rsidR="00131360" w:rsidRPr="001F52A8">
        <w:rPr>
          <w:lang w:bidi="he-IL"/>
        </w:rPr>
        <w:t xml:space="preserve">estern societies, </w:t>
      </w:r>
      <w:r w:rsidR="00D843AD" w:rsidRPr="001F52A8">
        <w:rPr>
          <w:lang w:bidi="he-IL"/>
        </w:rPr>
        <w:t>it regularly note</w:t>
      </w:r>
      <w:r w:rsidR="001A65CC" w:rsidRPr="001F52A8">
        <w:rPr>
          <w:lang w:bidi="he-IL"/>
        </w:rPr>
        <w:t>s</w:t>
      </w:r>
      <w:r w:rsidR="00D843AD" w:rsidRPr="001F52A8">
        <w:rPr>
          <w:lang w:bidi="he-IL"/>
        </w:rPr>
        <w:t xml:space="preserve"> the trouble in which it issues.</w:t>
      </w:r>
      <w:r w:rsidR="00AC37C1" w:rsidRPr="001F52A8">
        <w:rPr>
          <w:lang w:bidi="he-IL"/>
        </w:rPr>
        <w:t xml:space="preserve"> </w:t>
      </w:r>
      <w:r w:rsidR="00C82757" w:rsidRPr="001F52A8">
        <w:rPr>
          <w:lang w:bidi="he-IL"/>
        </w:rPr>
        <w:t>Deut</w:t>
      </w:r>
      <w:r w:rsidR="000C1E08">
        <w:rPr>
          <w:lang w:bidi="he-IL"/>
        </w:rPr>
        <w:t>eronomy</w:t>
      </w:r>
      <w:r w:rsidR="00C82757" w:rsidRPr="001F52A8">
        <w:rPr>
          <w:lang w:bidi="he-IL"/>
        </w:rPr>
        <w:t xml:space="preserve"> 17:17</w:t>
      </w:r>
      <w:r w:rsidR="001A65CC" w:rsidRPr="001F52A8">
        <w:rPr>
          <w:lang w:bidi="he-IL"/>
        </w:rPr>
        <w:t xml:space="preserve"> does specifically prohibit kings from multiplying wives</w:t>
      </w:r>
      <w:r w:rsidR="00541704">
        <w:rPr>
          <w:lang w:bidi="he-IL"/>
        </w:rPr>
        <w:t>.</w:t>
      </w:r>
      <w:r w:rsidR="001A65CC" w:rsidRPr="001F52A8">
        <w:rPr>
          <w:lang w:bidi="he-IL"/>
        </w:rPr>
        <w:t xml:space="preserve"> </w:t>
      </w:r>
      <w:r w:rsidR="00541704">
        <w:rPr>
          <w:lang w:bidi="he-IL"/>
        </w:rPr>
        <w:t>A</w:t>
      </w:r>
      <w:r w:rsidR="001A65CC" w:rsidRPr="001F52A8">
        <w:rPr>
          <w:lang w:bidi="he-IL"/>
        </w:rPr>
        <w:t xml:space="preserve"> king could argue that the context there suggests multiplying foreign wives who served other gods</w:t>
      </w:r>
      <w:r w:rsidR="00541704">
        <w:rPr>
          <w:lang w:bidi="he-IL"/>
        </w:rPr>
        <w:t>; but</w:t>
      </w:r>
      <w:r w:rsidR="008503D0" w:rsidRPr="001F52A8">
        <w:rPr>
          <w:lang w:bidi="he-IL"/>
        </w:rPr>
        <w:t xml:space="preserve"> would David’s Jerusalem </w:t>
      </w:r>
      <w:r w:rsidR="00883771" w:rsidRPr="001F52A8">
        <w:rPr>
          <w:lang w:bidi="he-IL"/>
        </w:rPr>
        <w:t>wives be Jebusites?</w:t>
      </w:r>
    </w:p>
    <w:p w14:paraId="0D6F73A1" w14:textId="63CCD693" w:rsidR="001A65CC" w:rsidRPr="00201FA8" w:rsidRDefault="001A65CC" w:rsidP="00201FA8">
      <w:pPr>
        <w:rPr>
          <w:lang w:bidi="he-IL"/>
        </w:rPr>
      </w:pPr>
      <w:r w:rsidRPr="00201FA8">
        <w:rPr>
          <w:rFonts w:ascii="Calibri" w:hAnsi="Calibri" w:cs="Calibri"/>
          <w:lang w:bidi="he-IL"/>
        </w:rPr>
        <w:t>Then there is Michal.</w:t>
      </w:r>
      <w:r w:rsidR="00201FA8" w:rsidRPr="00201FA8">
        <w:rPr>
          <w:rFonts w:ascii="Calibri" w:hAnsi="Calibri" w:cs="Calibri"/>
          <w:lang w:bidi="he-IL"/>
        </w:rPr>
        <w:t xml:space="preserve"> </w:t>
      </w:r>
      <w:r w:rsidR="00201FA8">
        <w:rPr>
          <w:rFonts w:ascii="Calibri" w:hAnsi="Calibri" w:cs="Calibri"/>
          <w:lang w:bidi="he-IL"/>
        </w:rPr>
        <w:t>“</w:t>
      </w:r>
      <w:r w:rsidR="00201FA8" w:rsidRPr="00201FA8">
        <w:rPr>
          <w:rFonts w:ascii="Calibri" w:eastAsia="Times-Roman" w:hAnsi="Calibri" w:cs="Calibri"/>
        </w:rPr>
        <w:t>Instead of receiving validation from her loved one, Michal has, it</w:t>
      </w:r>
      <w:r w:rsidR="00201FA8">
        <w:rPr>
          <w:lang w:bidi="he-IL"/>
        </w:rPr>
        <w:t xml:space="preserve"> </w:t>
      </w:r>
      <w:r w:rsidR="00201FA8" w:rsidRPr="00201FA8">
        <w:rPr>
          <w:rFonts w:ascii="Calibri" w:eastAsia="Times-Roman" w:hAnsi="Calibri" w:cs="Calibri"/>
        </w:rPr>
        <w:t>seems, married a man much like her father.</w:t>
      </w:r>
      <w:r w:rsidR="00201FA8">
        <w:rPr>
          <w:rFonts w:ascii="Calibri" w:eastAsia="Times-Roman" w:hAnsi="Calibri" w:cs="Calibri"/>
        </w:rPr>
        <w:t>”</w:t>
      </w:r>
      <w:r w:rsidR="00201FA8">
        <w:rPr>
          <w:rStyle w:val="FootnoteReference"/>
          <w:rFonts w:ascii="Calibri" w:eastAsia="Times-Roman" w:hAnsi="Calibri" w:cs="Calibri"/>
        </w:rPr>
        <w:footnoteReference w:id="319"/>
      </w:r>
    </w:p>
    <w:p w14:paraId="051B3786" w14:textId="77777777" w:rsidR="000F49FC" w:rsidRPr="001F52A8" w:rsidRDefault="000F49FC" w:rsidP="000F49FC">
      <w:pPr>
        <w:pStyle w:val="Quote"/>
      </w:pPr>
    </w:p>
    <w:p w14:paraId="728DAAAD" w14:textId="0383B92A" w:rsidR="00990C22" w:rsidRPr="001F52A8" w:rsidRDefault="00CC2AB5" w:rsidP="000F49FC">
      <w:pPr>
        <w:pStyle w:val="Quote"/>
      </w:pPr>
      <w:r w:rsidRPr="001F52A8">
        <w:t>David expresses no affection for Michal</w:t>
      </w:r>
      <w:r w:rsidR="00B60100" w:rsidRPr="001F52A8">
        <w:t xml:space="preserve"> (actually he expresses no affection for any of his wives)</w:t>
      </w:r>
      <w:r w:rsidR="00464827" w:rsidRPr="001F52A8">
        <w:t>.</w:t>
      </w:r>
      <w:r w:rsidRPr="001F52A8">
        <w:t xml:space="preserve"> She is the wife that he acquired “at a price,”</w:t>
      </w:r>
      <w:r w:rsidR="00464827" w:rsidRPr="001F52A8">
        <w:t xml:space="preserve"> . . .</w:t>
      </w:r>
      <w:r w:rsidRPr="001F52A8">
        <w:t xml:space="preserve"> and she is rightfully his as part of a deal that Saul breached. Later when David will transfer the ark</w:t>
      </w:r>
      <w:r w:rsidR="00464827" w:rsidRPr="001F52A8">
        <w:t xml:space="preserve"> </w:t>
      </w:r>
      <w:r w:rsidRPr="001F52A8">
        <w:t>of the Lord to Jerusalem, Michal, “daughter of Saul,” will spy her husband dancing (2 Sam 6:16) and</w:t>
      </w:r>
      <w:r w:rsidR="00990C22" w:rsidRPr="001F52A8">
        <w:t xml:space="preserve"> </w:t>
      </w:r>
      <w:r w:rsidRPr="001F52A8">
        <w:t>despise him (by then her affections for him have diminished). She probably realizes that her restitution to</w:t>
      </w:r>
      <w:r w:rsidR="00990C22" w:rsidRPr="001F52A8">
        <w:t xml:space="preserve"> </w:t>
      </w:r>
      <w:r w:rsidRPr="001F52A8">
        <w:t>David in this scene expresses the new king’s political eclipse of Saul, her father, which the transfer of the</w:t>
      </w:r>
      <w:r w:rsidR="00990C22" w:rsidRPr="001F52A8">
        <w:t xml:space="preserve"> </w:t>
      </w:r>
      <w:r w:rsidRPr="001F52A8">
        <w:t>ark of the Lord to David’s city later solidifies. Her return to court also strengthens David’s legitimacy as</w:t>
      </w:r>
      <w:r w:rsidR="00990C22" w:rsidRPr="001F52A8">
        <w:t xml:space="preserve"> </w:t>
      </w:r>
      <w:r w:rsidRPr="001F52A8">
        <w:t xml:space="preserve">Saul’s successor. Thus, we should </w:t>
      </w:r>
      <w:r w:rsidRPr="001F52A8">
        <w:lastRenderedPageBreak/>
        <w:t>not expect the narrator to present on stage the tender reunion of husband</w:t>
      </w:r>
      <w:r w:rsidR="00990C22" w:rsidRPr="001F52A8">
        <w:t xml:space="preserve"> </w:t>
      </w:r>
      <w:r w:rsidRPr="001F52A8">
        <w:t>and wife after years of separation. David’s demand for Michal’s swift return was driven not by his</w:t>
      </w:r>
      <w:r w:rsidR="00990C22" w:rsidRPr="001F52A8">
        <w:t xml:space="preserve"> </w:t>
      </w:r>
      <w:r w:rsidRPr="001F52A8">
        <w:t>affection for her but by his desire to signal to his court that he has supplanted her father’s house.</w:t>
      </w:r>
      <w:r w:rsidR="000F49FC" w:rsidRPr="001F52A8">
        <w:rPr>
          <w:rStyle w:val="FootnoteReference"/>
        </w:rPr>
        <w:footnoteReference w:id="320"/>
      </w:r>
    </w:p>
    <w:p w14:paraId="75AA9274" w14:textId="77777777" w:rsidR="000F49FC" w:rsidRPr="001F52A8" w:rsidRDefault="000F49FC" w:rsidP="000F49FC">
      <w:pPr>
        <w:rPr>
          <w:lang w:bidi="he-IL"/>
        </w:rPr>
      </w:pPr>
    </w:p>
    <w:p w14:paraId="18F544D9" w14:textId="2A64CFAB" w:rsidR="00483968" w:rsidRPr="001F52A8" w:rsidRDefault="00590BB3" w:rsidP="00990C22">
      <w:pPr>
        <w:rPr>
          <w:lang w:bidi="he-IL"/>
        </w:rPr>
      </w:pPr>
      <w:r w:rsidRPr="001F52A8">
        <w:rPr>
          <w:lang w:bidi="he-IL"/>
        </w:rPr>
        <w:t>Michal had loved David (</w:t>
      </w:r>
      <w:r w:rsidR="004A7180" w:rsidRPr="001F52A8">
        <w:rPr>
          <w:lang w:bidi="he-IL"/>
        </w:rPr>
        <w:t>1 Sam 18:20)</w:t>
      </w:r>
      <w:r w:rsidR="00076929" w:rsidRPr="001F52A8">
        <w:rPr>
          <w:lang w:bidi="he-IL"/>
        </w:rPr>
        <w:t>, and</w:t>
      </w:r>
      <w:r w:rsidR="006D7E4C" w:rsidRPr="001F52A8">
        <w:rPr>
          <w:lang w:bidi="he-IL"/>
        </w:rPr>
        <w:t xml:space="preserve"> </w:t>
      </w:r>
      <w:r w:rsidR="00B707B6" w:rsidRPr="001F52A8">
        <w:rPr>
          <w:lang w:bidi="he-IL"/>
        </w:rPr>
        <w:t>as with Saul and Jonathan</w:t>
      </w:r>
      <w:r w:rsidR="006D7E4C" w:rsidRPr="001F52A8">
        <w:rPr>
          <w:lang w:bidi="he-IL"/>
        </w:rPr>
        <w:t xml:space="preserve"> </w:t>
      </w:r>
      <w:r w:rsidR="00076929" w:rsidRPr="001F52A8">
        <w:rPr>
          <w:lang w:bidi="he-IL"/>
        </w:rPr>
        <w:t>it might be overly cy</w:t>
      </w:r>
      <w:r w:rsidR="00E8089E" w:rsidRPr="001F52A8">
        <w:rPr>
          <w:lang w:bidi="he-IL"/>
        </w:rPr>
        <w:t xml:space="preserve">nical to </w:t>
      </w:r>
      <w:r w:rsidR="00B707B6" w:rsidRPr="001F52A8">
        <w:rPr>
          <w:lang w:bidi="he-IL"/>
        </w:rPr>
        <w:t xml:space="preserve">take this love </w:t>
      </w:r>
      <w:r w:rsidR="00E8089E" w:rsidRPr="001F52A8">
        <w:rPr>
          <w:lang w:bidi="he-IL"/>
        </w:rPr>
        <w:t>as simply</w:t>
      </w:r>
      <w:r w:rsidR="00281706" w:rsidRPr="001F52A8">
        <w:rPr>
          <w:lang w:bidi="he-IL"/>
        </w:rPr>
        <w:t xml:space="preserve"> </w:t>
      </w:r>
      <w:r w:rsidR="00B707B6" w:rsidRPr="001F52A8">
        <w:rPr>
          <w:lang w:bidi="he-IL"/>
        </w:rPr>
        <w:t>the</w:t>
      </w:r>
      <w:r w:rsidR="00E8089E" w:rsidRPr="001F52A8">
        <w:rPr>
          <w:lang w:bidi="he-IL"/>
        </w:rPr>
        <w:t xml:space="preserve"> </w:t>
      </w:r>
      <w:r w:rsidR="00C019F3" w:rsidRPr="001F52A8">
        <w:rPr>
          <w:lang w:bidi="he-IL"/>
        </w:rPr>
        <w:t xml:space="preserve">hard-headed, </w:t>
      </w:r>
      <w:r w:rsidR="006D7E4C" w:rsidRPr="001F52A8">
        <w:rPr>
          <w:lang w:bidi="he-IL"/>
        </w:rPr>
        <w:t xml:space="preserve">practical kind </w:t>
      </w:r>
      <w:r w:rsidR="00B707B6" w:rsidRPr="001F52A8">
        <w:rPr>
          <w:lang w:bidi="he-IL"/>
        </w:rPr>
        <w:t xml:space="preserve">of </w:t>
      </w:r>
      <w:r w:rsidR="00281706" w:rsidRPr="001F52A8">
        <w:rPr>
          <w:lang w:bidi="he-IL"/>
        </w:rPr>
        <w:t>allegiance</w:t>
      </w:r>
      <w:r w:rsidR="00062E04" w:rsidRPr="001F52A8">
        <w:rPr>
          <w:lang w:bidi="he-IL"/>
        </w:rPr>
        <w:t xml:space="preserve">. </w:t>
      </w:r>
      <w:r w:rsidR="00065638" w:rsidRPr="001F52A8">
        <w:rPr>
          <w:lang w:bidi="he-IL"/>
        </w:rPr>
        <w:t>But i</w:t>
      </w:r>
      <w:r w:rsidR="00A60AD5" w:rsidRPr="001F52A8">
        <w:rPr>
          <w:lang w:bidi="he-IL"/>
        </w:rPr>
        <w:t xml:space="preserve">t looks as if </w:t>
      </w:r>
      <w:r w:rsidR="00344453" w:rsidRPr="001F52A8">
        <w:rPr>
          <w:lang w:bidi="he-IL"/>
        </w:rPr>
        <w:t xml:space="preserve">David left her behind when </w:t>
      </w:r>
      <w:r w:rsidR="007728A2" w:rsidRPr="001F52A8">
        <w:rPr>
          <w:lang w:bidi="he-IL"/>
        </w:rPr>
        <w:t xml:space="preserve">she facilitated his flight </w:t>
      </w:r>
      <w:r w:rsidR="00344453" w:rsidRPr="001F52A8">
        <w:rPr>
          <w:lang w:bidi="he-IL"/>
        </w:rPr>
        <w:t xml:space="preserve">from </w:t>
      </w:r>
      <w:r w:rsidR="00BB4B1E" w:rsidRPr="001F52A8">
        <w:rPr>
          <w:lang w:bidi="he-IL"/>
        </w:rPr>
        <w:t xml:space="preserve">Gibeah, </w:t>
      </w:r>
      <w:r w:rsidR="00630A22" w:rsidRPr="001F52A8">
        <w:rPr>
          <w:lang w:bidi="he-IL"/>
        </w:rPr>
        <w:t xml:space="preserve">which led to </w:t>
      </w:r>
      <w:r w:rsidR="006A5644" w:rsidRPr="001F52A8">
        <w:rPr>
          <w:lang w:bidi="he-IL"/>
        </w:rPr>
        <w:t>Saul’s</w:t>
      </w:r>
      <w:r w:rsidR="00780EB8" w:rsidRPr="001F52A8">
        <w:rPr>
          <w:lang w:bidi="he-IL"/>
        </w:rPr>
        <w:t xml:space="preserve"> passing her on to </w:t>
      </w:r>
      <w:r w:rsidR="000B6F12" w:rsidRPr="001F52A8">
        <w:rPr>
          <w:lang w:bidi="he-IL"/>
        </w:rPr>
        <w:t>Paltiel/</w:t>
      </w:r>
      <w:r w:rsidR="00780EB8" w:rsidRPr="001F52A8">
        <w:rPr>
          <w:lang w:bidi="he-IL"/>
        </w:rPr>
        <w:t>Palti</w:t>
      </w:r>
      <w:r w:rsidR="00652E1C" w:rsidRPr="001F52A8">
        <w:rPr>
          <w:lang w:bidi="he-IL"/>
        </w:rPr>
        <w:t xml:space="preserve"> </w:t>
      </w:r>
      <w:r w:rsidR="00A875FD" w:rsidRPr="001F52A8">
        <w:rPr>
          <w:lang w:bidi="he-IL"/>
        </w:rPr>
        <w:t>ben Laish (</w:t>
      </w:r>
      <w:r w:rsidR="007728A2" w:rsidRPr="001F52A8">
        <w:rPr>
          <w:lang w:bidi="he-IL"/>
        </w:rPr>
        <w:t>19:</w:t>
      </w:r>
      <w:r w:rsidR="000A0356" w:rsidRPr="001F52A8">
        <w:rPr>
          <w:lang w:bidi="he-IL"/>
        </w:rPr>
        <w:t xml:space="preserve">11-18; </w:t>
      </w:r>
      <w:r w:rsidR="00A875FD" w:rsidRPr="001F52A8">
        <w:rPr>
          <w:lang w:bidi="he-IL"/>
        </w:rPr>
        <w:t>25:44)</w:t>
      </w:r>
      <w:r w:rsidR="002E48D9">
        <w:rPr>
          <w:lang w:bidi="he-IL"/>
        </w:rPr>
        <w:t xml:space="preserve">; claiming her </w:t>
      </w:r>
      <w:r w:rsidR="00E2598B" w:rsidRPr="001F52A8">
        <w:rPr>
          <w:lang w:bidi="he-IL"/>
        </w:rPr>
        <w:t>back (</w:t>
      </w:r>
      <w:r w:rsidR="00AF236C" w:rsidRPr="001F52A8">
        <w:rPr>
          <w:lang w:bidi="he-IL"/>
        </w:rPr>
        <w:t xml:space="preserve">2 Sam </w:t>
      </w:r>
      <w:r w:rsidR="00E2598B" w:rsidRPr="001F52A8">
        <w:rPr>
          <w:lang w:bidi="he-IL"/>
        </w:rPr>
        <w:t>3:12-16)</w:t>
      </w:r>
      <w:r w:rsidR="005677D2" w:rsidRPr="001F52A8">
        <w:rPr>
          <w:lang w:bidi="he-IL"/>
        </w:rPr>
        <w:t xml:space="preserve"> might be quite legal </w:t>
      </w:r>
      <w:r w:rsidR="0054734B" w:rsidRPr="001F52A8">
        <w:rPr>
          <w:lang w:bidi="he-IL"/>
        </w:rPr>
        <w:t>and in keeping with the Torah.</w:t>
      </w:r>
      <w:r w:rsidR="0054734B" w:rsidRPr="001F52A8">
        <w:rPr>
          <w:rStyle w:val="FootnoteReference"/>
          <w:lang w:bidi="he-IL"/>
        </w:rPr>
        <w:footnoteReference w:id="321"/>
      </w:r>
      <w:r w:rsidR="0054734B" w:rsidRPr="001F52A8">
        <w:rPr>
          <w:lang w:bidi="he-IL"/>
        </w:rPr>
        <w:t xml:space="preserve"> </w:t>
      </w:r>
      <w:r w:rsidR="002E48D9">
        <w:rPr>
          <w:rFonts w:ascii="Calibri" w:hAnsi="Calibri" w:cs="Calibri"/>
          <w:color w:val="222222"/>
        </w:rPr>
        <w:t>T</w:t>
      </w:r>
      <w:r w:rsidR="00580E45" w:rsidRPr="001F52A8">
        <w:rPr>
          <w:lang w:bidi="he-IL"/>
        </w:rPr>
        <w:t xml:space="preserve">he political consideration overrides </w:t>
      </w:r>
      <w:r w:rsidR="003E59EA" w:rsidRPr="001F52A8">
        <w:rPr>
          <w:lang w:bidi="he-IL"/>
        </w:rPr>
        <w:t>Paltiel</w:t>
      </w:r>
      <w:r w:rsidR="002E48D9">
        <w:rPr>
          <w:lang w:bidi="he-IL"/>
        </w:rPr>
        <w:t>’s</w:t>
      </w:r>
      <w:r w:rsidR="003E59EA" w:rsidRPr="001F52A8">
        <w:rPr>
          <w:lang w:bidi="he-IL"/>
        </w:rPr>
        <w:t xml:space="preserve"> tears</w:t>
      </w:r>
      <w:r w:rsidR="002E48D9">
        <w:rPr>
          <w:lang w:bidi="he-IL"/>
        </w:rPr>
        <w:t>, too</w:t>
      </w:r>
      <w:r w:rsidR="00F1287F" w:rsidRPr="001F52A8">
        <w:rPr>
          <w:lang w:bidi="he-IL"/>
        </w:rPr>
        <w:t>.</w:t>
      </w:r>
      <w:r w:rsidR="002F536A" w:rsidRPr="001F52A8">
        <w:rPr>
          <w:rStyle w:val="FootnoteReference"/>
          <w:rFonts w:cstheme="minorHAnsi"/>
        </w:rPr>
        <w:footnoteReference w:id="322"/>
      </w:r>
      <w:r w:rsidR="00311F3D" w:rsidRPr="001F52A8">
        <w:rPr>
          <w:lang w:bidi="he-IL"/>
        </w:rPr>
        <w:t xml:space="preserve"> </w:t>
      </w:r>
      <w:r w:rsidR="005007F7" w:rsidRPr="001F52A8">
        <w:rPr>
          <w:lang w:bidi="he-IL"/>
        </w:rPr>
        <w:t xml:space="preserve">The juxtaposition of </w:t>
      </w:r>
      <w:r w:rsidR="00EE62F3" w:rsidRPr="001F52A8">
        <w:rPr>
          <w:lang w:bidi="he-IL"/>
        </w:rPr>
        <w:t>Rizpah</w:t>
      </w:r>
      <w:r w:rsidR="005007F7" w:rsidRPr="001F52A8">
        <w:rPr>
          <w:lang w:bidi="he-IL"/>
        </w:rPr>
        <w:t xml:space="preserve"> and Michal (3:6-16) draws attention to the</w:t>
      </w:r>
      <w:r w:rsidR="002E48D9">
        <w:rPr>
          <w:lang w:bidi="he-IL"/>
        </w:rPr>
        <w:t>ir</w:t>
      </w:r>
      <w:r w:rsidR="00EE62F3" w:rsidRPr="001F52A8">
        <w:rPr>
          <w:lang w:bidi="he-IL"/>
        </w:rPr>
        <w:t xml:space="preserve"> </w:t>
      </w:r>
      <w:r w:rsidR="009C1071" w:rsidRPr="001F52A8">
        <w:rPr>
          <w:lang w:bidi="he-IL"/>
        </w:rPr>
        <w:t>shar</w:t>
      </w:r>
      <w:r w:rsidR="002E48D9">
        <w:rPr>
          <w:lang w:bidi="he-IL"/>
        </w:rPr>
        <w:t>ing</w:t>
      </w:r>
      <w:r w:rsidR="009C1071" w:rsidRPr="001F52A8">
        <w:rPr>
          <w:lang w:bidi="he-IL"/>
        </w:rPr>
        <w:t xml:space="preserve"> the fate of </w:t>
      </w:r>
      <w:r w:rsidR="005007F7" w:rsidRPr="001F52A8">
        <w:rPr>
          <w:lang w:bidi="he-IL"/>
        </w:rPr>
        <w:t>being “politically charged symbols.”</w:t>
      </w:r>
      <w:r w:rsidR="005007F7" w:rsidRPr="001F52A8">
        <w:rPr>
          <w:rStyle w:val="FootnoteReference"/>
          <w:lang w:bidi="he-IL"/>
        </w:rPr>
        <w:footnoteReference w:id="323"/>
      </w:r>
      <w:r w:rsidR="005007F7" w:rsidRPr="001F52A8">
        <w:rPr>
          <w:lang w:bidi="he-IL"/>
        </w:rPr>
        <w:t xml:space="preserve"> </w:t>
      </w:r>
    </w:p>
    <w:p w14:paraId="1489D901" w14:textId="797B3684" w:rsidR="000F6F89" w:rsidRPr="001F52A8" w:rsidRDefault="002E48D9" w:rsidP="00204252">
      <w:pPr>
        <w:rPr>
          <w:lang w:bidi="he-IL"/>
        </w:rPr>
      </w:pPr>
      <w:r>
        <w:rPr>
          <w:lang w:bidi="he-IL"/>
        </w:rPr>
        <w:t>While t</w:t>
      </w:r>
      <w:r w:rsidR="006A6061">
        <w:rPr>
          <w:lang w:bidi="he-IL"/>
        </w:rPr>
        <w:t>he</w:t>
      </w:r>
      <w:r w:rsidR="00FF5E19" w:rsidRPr="001F52A8">
        <w:rPr>
          <w:lang w:bidi="he-IL"/>
        </w:rPr>
        <w:t xml:space="preserve"> narrative does not tell us </w:t>
      </w:r>
      <w:r w:rsidR="00541704">
        <w:rPr>
          <w:lang w:bidi="he-IL"/>
        </w:rPr>
        <w:t>Michal’s</w:t>
      </w:r>
      <w:r w:rsidR="00FF5E19" w:rsidRPr="001F52A8">
        <w:rPr>
          <w:lang w:bidi="he-IL"/>
        </w:rPr>
        <w:t xml:space="preserve"> reaction to </w:t>
      </w:r>
      <w:r w:rsidR="00E02736" w:rsidRPr="001F52A8">
        <w:rPr>
          <w:lang w:bidi="he-IL"/>
        </w:rPr>
        <w:t xml:space="preserve">this sequence of events, her closing scene in the narrative </w:t>
      </w:r>
      <w:r w:rsidR="004C1DE5" w:rsidRPr="001F52A8">
        <w:rPr>
          <w:lang w:bidi="he-IL"/>
        </w:rPr>
        <w:t xml:space="preserve">hints at it (6:16-23). </w:t>
      </w:r>
      <w:r w:rsidR="009A6C9A" w:rsidRPr="001F52A8">
        <w:rPr>
          <w:lang w:bidi="he-IL"/>
        </w:rPr>
        <w:t>“</w:t>
      </w:r>
      <w:r w:rsidR="00A62BCB" w:rsidRPr="001F52A8">
        <w:rPr>
          <w:rFonts w:cstheme="minorHAnsi"/>
        </w:rPr>
        <w:t>A</w:t>
      </w:r>
      <w:r w:rsidR="009A6C9A" w:rsidRPr="001F52A8">
        <w:rPr>
          <w:rFonts w:cstheme="minorHAnsi"/>
        </w:rPr>
        <w:t>t the beginning of their story a loving Michal helped</w:t>
      </w:r>
      <w:r w:rsidR="009A6C9A" w:rsidRPr="001F52A8">
        <w:rPr>
          <w:lang w:bidi="he-IL"/>
        </w:rPr>
        <w:t xml:space="preserve"> </w:t>
      </w:r>
      <w:r w:rsidR="009A6C9A" w:rsidRPr="001F52A8">
        <w:rPr>
          <w:rFonts w:cstheme="minorHAnsi"/>
        </w:rPr>
        <w:t xml:space="preserve">David escape </w:t>
      </w:r>
      <w:r w:rsidR="00A62BCB" w:rsidRPr="001F52A8">
        <w:rPr>
          <w:rFonts w:cstheme="minorHAnsi"/>
        </w:rPr>
        <w:t>‘</w:t>
      </w:r>
      <w:r w:rsidR="009A6C9A" w:rsidRPr="001F52A8">
        <w:rPr>
          <w:rFonts w:cstheme="minorHAnsi"/>
        </w:rPr>
        <w:t>through the window</w:t>
      </w:r>
      <w:r w:rsidR="00A62BCB" w:rsidRPr="001F52A8">
        <w:rPr>
          <w:rFonts w:cstheme="minorHAnsi"/>
        </w:rPr>
        <w:t>’</w:t>
      </w:r>
      <w:r w:rsidR="009A6C9A" w:rsidRPr="001F52A8">
        <w:rPr>
          <w:rFonts w:cstheme="minorHAnsi"/>
        </w:rPr>
        <w:t xml:space="preserve"> from her father's henchmen while now she</w:t>
      </w:r>
      <w:r w:rsidR="009A6C9A" w:rsidRPr="001F52A8">
        <w:rPr>
          <w:lang w:bidi="he-IL"/>
        </w:rPr>
        <w:t xml:space="preserve"> </w:t>
      </w:r>
      <w:r w:rsidR="009A6C9A" w:rsidRPr="001F52A8">
        <w:rPr>
          <w:rFonts w:cstheme="minorHAnsi"/>
        </w:rPr>
        <w:t xml:space="preserve">looks at him from a distance </w:t>
      </w:r>
      <w:r w:rsidR="00A62BCB" w:rsidRPr="001F52A8">
        <w:rPr>
          <w:rFonts w:cstheme="minorHAnsi"/>
        </w:rPr>
        <w:t>‘</w:t>
      </w:r>
      <w:r w:rsidR="009A6C9A" w:rsidRPr="001F52A8">
        <w:rPr>
          <w:rFonts w:cstheme="minorHAnsi"/>
        </w:rPr>
        <w:t>through the window,</w:t>
      </w:r>
      <w:r w:rsidR="00A62BCB" w:rsidRPr="001F52A8">
        <w:rPr>
          <w:rFonts w:cstheme="minorHAnsi"/>
        </w:rPr>
        <w:t>’</w:t>
      </w:r>
      <w:r w:rsidR="009A6C9A" w:rsidRPr="001F52A8">
        <w:rPr>
          <w:rFonts w:cstheme="minorHAnsi"/>
        </w:rPr>
        <w:t xml:space="preserve"> in seething contempt</w:t>
      </w:r>
      <w:r w:rsidR="004C1DE5" w:rsidRPr="001F52A8">
        <w:rPr>
          <w:rFonts w:cstheme="minorHAnsi"/>
        </w:rPr>
        <w:t>.</w:t>
      </w:r>
      <w:r w:rsidR="00A62BCB" w:rsidRPr="001F52A8">
        <w:rPr>
          <w:rFonts w:cstheme="minorHAnsi"/>
        </w:rPr>
        <w:t>”</w:t>
      </w:r>
      <w:r w:rsidR="00A62BCB" w:rsidRPr="001F52A8">
        <w:rPr>
          <w:rStyle w:val="FootnoteReference"/>
          <w:rFonts w:cstheme="minorHAnsi"/>
        </w:rPr>
        <w:footnoteReference w:id="324"/>
      </w:r>
      <w:r w:rsidR="00311F3D" w:rsidRPr="001F52A8">
        <w:rPr>
          <w:rFonts w:cstheme="minorHAnsi"/>
        </w:rPr>
        <w:t xml:space="preserve"> </w:t>
      </w:r>
      <w:r w:rsidR="009204A2" w:rsidRPr="001F52A8">
        <w:rPr>
          <w:rFonts w:cstheme="minorHAnsi"/>
        </w:rPr>
        <w:t>“</w:t>
      </w:r>
      <w:r w:rsidR="006A6061">
        <w:rPr>
          <w:rFonts w:cstheme="minorHAnsi"/>
        </w:rPr>
        <w:t>T</w:t>
      </w:r>
      <w:r w:rsidR="009204A2" w:rsidRPr="001F52A8">
        <w:rPr>
          <w:rFonts w:cstheme="minorHAnsi"/>
        </w:rPr>
        <w:t xml:space="preserve">hrough the window” conveys a further irony: it is the position of a woman </w:t>
      </w:r>
      <w:r w:rsidR="00CB5769" w:rsidRPr="001F52A8">
        <w:rPr>
          <w:rFonts w:cstheme="minorHAnsi"/>
        </w:rPr>
        <w:t>looking for the man she is preparing to welcome (</w:t>
      </w:r>
      <w:r w:rsidR="00C20F90" w:rsidRPr="001F52A8">
        <w:rPr>
          <w:rFonts w:cstheme="minorHAnsi"/>
        </w:rPr>
        <w:t xml:space="preserve">Judg 5:28; </w:t>
      </w:r>
      <w:r w:rsidR="00F05DA7" w:rsidRPr="001F52A8">
        <w:rPr>
          <w:rFonts w:cstheme="minorHAnsi"/>
        </w:rPr>
        <w:t xml:space="preserve">cf. </w:t>
      </w:r>
      <w:r w:rsidR="00C20F90" w:rsidRPr="001F52A8">
        <w:rPr>
          <w:rFonts w:cstheme="minorHAnsi"/>
        </w:rPr>
        <w:t xml:space="preserve">Cant </w:t>
      </w:r>
      <w:r w:rsidR="00F05DA7" w:rsidRPr="001F52A8">
        <w:rPr>
          <w:rFonts w:cstheme="minorHAnsi"/>
        </w:rPr>
        <w:t>2:9).</w:t>
      </w:r>
      <w:r w:rsidR="000B6F12" w:rsidRPr="001F52A8">
        <w:rPr>
          <w:rFonts w:cstheme="minorHAnsi"/>
        </w:rPr>
        <w:t xml:space="preserve"> </w:t>
      </w:r>
      <w:r w:rsidR="006A6061">
        <w:rPr>
          <w:rFonts w:cstheme="minorHAnsi"/>
        </w:rPr>
        <w:t>Whereas</w:t>
      </w:r>
      <w:r w:rsidR="000B6F12" w:rsidRPr="001F52A8">
        <w:rPr>
          <w:rFonts w:cstheme="minorHAnsi"/>
        </w:rPr>
        <w:t xml:space="preserve"> Ahimelech could describe David as honorable</w:t>
      </w:r>
      <w:r w:rsidR="00541704">
        <w:rPr>
          <w:rFonts w:cstheme="minorHAnsi"/>
        </w:rPr>
        <w:t>,</w:t>
      </w:r>
      <w:r w:rsidR="000B6F12" w:rsidRPr="001F52A8">
        <w:rPr>
          <w:rFonts w:cstheme="minorHAnsi"/>
        </w:rPr>
        <w:t xml:space="preserve"> sp</w:t>
      </w:r>
      <w:r w:rsidR="006A6061">
        <w:rPr>
          <w:rFonts w:cstheme="minorHAnsi"/>
        </w:rPr>
        <w:t>eaking</w:t>
      </w:r>
      <w:r w:rsidR="000B6F12" w:rsidRPr="001F52A8">
        <w:rPr>
          <w:rFonts w:cstheme="minorHAnsi"/>
        </w:rPr>
        <w:t xml:space="preserve"> to Michal’s father (1 Sam 22:14)</w:t>
      </w:r>
      <w:r w:rsidR="006A6061">
        <w:rPr>
          <w:rFonts w:cstheme="minorHAnsi"/>
        </w:rPr>
        <w:t>,</w:t>
      </w:r>
      <w:r w:rsidR="000B6F12" w:rsidRPr="001F52A8">
        <w:rPr>
          <w:rStyle w:val="FootnoteReference"/>
          <w:lang w:bidi="he-IL"/>
        </w:rPr>
        <w:footnoteReference w:id="325"/>
      </w:r>
      <w:r w:rsidR="000B6F12" w:rsidRPr="001F52A8">
        <w:rPr>
          <w:lang w:bidi="he-IL"/>
        </w:rPr>
        <w:t xml:space="preserve"> </w:t>
      </w:r>
      <w:r w:rsidR="006A6061">
        <w:rPr>
          <w:rFonts w:cstheme="minorHAnsi"/>
        </w:rPr>
        <w:t>o</w:t>
      </w:r>
      <w:r w:rsidR="000B6F12" w:rsidRPr="001F52A8">
        <w:rPr>
          <w:rFonts w:cstheme="minorHAnsi"/>
        </w:rPr>
        <w:t xml:space="preserve">nly sarcastically could </w:t>
      </w:r>
      <w:r w:rsidR="00541704">
        <w:rPr>
          <w:rFonts w:cstheme="minorHAnsi"/>
        </w:rPr>
        <w:t>Michal</w:t>
      </w:r>
      <w:r w:rsidR="000B6F12" w:rsidRPr="001F52A8">
        <w:rPr>
          <w:rFonts w:cstheme="minorHAnsi"/>
        </w:rPr>
        <w:t xml:space="preserve"> now describe David </w:t>
      </w:r>
      <w:r w:rsidR="000F6F89" w:rsidRPr="001F52A8">
        <w:rPr>
          <w:rFonts w:cstheme="minorHAnsi"/>
        </w:rPr>
        <w:t xml:space="preserve">as </w:t>
      </w:r>
      <w:r w:rsidR="000B6F12" w:rsidRPr="001F52A8">
        <w:rPr>
          <w:rFonts w:cstheme="minorHAnsi"/>
        </w:rPr>
        <w:t xml:space="preserve">showing himself </w:t>
      </w:r>
      <w:r w:rsidR="000F6F89" w:rsidRPr="001F52A8">
        <w:rPr>
          <w:rFonts w:cstheme="minorHAnsi"/>
        </w:rPr>
        <w:t>honorable (</w:t>
      </w:r>
      <w:r w:rsidR="000B6F12" w:rsidRPr="001F52A8">
        <w:rPr>
          <w:rFonts w:cstheme="minorHAnsi"/>
        </w:rPr>
        <w:t xml:space="preserve">2 Sam </w:t>
      </w:r>
      <w:r w:rsidR="000F6F89" w:rsidRPr="001F52A8">
        <w:rPr>
          <w:rFonts w:cstheme="minorHAnsi"/>
        </w:rPr>
        <w:t>6:20)</w:t>
      </w:r>
      <w:r w:rsidR="000B6F12" w:rsidRPr="001F52A8">
        <w:rPr>
          <w:rFonts w:cstheme="minorHAnsi"/>
        </w:rPr>
        <w:t>. As she sees it, his honor has gone, as happened to Israel when the chest that is now returning first departed</w:t>
      </w:r>
      <w:r w:rsidR="000F6F89" w:rsidRPr="001F52A8">
        <w:rPr>
          <w:rFonts w:cstheme="minorHAnsi"/>
        </w:rPr>
        <w:t xml:space="preserve"> (1 Sam 4:21, 22)</w:t>
      </w:r>
      <w:r w:rsidR="00541704">
        <w:rPr>
          <w:rFonts w:cstheme="minorHAnsi"/>
        </w:rPr>
        <w:t>.</w:t>
      </w:r>
      <w:r w:rsidR="00B623F6">
        <w:rPr>
          <w:rStyle w:val="FootnoteReference"/>
          <w:rFonts w:cstheme="minorHAnsi"/>
        </w:rPr>
        <w:footnoteReference w:id="326"/>
      </w:r>
      <w:r w:rsidR="000B6F12" w:rsidRPr="001F52A8">
        <w:rPr>
          <w:rFonts w:cstheme="minorHAnsi"/>
        </w:rPr>
        <w:t xml:space="preserve"> </w:t>
      </w:r>
      <w:r w:rsidR="00204252" w:rsidRPr="001F52A8">
        <w:rPr>
          <w:lang w:bidi="he-IL"/>
        </w:rPr>
        <w:t>“</w:t>
      </w:r>
      <w:r w:rsidR="00204252" w:rsidRPr="001F52A8">
        <w:rPr>
          <w:rFonts w:cstheme="minorHAnsi"/>
        </w:rPr>
        <w:t>This is the only time that the two exchange words, a</w:t>
      </w:r>
      <w:r w:rsidR="00204252" w:rsidRPr="001F52A8">
        <w:rPr>
          <w:lang w:bidi="he-IL"/>
        </w:rPr>
        <w:t xml:space="preserve"> </w:t>
      </w:r>
      <w:r w:rsidR="00204252" w:rsidRPr="001F52A8">
        <w:rPr>
          <w:rFonts w:cstheme="minorHAnsi"/>
        </w:rPr>
        <w:t>meager harvest for a union that began, at least on Michal’s side, with love.”</w:t>
      </w:r>
      <w:r w:rsidR="00204252" w:rsidRPr="001F52A8">
        <w:rPr>
          <w:rStyle w:val="FootnoteReference"/>
          <w:rFonts w:cstheme="minorHAnsi"/>
        </w:rPr>
        <w:footnoteReference w:id="327"/>
      </w:r>
    </w:p>
    <w:p w14:paraId="65CAD744" w14:textId="7CCEA1F3" w:rsidR="00EB7A24" w:rsidRDefault="00311F3D" w:rsidP="00F83FE2">
      <w:pPr>
        <w:rPr>
          <w:rFonts w:cstheme="minorHAnsi"/>
        </w:rPr>
      </w:pPr>
      <w:r w:rsidRPr="001F52A8">
        <w:rPr>
          <w:rFonts w:cstheme="minorHAnsi"/>
        </w:rPr>
        <w:t>Her story closes with the laconic</w:t>
      </w:r>
      <w:r w:rsidR="003F79CC" w:rsidRPr="001F52A8">
        <w:rPr>
          <w:rFonts w:cstheme="minorHAnsi"/>
        </w:rPr>
        <w:t xml:space="preserve"> footnote, “Michal</w:t>
      </w:r>
      <w:r w:rsidR="006E675A" w:rsidRPr="001F52A8">
        <w:rPr>
          <w:rFonts w:cstheme="minorHAnsi"/>
        </w:rPr>
        <w:t xml:space="preserve"> </w:t>
      </w:r>
      <w:r w:rsidR="00541704">
        <w:rPr>
          <w:rFonts w:cstheme="minorHAnsi"/>
        </w:rPr>
        <w:t>the daughter of</w:t>
      </w:r>
      <w:r w:rsidR="006E675A" w:rsidRPr="001F52A8">
        <w:rPr>
          <w:rFonts w:cstheme="minorHAnsi"/>
        </w:rPr>
        <w:t xml:space="preserve"> Saul</w:t>
      </w:r>
      <w:r w:rsidR="00774F56" w:rsidRPr="001F52A8">
        <w:rPr>
          <w:rFonts w:cstheme="minorHAnsi"/>
        </w:rPr>
        <w:t xml:space="preserve"> had no child until the </w:t>
      </w:r>
      <w:r w:rsidR="009C6A58" w:rsidRPr="001F52A8">
        <w:rPr>
          <w:rFonts w:cstheme="minorHAnsi"/>
        </w:rPr>
        <w:t>day of her death</w:t>
      </w:r>
      <w:r w:rsidR="00B32849" w:rsidRPr="001F52A8">
        <w:rPr>
          <w:rFonts w:cstheme="minorHAnsi"/>
        </w:rPr>
        <w:t xml:space="preserve">” (6:23). </w:t>
      </w:r>
      <w:r w:rsidR="009A73D3" w:rsidRPr="001F52A8">
        <w:rPr>
          <w:rFonts w:cstheme="minorHAnsi"/>
        </w:rPr>
        <w:t xml:space="preserve">Because Yahweh closed her womb? </w:t>
      </w:r>
      <w:r w:rsidR="00541704">
        <w:rPr>
          <w:rFonts w:cstheme="minorHAnsi"/>
        </w:rPr>
        <w:t>T</w:t>
      </w:r>
      <w:r w:rsidR="005C3B38" w:rsidRPr="001F52A8">
        <w:rPr>
          <w:rFonts w:cstheme="minorHAnsi"/>
        </w:rPr>
        <w:t xml:space="preserve">he story doesn’t say so, as it did with Hannah. </w:t>
      </w:r>
      <w:r w:rsidR="009A73D3" w:rsidRPr="001F52A8">
        <w:rPr>
          <w:rFonts w:cstheme="minorHAnsi"/>
        </w:rPr>
        <w:t xml:space="preserve">Because David never came near her? Because </w:t>
      </w:r>
      <w:r w:rsidR="001D1D7D" w:rsidRPr="001F52A8">
        <w:rPr>
          <w:rFonts w:cstheme="minorHAnsi"/>
        </w:rPr>
        <w:t>she didn</w:t>
      </w:r>
      <w:r w:rsidR="00541704">
        <w:rPr>
          <w:rFonts w:cstheme="minorHAnsi"/>
        </w:rPr>
        <w:t>’</w:t>
      </w:r>
      <w:r w:rsidR="001D1D7D" w:rsidRPr="001F52A8">
        <w:rPr>
          <w:rFonts w:cstheme="minorHAnsi"/>
        </w:rPr>
        <w:t xml:space="preserve">t wish to go near David? </w:t>
      </w:r>
      <w:r w:rsidR="006A62D8" w:rsidRPr="001F52A8">
        <w:rPr>
          <w:rFonts w:cstheme="minorHAnsi"/>
        </w:rPr>
        <w:t>One way or another, her story ends with sadness</w:t>
      </w:r>
      <w:r w:rsidR="00DF7915" w:rsidRPr="001F52A8">
        <w:rPr>
          <w:rFonts w:cstheme="minorHAnsi"/>
        </w:rPr>
        <w:t xml:space="preserve"> and expresses the price a woman pays for being born into the r</w:t>
      </w:r>
      <w:r w:rsidR="002C46CF" w:rsidRPr="001F52A8">
        <w:rPr>
          <w:rFonts w:cstheme="minorHAnsi"/>
        </w:rPr>
        <w:t>o</w:t>
      </w:r>
      <w:r w:rsidR="00DF7915" w:rsidRPr="001F52A8">
        <w:rPr>
          <w:rFonts w:cstheme="minorHAnsi"/>
        </w:rPr>
        <w:t>yal family.</w:t>
      </w:r>
      <w:r w:rsidR="00640D06" w:rsidRPr="001F52A8">
        <w:rPr>
          <w:rFonts w:cstheme="minorHAnsi"/>
        </w:rPr>
        <w:t xml:space="preserve"> </w:t>
      </w:r>
      <w:r w:rsidR="000509E8">
        <w:rPr>
          <w:rFonts w:cstheme="minorHAnsi"/>
        </w:rPr>
        <w:t>“</w:t>
      </w:r>
      <w:r w:rsidR="000509E8" w:rsidRPr="00F83FE2">
        <w:rPr>
          <w:rFonts w:ascii="Calibri" w:hAnsi="Calibri" w:cs="Calibri"/>
        </w:rPr>
        <w:t>The animosity</w:t>
      </w:r>
      <w:r w:rsidR="000509E8">
        <w:rPr>
          <w:rFonts w:cstheme="minorHAnsi"/>
        </w:rPr>
        <w:t xml:space="preserve"> </w:t>
      </w:r>
      <w:r w:rsidR="000509E8" w:rsidRPr="00F83FE2">
        <w:rPr>
          <w:rFonts w:ascii="Calibri" w:hAnsi="Calibri" w:cs="Calibri"/>
        </w:rPr>
        <w:t>between the house of David and the house of Saul is played out in</w:t>
      </w:r>
      <w:r w:rsidR="000509E8">
        <w:rPr>
          <w:rFonts w:cstheme="minorHAnsi"/>
        </w:rPr>
        <w:t xml:space="preserve"> </w:t>
      </w:r>
      <w:r w:rsidR="000509E8" w:rsidRPr="00F83FE2">
        <w:rPr>
          <w:rFonts w:ascii="Calibri" w:hAnsi="Calibri" w:cs="Calibri"/>
        </w:rPr>
        <w:t>2 Samuel 6 as a marital conflict</w:t>
      </w:r>
      <w:r w:rsidR="000509E8">
        <w:rPr>
          <w:rFonts w:ascii="Times New Roman" w:hAnsi="Times New Roman" w:cs="Times New Roman"/>
        </w:rPr>
        <w:t>.”</w:t>
      </w:r>
      <w:r w:rsidR="000509E8">
        <w:rPr>
          <w:rStyle w:val="FootnoteReference"/>
          <w:rFonts w:ascii="Times New Roman" w:hAnsi="Times New Roman" w:cs="Times New Roman"/>
        </w:rPr>
        <w:footnoteReference w:id="328"/>
      </w:r>
      <w:r w:rsidR="000509E8">
        <w:rPr>
          <w:rFonts w:ascii="Times New Roman" w:hAnsi="Times New Roman" w:cs="Times New Roman"/>
        </w:rPr>
        <w:t xml:space="preserve"> </w:t>
      </w:r>
      <w:r w:rsidR="00AC7B6E" w:rsidRPr="001F52A8">
        <w:rPr>
          <w:rFonts w:cstheme="minorHAnsi"/>
        </w:rPr>
        <w:t>“Michal’s union with David had promised the possibility of keeping the Saulide line alive, but her failure to produce children removed the last brick supporting the house of Saul.”</w:t>
      </w:r>
      <w:r w:rsidR="00F06DB8" w:rsidRPr="001F52A8">
        <w:rPr>
          <w:rStyle w:val="FootnoteReference"/>
          <w:rFonts w:cstheme="minorHAnsi"/>
        </w:rPr>
        <w:footnoteReference w:id="329"/>
      </w:r>
      <w:r w:rsidR="00AC7B6E" w:rsidRPr="001F52A8">
        <w:rPr>
          <w:rFonts w:cstheme="minorHAnsi"/>
        </w:rPr>
        <w:t xml:space="preserve"> </w:t>
      </w:r>
    </w:p>
    <w:p w14:paraId="79FAC965" w14:textId="77DDCDB1" w:rsidR="00EB671A" w:rsidRPr="001F52A8" w:rsidRDefault="002E59BD" w:rsidP="000B0A0F">
      <w:pPr>
        <w:pStyle w:val="Heading2"/>
        <w:rPr>
          <w:lang w:bidi="he-IL"/>
        </w:rPr>
      </w:pPr>
      <w:r w:rsidRPr="001F52A8">
        <w:rPr>
          <w:lang w:bidi="he-IL"/>
        </w:rPr>
        <w:lastRenderedPageBreak/>
        <w:t>Capital</w:t>
      </w:r>
      <w:r w:rsidR="001C67A9" w:rsidRPr="001F52A8">
        <w:rPr>
          <w:lang w:bidi="he-IL"/>
        </w:rPr>
        <w:t>: Jerusalem, David’s City</w:t>
      </w:r>
    </w:p>
    <w:p w14:paraId="73AC9358" w14:textId="51140C6F" w:rsidR="00FD1ACA" w:rsidRPr="001F52A8" w:rsidRDefault="00631734" w:rsidP="00FD1ACA">
      <w:pPr>
        <w:rPr>
          <w:lang w:bidi="he-IL"/>
        </w:rPr>
      </w:pPr>
      <w:r w:rsidRPr="001F52A8">
        <w:rPr>
          <w:rFonts w:cstheme="minorHAnsi"/>
        </w:rPr>
        <w:t xml:space="preserve">Jerusalem is significant both as a city and as a capital. </w:t>
      </w:r>
      <w:r w:rsidR="006A6061">
        <w:rPr>
          <w:rFonts w:cstheme="minorHAnsi"/>
        </w:rPr>
        <w:t>In the Scriptures, t</w:t>
      </w:r>
      <w:r w:rsidRPr="001F52A8">
        <w:rPr>
          <w:rFonts w:cstheme="minorHAnsi"/>
        </w:rPr>
        <w:t xml:space="preserve">he city comes into existence in Genesis 4, in among the first murder, the first instance of polygamy, the development of cattle raising, and the invention of musical instruments and tools, which hints at the </w:t>
      </w:r>
      <w:r w:rsidR="006A6061">
        <w:rPr>
          <w:rFonts w:cstheme="minorHAnsi"/>
        </w:rPr>
        <w:t xml:space="preserve">city’s </w:t>
      </w:r>
      <w:r w:rsidRPr="001F52A8">
        <w:rPr>
          <w:rFonts w:cstheme="minorHAnsi"/>
        </w:rPr>
        <w:t xml:space="preserve">ambiguity. The context of Cain’s fear suggests an aspect of its significance. </w:t>
      </w:r>
      <w:r w:rsidR="006A6061">
        <w:rPr>
          <w:rFonts w:cstheme="minorHAnsi"/>
        </w:rPr>
        <w:t>It</w:t>
      </w:r>
      <w:r w:rsidRPr="001F52A8">
        <w:rPr>
          <w:rFonts w:cstheme="minorHAnsi"/>
        </w:rPr>
        <w:t xml:space="preserve"> is potentially a place of security, at least in relation to outsiders, though modern city life may seem a place of insecurity, in relation to insiders. </w:t>
      </w:r>
      <w:r w:rsidR="006A6061">
        <w:rPr>
          <w:rFonts w:cstheme="minorHAnsi"/>
        </w:rPr>
        <w:t>Roughly, t</w:t>
      </w:r>
      <w:r w:rsidRPr="001F52A8">
        <w:rPr>
          <w:rFonts w:cstheme="minorHAnsi"/>
        </w:rPr>
        <w:t>he difference between a city (</w:t>
      </w:r>
      <w:r w:rsidRPr="001F52A8">
        <w:rPr>
          <w:rFonts w:cstheme="minorHAnsi"/>
          <w:i/>
          <w:iCs/>
        </w:rPr>
        <w:t>‘îr</w:t>
      </w:r>
      <w:r w:rsidRPr="001F52A8">
        <w:rPr>
          <w:rFonts w:cstheme="minorHAnsi"/>
        </w:rPr>
        <w:t>) and a village (</w:t>
      </w:r>
      <w:r w:rsidRPr="001F52A8">
        <w:rPr>
          <w:rFonts w:cstheme="minorHAnsi"/>
          <w:i/>
          <w:iCs/>
        </w:rPr>
        <w:t>pərāzâ</w:t>
      </w:r>
      <w:r w:rsidRPr="001F52A8">
        <w:rPr>
          <w:rFonts w:cstheme="minorHAnsi"/>
        </w:rPr>
        <w:t>) is that a city has walls (cf. 1 Sam 6:18)</w:t>
      </w:r>
      <w:r w:rsidR="00A63B27">
        <w:rPr>
          <w:rFonts w:cstheme="minorHAnsi"/>
        </w:rPr>
        <w:t>, which</w:t>
      </w:r>
      <w:r w:rsidRPr="001F52A8">
        <w:rPr>
          <w:rFonts w:cstheme="minorHAnsi"/>
        </w:rPr>
        <w:t xml:space="preserve"> offer protection and the possibility of refuge for people in villages and homesteads in a time of invasion. In peaceful times, the city can live symbiotically with the villages and homesteads around it. Specialists in tool-making, pottery, and jewelry can focus on th</w:t>
      </w:r>
      <w:r w:rsidR="00A63B27">
        <w:rPr>
          <w:rFonts w:cstheme="minorHAnsi"/>
        </w:rPr>
        <w:t>eir</w:t>
      </w:r>
      <w:r w:rsidRPr="001F52A8">
        <w:rPr>
          <w:rFonts w:cstheme="minorHAnsi"/>
        </w:rPr>
        <w:t xml:space="preserve"> work in the city, and farmers and shepherds who are in surplus can bring their surplus to the city and exchange it for these specialists’ wares. At least, it would be a neat theory. Among the Canaanites and the Philistines, the land comprised a collection of city-states, of which Jerusalem/the Jebusites was an example, so that there is no distinction between a city and a capital. But when the Israelites as a collection of clans become a nation organized as a state</w:t>
      </w:r>
      <w:r w:rsidR="00A63B27">
        <w:rPr>
          <w:rFonts w:cstheme="minorHAnsi"/>
        </w:rPr>
        <w:t xml:space="preserve"> with a king</w:t>
      </w:r>
      <w:r w:rsidRPr="001F52A8">
        <w:rPr>
          <w:rFonts w:cstheme="minorHAnsi"/>
        </w:rPr>
        <w:t>,</w:t>
      </w:r>
      <w:r w:rsidR="00FD1ACA" w:rsidRPr="001F52A8">
        <w:rPr>
          <w:rFonts w:cstheme="minorHAnsi"/>
        </w:rPr>
        <w:t xml:space="preserve"> </w:t>
      </w:r>
      <w:r w:rsidR="001C2719">
        <w:rPr>
          <w:rFonts w:cstheme="minorHAnsi"/>
        </w:rPr>
        <w:t>city comes to a</w:t>
      </w:r>
      <w:r w:rsidR="00FD1ACA" w:rsidRPr="001F52A8">
        <w:rPr>
          <w:lang w:bidi="he-IL"/>
        </w:rPr>
        <w:t>ccompan</w:t>
      </w:r>
      <w:r w:rsidR="001C2719">
        <w:rPr>
          <w:lang w:bidi="he-IL"/>
        </w:rPr>
        <w:t>y throne, and</w:t>
      </w:r>
      <w:r w:rsidR="00FD1ACA" w:rsidRPr="001F52A8">
        <w:rPr>
          <w:lang w:bidi="he-IL"/>
        </w:rPr>
        <w:t xml:space="preserve"> consolidate it.</w:t>
      </w:r>
      <w:r w:rsidR="00FD1ACA" w:rsidRPr="001F52A8">
        <w:rPr>
          <w:rStyle w:val="FootnoteReference"/>
          <w:lang w:bidi="he-IL"/>
        </w:rPr>
        <w:footnoteReference w:id="330"/>
      </w:r>
    </w:p>
    <w:p w14:paraId="3296F407" w14:textId="69EBFC33" w:rsidR="004967BC" w:rsidRPr="001F52A8" w:rsidRDefault="00FD1ACA" w:rsidP="00FC1C5D">
      <w:pPr>
        <w:rPr>
          <w:lang w:bidi="he-IL"/>
        </w:rPr>
      </w:pPr>
      <w:r w:rsidRPr="001F52A8">
        <w:rPr>
          <w:lang w:bidi="he-IL"/>
        </w:rPr>
        <w:t xml:space="preserve">Jerusalem straddled the border of Judah and Benjamin. </w:t>
      </w:r>
      <w:r w:rsidR="00AB0489" w:rsidRPr="001F52A8">
        <w:rPr>
          <w:lang w:bidi="he-IL"/>
        </w:rPr>
        <w:t xml:space="preserve">Long ago, the Judahites </w:t>
      </w:r>
      <w:r w:rsidR="000509E8">
        <w:rPr>
          <w:lang w:bidi="he-IL"/>
        </w:rPr>
        <w:t>took</w:t>
      </w:r>
      <w:r w:rsidR="00AB0489" w:rsidRPr="001F52A8">
        <w:rPr>
          <w:lang w:bidi="he-IL"/>
        </w:rPr>
        <w:t xml:space="preserve"> Jerusalem (</w:t>
      </w:r>
      <w:r w:rsidR="00127833" w:rsidRPr="001F52A8">
        <w:rPr>
          <w:lang w:bidi="he-IL"/>
        </w:rPr>
        <w:t>Judg 1:8</w:t>
      </w:r>
      <w:r w:rsidR="00AB0489" w:rsidRPr="001F52A8">
        <w:rPr>
          <w:lang w:bidi="he-IL"/>
        </w:rPr>
        <w:t>)</w:t>
      </w:r>
      <w:r w:rsidR="00FC1C5D" w:rsidRPr="001F52A8">
        <w:rPr>
          <w:lang w:bidi="he-IL"/>
        </w:rPr>
        <w:t>, but evidently couldn’t hold onto it. “</w:t>
      </w:r>
      <w:r w:rsidR="00A63B27">
        <w:rPr>
          <w:lang w:bidi="he-IL"/>
        </w:rPr>
        <w:t>T</w:t>
      </w:r>
      <w:r w:rsidR="00FC1C5D" w:rsidRPr="001F52A8">
        <w:rPr>
          <w:lang w:bidi="he-IL"/>
        </w:rPr>
        <w:t>he Jebusites living in Jerusalem, the Judahites could not dispossess, and the Jebusites have lived with the Judahites in Jerusalem until today” (Josh 15:63)</w:t>
      </w:r>
      <w:r w:rsidR="000509E8">
        <w:rPr>
          <w:lang w:bidi="he-IL"/>
        </w:rPr>
        <w:t>. In</w:t>
      </w:r>
      <w:r w:rsidR="00FC1C5D" w:rsidRPr="001F52A8">
        <w:rPr>
          <w:lang w:bidi="he-IL"/>
        </w:rPr>
        <w:t xml:space="preserve"> yet another comment, </w:t>
      </w:r>
      <w:r w:rsidRPr="001F52A8">
        <w:rPr>
          <w:lang w:bidi="he-IL"/>
        </w:rPr>
        <w:t>“</w:t>
      </w:r>
      <w:r w:rsidR="00FC1C5D" w:rsidRPr="001F52A8">
        <w:rPr>
          <w:lang w:bidi="he-IL"/>
        </w:rPr>
        <w:t>t</w:t>
      </w:r>
      <w:r w:rsidRPr="001F52A8">
        <w:rPr>
          <w:lang w:bidi="he-IL"/>
        </w:rPr>
        <w:t>he Jebusites living in Jerusalem, the Benjaminites did not dispossess, and the Jebusites have lived with the Benjaminites in Jerusalem until today</w:t>
      </w:r>
      <w:r w:rsidR="00FC1C5D" w:rsidRPr="001F52A8">
        <w:rPr>
          <w:lang w:bidi="he-IL"/>
        </w:rPr>
        <w:t>” (Judg 1:21)</w:t>
      </w:r>
      <w:r w:rsidR="003E72C3" w:rsidRPr="001F52A8">
        <w:rPr>
          <w:lang w:bidi="he-IL"/>
        </w:rPr>
        <w:t xml:space="preserve">. We have heard nothing of </w:t>
      </w:r>
      <w:r w:rsidR="00FC1C5D" w:rsidRPr="001F52A8">
        <w:rPr>
          <w:lang w:bidi="he-IL"/>
        </w:rPr>
        <w:t>the city</w:t>
      </w:r>
      <w:r w:rsidR="003E72C3" w:rsidRPr="001F52A8">
        <w:rPr>
          <w:lang w:bidi="he-IL"/>
        </w:rPr>
        <w:t xml:space="preserve"> since Judg</w:t>
      </w:r>
      <w:r w:rsidR="002E30EC" w:rsidRPr="001F52A8">
        <w:rPr>
          <w:lang w:bidi="he-IL"/>
        </w:rPr>
        <w:t>es</w:t>
      </w:r>
      <w:r w:rsidR="00121599" w:rsidRPr="001F52A8">
        <w:rPr>
          <w:lang w:bidi="he-IL"/>
        </w:rPr>
        <w:t xml:space="preserve"> 19, when the Levite</w:t>
      </w:r>
      <w:r w:rsidR="003713F7" w:rsidRPr="001F52A8">
        <w:rPr>
          <w:lang w:bidi="he-IL"/>
        </w:rPr>
        <w:t xml:space="preserve"> with his wife and servant </w:t>
      </w:r>
      <w:r w:rsidR="00121599" w:rsidRPr="001F52A8">
        <w:rPr>
          <w:lang w:bidi="he-IL"/>
        </w:rPr>
        <w:t xml:space="preserve">thought </w:t>
      </w:r>
      <w:r w:rsidR="003713F7" w:rsidRPr="001F52A8">
        <w:rPr>
          <w:lang w:bidi="he-IL"/>
        </w:rPr>
        <w:t xml:space="preserve">with terrible irony that </w:t>
      </w:r>
      <w:r w:rsidR="00121599" w:rsidRPr="001F52A8">
        <w:rPr>
          <w:lang w:bidi="he-IL"/>
        </w:rPr>
        <w:t>it was a</w:t>
      </w:r>
      <w:r w:rsidR="003713F7" w:rsidRPr="001F52A8">
        <w:rPr>
          <w:lang w:bidi="he-IL"/>
        </w:rPr>
        <w:t xml:space="preserve"> less</w:t>
      </w:r>
      <w:r w:rsidR="00121599" w:rsidRPr="001F52A8">
        <w:rPr>
          <w:lang w:bidi="he-IL"/>
        </w:rPr>
        <w:t xml:space="preserve"> </w:t>
      </w:r>
      <w:r w:rsidR="002E30EC" w:rsidRPr="001F52A8">
        <w:rPr>
          <w:lang w:bidi="he-IL"/>
        </w:rPr>
        <w:t xml:space="preserve">safe </w:t>
      </w:r>
      <w:r w:rsidR="003713F7" w:rsidRPr="001F52A8">
        <w:rPr>
          <w:lang w:bidi="he-IL"/>
        </w:rPr>
        <w:t>place to stay than an</w:t>
      </w:r>
      <w:r w:rsidR="00CE10D3" w:rsidRPr="001F52A8">
        <w:rPr>
          <w:lang w:bidi="he-IL"/>
        </w:rPr>
        <w:t xml:space="preserve"> Israelite town. </w:t>
      </w:r>
      <w:r w:rsidR="009F2A49" w:rsidRPr="001F52A8">
        <w:rPr>
          <w:lang w:bidi="he-IL"/>
        </w:rPr>
        <w:t xml:space="preserve">The Israelites’ failure to </w:t>
      </w:r>
      <w:r w:rsidR="00FC1C5D" w:rsidRPr="001F52A8">
        <w:rPr>
          <w:lang w:bidi="he-IL"/>
        </w:rPr>
        <w:t xml:space="preserve">take possession of the city </w:t>
      </w:r>
      <w:r w:rsidR="00AE270E" w:rsidRPr="001F52A8">
        <w:rPr>
          <w:lang w:bidi="he-IL"/>
        </w:rPr>
        <w:t xml:space="preserve">presumably reflects the strength of its position, on a bluff of land </w:t>
      </w:r>
      <w:r w:rsidR="00D930CF" w:rsidRPr="001F52A8">
        <w:rPr>
          <w:lang w:bidi="he-IL"/>
        </w:rPr>
        <w:t>with steep slopes on three sides</w:t>
      </w:r>
      <w:r w:rsidR="0005005B" w:rsidRPr="001F52A8">
        <w:rPr>
          <w:lang w:bidi="he-IL"/>
        </w:rPr>
        <w:t xml:space="preserve">. </w:t>
      </w:r>
      <w:r w:rsidR="00451EC7" w:rsidRPr="001F52A8">
        <w:rPr>
          <w:lang w:bidi="he-IL"/>
        </w:rPr>
        <w:t>T</w:t>
      </w:r>
      <w:r w:rsidR="004428FE" w:rsidRPr="001F52A8">
        <w:rPr>
          <w:lang w:bidi="he-IL"/>
        </w:rPr>
        <w:t xml:space="preserve">hat strength </w:t>
      </w:r>
      <w:r w:rsidR="00FC1C5D" w:rsidRPr="001F52A8">
        <w:rPr>
          <w:lang w:bidi="he-IL"/>
        </w:rPr>
        <w:t>would</w:t>
      </w:r>
      <w:r w:rsidR="004428FE" w:rsidRPr="001F52A8">
        <w:rPr>
          <w:lang w:bidi="he-IL"/>
        </w:rPr>
        <w:t xml:space="preserve"> </w:t>
      </w:r>
      <w:r w:rsidR="00451EC7" w:rsidRPr="001F52A8">
        <w:rPr>
          <w:lang w:bidi="he-IL"/>
        </w:rPr>
        <w:t xml:space="preserve">also </w:t>
      </w:r>
      <w:r w:rsidR="004428FE" w:rsidRPr="001F52A8">
        <w:rPr>
          <w:lang w:bidi="he-IL"/>
        </w:rPr>
        <w:t xml:space="preserve">underlie its antiquity as a </w:t>
      </w:r>
      <w:r w:rsidR="009748E8" w:rsidRPr="001F52A8">
        <w:rPr>
          <w:lang w:bidi="he-IL"/>
        </w:rPr>
        <w:t xml:space="preserve">city or </w:t>
      </w:r>
      <w:r w:rsidR="004428FE" w:rsidRPr="001F52A8">
        <w:rPr>
          <w:lang w:bidi="he-IL"/>
        </w:rPr>
        <w:t>city-state</w:t>
      </w:r>
      <w:r w:rsidR="00465E53" w:rsidRPr="001F52A8">
        <w:rPr>
          <w:lang w:bidi="he-IL"/>
        </w:rPr>
        <w:t>. I</w:t>
      </w:r>
      <w:r w:rsidR="009409A0" w:rsidRPr="001F52A8">
        <w:rPr>
          <w:lang w:bidi="he-IL"/>
        </w:rPr>
        <w:t xml:space="preserve">t features in </w:t>
      </w:r>
      <w:r w:rsidR="000241C2" w:rsidRPr="001F52A8">
        <w:rPr>
          <w:lang w:bidi="he-IL"/>
        </w:rPr>
        <w:t xml:space="preserve">a number of </w:t>
      </w:r>
      <w:r w:rsidR="007233A9" w:rsidRPr="001F52A8">
        <w:rPr>
          <w:lang w:bidi="he-IL"/>
        </w:rPr>
        <w:t>documents from</w:t>
      </w:r>
      <w:r w:rsidR="0003197B" w:rsidRPr="001F52A8">
        <w:rPr>
          <w:lang w:bidi="he-IL"/>
        </w:rPr>
        <w:t xml:space="preserve"> </w:t>
      </w:r>
      <w:r w:rsidR="007233A9" w:rsidRPr="001F52A8">
        <w:rPr>
          <w:lang w:bidi="he-IL"/>
        </w:rPr>
        <w:t xml:space="preserve">the second </w:t>
      </w:r>
      <w:r w:rsidR="0003197B" w:rsidRPr="001F52A8">
        <w:rPr>
          <w:lang w:bidi="he-IL"/>
        </w:rPr>
        <w:t>millennium, including a</w:t>
      </w:r>
      <w:r w:rsidR="00ED48AA" w:rsidRPr="001F52A8">
        <w:rPr>
          <w:lang w:bidi="he-IL"/>
        </w:rPr>
        <w:t>n Egyptian</w:t>
      </w:r>
      <w:r w:rsidR="0003197B" w:rsidRPr="001F52A8">
        <w:rPr>
          <w:lang w:bidi="he-IL"/>
        </w:rPr>
        <w:t xml:space="preserve"> curse </w:t>
      </w:r>
      <w:r w:rsidR="00ED48AA" w:rsidRPr="001F52A8">
        <w:rPr>
          <w:lang w:bidi="he-IL"/>
        </w:rPr>
        <w:t>and some</w:t>
      </w:r>
      <w:r w:rsidR="00A402DD" w:rsidRPr="001F52A8">
        <w:rPr>
          <w:lang w:bidi="he-IL"/>
        </w:rPr>
        <w:t xml:space="preserve"> </w:t>
      </w:r>
      <w:r w:rsidR="002B4731" w:rsidRPr="001F52A8">
        <w:rPr>
          <w:lang w:bidi="he-IL"/>
        </w:rPr>
        <w:t>l</w:t>
      </w:r>
      <w:r w:rsidR="00686F20" w:rsidRPr="001F52A8">
        <w:rPr>
          <w:lang w:bidi="he-IL"/>
        </w:rPr>
        <w:t>etters</w:t>
      </w:r>
      <w:r w:rsidR="00A402DD" w:rsidRPr="001F52A8">
        <w:rPr>
          <w:lang w:bidi="he-IL"/>
        </w:rPr>
        <w:t xml:space="preserve"> from officials </w:t>
      </w:r>
      <w:r w:rsidR="00826310" w:rsidRPr="001F52A8">
        <w:rPr>
          <w:lang w:bidi="he-IL"/>
        </w:rPr>
        <w:t xml:space="preserve">in </w:t>
      </w:r>
      <w:r w:rsidR="00F62A17" w:rsidRPr="001F52A8">
        <w:rPr>
          <w:lang w:bidi="he-IL"/>
        </w:rPr>
        <w:t>Canaan to the Egyptian king</w:t>
      </w:r>
      <w:r w:rsidR="003C738D" w:rsidRPr="001F52A8">
        <w:rPr>
          <w:lang w:bidi="he-IL"/>
        </w:rPr>
        <w:t xml:space="preserve"> at el</w:t>
      </w:r>
      <w:r w:rsidR="002B4731" w:rsidRPr="001F52A8">
        <w:rPr>
          <w:lang w:bidi="he-IL"/>
        </w:rPr>
        <w:t>-A</w:t>
      </w:r>
      <w:r w:rsidR="003C738D" w:rsidRPr="001F52A8">
        <w:rPr>
          <w:lang w:bidi="he-IL"/>
        </w:rPr>
        <w:t>marna</w:t>
      </w:r>
      <w:r w:rsidR="0073539C" w:rsidRPr="001F52A8">
        <w:rPr>
          <w:lang w:bidi="he-IL"/>
        </w:rPr>
        <w:t>,</w:t>
      </w:r>
      <w:r w:rsidR="00123825" w:rsidRPr="001F52A8">
        <w:rPr>
          <w:rStyle w:val="FootnoteReference"/>
          <w:lang w:bidi="he-IL"/>
        </w:rPr>
        <w:footnoteReference w:id="331"/>
      </w:r>
      <w:r w:rsidR="0073539C" w:rsidRPr="001F52A8">
        <w:rPr>
          <w:lang w:bidi="he-IL"/>
        </w:rPr>
        <w:t xml:space="preserve"> though the name Jebusites (and Jebus), like Hivites and Perizzites, do not occur outside the First Testament. </w:t>
      </w:r>
    </w:p>
    <w:p w14:paraId="27F04190" w14:textId="5E1771C0" w:rsidR="00D90E7C" w:rsidRPr="001F52A8" w:rsidRDefault="00FA4BED" w:rsidP="00FC1C5D">
      <w:pPr>
        <w:rPr>
          <w:lang w:bidi="he-IL"/>
        </w:rPr>
      </w:pPr>
      <w:r w:rsidRPr="001F52A8">
        <w:rPr>
          <w:lang w:bidi="he-IL"/>
        </w:rPr>
        <w:t xml:space="preserve">It’s </w:t>
      </w:r>
      <w:r w:rsidR="00FC1C5D" w:rsidRPr="001F52A8">
        <w:rPr>
          <w:lang w:bidi="he-IL"/>
        </w:rPr>
        <w:t xml:space="preserve">now </w:t>
      </w:r>
      <w:r w:rsidR="000509E8">
        <w:rPr>
          <w:lang w:bidi="he-IL"/>
        </w:rPr>
        <w:t xml:space="preserve">apparently </w:t>
      </w:r>
      <w:r w:rsidRPr="001F52A8">
        <w:rPr>
          <w:lang w:bidi="he-IL"/>
        </w:rPr>
        <w:t xml:space="preserve">the only </w:t>
      </w:r>
      <w:r w:rsidR="00D93A74" w:rsidRPr="001F52A8">
        <w:rPr>
          <w:lang w:bidi="he-IL"/>
        </w:rPr>
        <w:t>city</w:t>
      </w:r>
      <w:r w:rsidRPr="001F52A8">
        <w:rPr>
          <w:lang w:bidi="he-IL"/>
        </w:rPr>
        <w:t xml:space="preserve"> in the mountains </w:t>
      </w:r>
      <w:r w:rsidR="00FA7E8F" w:rsidRPr="001F52A8">
        <w:rPr>
          <w:lang w:bidi="he-IL"/>
        </w:rPr>
        <w:t xml:space="preserve">that’s still occupied by Canaanites, and David determines to capture it. </w:t>
      </w:r>
      <w:r w:rsidR="001C2719">
        <w:rPr>
          <w:lang w:bidi="he-IL"/>
        </w:rPr>
        <w:t>I</w:t>
      </w:r>
      <w:r w:rsidR="00EB3C64" w:rsidRPr="001F52A8">
        <w:rPr>
          <w:lang w:bidi="he-IL"/>
        </w:rPr>
        <w:t>t represent</w:t>
      </w:r>
      <w:r w:rsidR="001C2719">
        <w:rPr>
          <w:lang w:bidi="he-IL"/>
        </w:rPr>
        <w:t>s</w:t>
      </w:r>
      <w:r w:rsidR="00EB3C64" w:rsidRPr="001F52A8">
        <w:rPr>
          <w:lang w:bidi="he-IL"/>
        </w:rPr>
        <w:t xml:space="preserve"> a completion of Israe</w:t>
      </w:r>
      <w:r w:rsidR="000512EE" w:rsidRPr="001F52A8">
        <w:rPr>
          <w:lang w:bidi="he-IL"/>
        </w:rPr>
        <w:t>l’s occupation of the highland</w:t>
      </w:r>
      <w:r w:rsidR="00EA566D" w:rsidRPr="001F52A8">
        <w:rPr>
          <w:lang w:bidi="he-IL"/>
        </w:rPr>
        <w:t>,</w:t>
      </w:r>
      <w:r w:rsidR="000512EE" w:rsidRPr="001F52A8">
        <w:rPr>
          <w:lang w:bidi="he-IL"/>
        </w:rPr>
        <w:t xml:space="preserve"> and</w:t>
      </w:r>
      <w:r w:rsidR="009F44DA" w:rsidRPr="001F52A8">
        <w:rPr>
          <w:lang w:bidi="he-IL"/>
        </w:rPr>
        <w:t xml:space="preserve"> </w:t>
      </w:r>
      <w:r w:rsidR="00D720CE" w:rsidRPr="001F52A8">
        <w:rPr>
          <w:lang w:bidi="he-IL"/>
        </w:rPr>
        <w:t xml:space="preserve">in </w:t>
      </w:r>
      <w:r w:rsidR="00EA566D" w:rsidRPr="001F52A8">
        <w:rPr>
          <w:lang w:bidi="he-IL"/>
        </w:rPr>
        <w:t xml:space="preserve">its </w:t>
      </w:r>
      <w:r w:rsidR="00D720CE" w:rsidRPr="001F52A8">
        <w:rPr>
          <w:lang w:bidi="he-IL"/>
        </w:rPr>
        <w:t xml:space="preserve">strong position </w:t>
      </w:r>
      <w:r w:rsidR="00BB1293" w:rsidRPr="001F52A8">
        <w:rPr>
          <w:lang w:bidi="he-IL"/>
        </w:rPr>
        <w:t xml:space="preserve">and its location </w:t>
      </w:r>
      <w:r w:rsidR="009F44DA" w:rsidRPr="001F52A8">
        <w:rPr>
          <w:lang w:bidi="he-IL"/>
        </w:rPr>
        <w:t xml:space="preserve">between Judah and Benjamin </w:t>
      </w:r>
      <w:r w:rsidR="00BB1293" w:rsidRPr="001F52A8">
        <w:rPr>
          <w:lang w:bidi="he-IL"/>
        </w:rPr>
        <w:t xml:space="preserve">it </w:t>
      </w:r>
      <w:r w:rsidR="009F44DA" w:rsidRPr="001F52A8">
        <w:rPr>
          <w:lang w:bidi="he-IL"/>
        </w:rPr>
        <w:t xml:space="preserve">would </w:t>
      </w:r>
      <w:r w:rsidR="00D720CE" w:rsidRPr="001F52A8">
        <w:rPr>
          <w:lang w:bidi="he-IL"/>
        </w:rPr>
        <w:t>make an excellent sit</w:t>
      </w:r>
      <w:r w:rsidR="00985B64" w:rsidRPr="001F52A8">
        <w:rPr>
          <w:lang w:bidi="he-IL"/>
        </w:rPr>
        <w:t>e</w:t>
      </w:r>
      <w:r w:rsidR="00D720CE" w:rsidRPr="001F52A8">
        <w:rPr>
          <w:lang w:bidi="he-IL"/>
        </w:rPr>
        <w:t xml:space="preserve"> for a capital</w:t>
      </w:r>
      <w:r w:rsidR="0053449E" w:rsidRPr="001F52A8">
        <w:rPr>
          <w:lang w:bidi="he-IL"/>
        </w:rPr>
        <w:t xml:space="preserve">. </w:t>
      </w:r>
      <w:r w:rsidR="000D3A6B" w:rsidRPr="001F52A8">
        <w:rPr>
          <w:lang w:bidi="he-IL"/>
        </w:rPr>
        <w:t xml:space="preserve">Thus </w:t>
      </w:r>
      <w:r w:rsidR="000D3A6B" w:rsidRPr="001F52A8">
        <w:rPr>
          <w:rFonts w:cstheme="minorHAnsi"/>
        </w:rPr>
        <w:t>“the king and his men went to Jerusalem against the Jebusites . . . and David captured the stronghold of Zion” (</w:t>
      </w:r>
      <w:r w:rsidR="000509E8">
        <w:rPr>
          <w:rFonts w:cstheme="minorHAnsi"/>
        </w:rPr>
        <w:t xml:space="preserve">2 Sam </w:t>
      </w:r>
      <w:r w:rsidR="000D3A6B" w:rsidRPr="001F52A8">
        <w:rPr>
          <w:rFonts w:cstheme="minorHAnsi"/>
        </w:rPr>
        <w:t>5:6-7). As a low</w:t>
      </w:r>
      <w:r w:rsidR="000509E8">
        <w:rPr>
          <w:rFonts w:cstheme="minorHAnsi"/>
        </w:rPr>
        <w:t>-</w:t>
      </w:r>
      <w:r w:rsidR="000D3A6B" w:rsidRPr="001F52A8">
        <w:rPr>
          <w:rFonts w:cstheme="minorHAnsi"/>
        </w:rPr>
        <w:t>key</w:t>
      </w:r>
      <w:r w:rsidR="000509E8">
        <w:rPr>
          <w:rFonts w:cstheme="minorHAnsi"/>
        </w:rPr>
        <w:t xml:space="preserve"> </w:t>
      </w:r>
      <w:r w:rsidR="000D3A6B" w:rsidRPr="001F52A8">
        <w:rPr>
          <w:rFonts w:cstheme="minorHAnsi"/>
        </w:rPr>
        <w:t xml:space="preserve">but theologically-freighted sentence, it is unsurpassed in the Scriptures. </w:t>
      </w:r>
      <w:r w:rsidR="001A464D" w:rsidRPr="001F52A8">
        <w:rPr>
          <w:lang w:bidi="he-IL"/>
        </w:rPr>
        <w:t xml:space="preserve">The </w:t>
      </w:r>
      <w:r w:rsidR="00BB0401" w:rsidRPr="001F52A8">
        <w:rPr>
          <w:lang w:bidi="he-IL"/>
        </w:rPr>
        <w:t xml:space="preserve">Jebusites are confident that they can resist David’s </w:t>
      </w:r>
      <w:r w:rsidR="00985B64" w:rsidRPr="001F52A8">
        <w:rPr>
          <w:lang w:bidi="he-IL"/>
        </w:rPr>
        <w:t>forces</w:t>
      </w:r>
      <w:r w:rsidR="003754F6" w:rsidRPr="001F52A8">
        <w:rPr>
          <w:lang w:bidi="he-IL"/>
        </w:rPr>
        <w:t>, but they are wrong</w:t>
      </w:r>
      <w:r w:rsidR="00EF3FCB" w:rsidRPr="001F52A8">
        <w:rPr>
          <w:lang w:bidi="he-IL"/>
        </w:rPr>
        <w:t xml:space="preserve"> </w:t>
      </w:r>
      <w:r w:rsidR="00985B64" w:rsidRPr="001F52A8">
        <w:rPr>
          <w:lang w:bidi="he-IL"/>
        </w:rPr>
        <w:t>(5:6-</w:t>
      </w:r>
      <w:r w:rsidR="00D00F82" w:rsidRPr="001F52A8">
        <w:rPr>
          <w:lang w:bidi="he-IL"/>
        </w:rPr>
        <w:t>9)</w:t>
      </w:r>
      <w:r w:rsidR="00EF3FCB" w:rsidRPr="001F52A8">
        <w:rPr>
          <w:lang w:bidi="he-IL"/>
        </w:rPr>
        <w:t>, though exactly how the</w:t>
      </w:r>
      <w:r w:rsidR="00D93A74" w:rsidRPr="001F52A8">
        <w:rPr>
          <w:lang w:bidi="he-IL"/>
        </w:rPr>
        <w:t xml:space="preserve"> city fell</w:t>
      </w:r>
      <w:r w:rsidR="00985B64" w:rsidRPr="001F52A8">
        <w:rPr>
          <w:lang w:bidi="he-IL"/>
        </w:rPr>
        <w:t xml:space="preserve"> is </w:t>
      </w:r>
      <w:r w:rsidR="00D00F82" w:rsidRPr="001F52A8">
        <w:rPr>
          <w:lang w:bidi="he-IL"/>
        </w:rPr>
        <w:t>unclear</w:t>
      </w:r>
      <w:r w:rsidR="00EF3FCB" w:rsidRPr="001F52A8">
        <w:rPr>
          <w:lang w:bidi="he-IL"/>
        </w:rPr>
        <w:t xml:space="preserve">. What </w:t>
      </w:r>
      <w:r w:rsidR="00921D3B" w:rsidRPr="001F52A8">
        <w:rPr>
          <w:lang w:bidi="he-IL"/>
        </w:rPr>
        <w:t>is clear is that it is an achievement of human bravery and ingenuity</w:t>
      </w:r>
      <w:r w:rsidR="000509E8">
        <w:rPr>
          <w:lang w:bidi="he-IL"/>
        </w:rPr>
        <w:t>,</w:t>
      </w:r>
      <w:r w:rsidR="00E53F68" w:rsidRPr="001F52A8">
        <w:rPr>
          <w:lang w:bidi="he-IL"/>
        </w:rPr>
        <w:t xml:space="preserve"> and it issues in the town be</w:t>
      </w:r>
      <w:r w:rsidR="00165EED" w:rsidRPr="001F52A8">
        <w:rPr>
          <w:lang w:bidi="he-IL"/>
        </w:rPr>
        <w:t>coming “David’s City</w:t>
      </w:r>
      <w:r w:rsidR="001C2719">
        <w:rPr>
          <w:lang w:bidi="he-IL"/>
        </w:rPr>
        <w:t>,”</w:t>
      </w:r>
      <w:r w:rsidR="001C2719" w:rsidRPr="001F52A8">
        <w:rPr>
          <w:rFonts w:cstheme="minorHAnsi"/>
        </w:rPr>
        <w:t xml:space="preserve"> equivalent to “Gibeah of Saul” as the state’s administrative center.</w:t>
      </w:r>
      <w:r w:rsidR="001C2719">
        <w:rPr>
          <w:rFonts w:cstheme="minorHAnsi"/>
        </w:rPr>
        <w:t xml:space="preserve"> </w:t>
      </w:r>
      <w:r w:rsidR="000D3A6B" w:rsidRPr="001F52A8">
        <w:rPr>
          <w:lang w:bidi="he-IL"/>
        </w:rPr>
        <w:t xml:space="preserve">David subsequently builds it up on all sides; Zion was perhaps the high point and </w:t>
      </w:r>
      <w:r w:rsidR="000509E8">
        <w:rPr>
          <w:lang w:bidi="he-IL"/>
        </w:rPr>
        <w:t xml:space="preserve">the </w:t>
      </w:r>
      <w:r w:rsidR="000D3A6B" w:rsidRPr="001F52A8">
        <w:rPr>
          <w:lang w:bidi="he-IL"/>
        </w:rPr>
        <w:t xml:space="preserve">citadel within the city. </w:t>
      </w:r>
      <w:r w:rsidR="00C12D27" w:rsidRPr="001F52A8">
        <w:rPr>
          <w:lang w:bidi="he-IL"/>
        </w:rPr>
        <w:t xml:space="preserve">While </w:t>
      </w:r>
      <w:r w:rsidR="006E6C0F" w:rsidRPr="001F52A8">
        <w:rPr>
          <w:lang w:bidi="he-IL"/>
        </w:rPr>
        <w:t xml:space="preserve">Deut 20:17 </w:t>
      </w:r>
      <w:r w:rsidR="00404566" w:rsidRPr="001F52A8">
        <w:rPr>
          <w:lang w:bidi="he-IL"/>
        </w:rPr>
        <w:t xml:space="preserve">requires that </w:t>
      </w:r>
      <w:r w:rsidR="004E00B1" w:rsidRPr="001F52A8">
        <w:rPr>
          <w:lang w:bidi="he-IL"/>
        </w:rPr>
        <w:t xml:space="preserve">the </w:t>
      </w:r>
      <w:r w:rsidR="00404566" w:rsidRPr="001F52A8">
        <w:rPr>
          <w:lang w:bidi="he-IL"/>
        </w:rPr>
        <w:t>Israel</w:t>
      </w:r>
      <w:r w:rsidR="004E00B1" w:rsidRPr="001F52A8">
        <w:rPr>
          <w:lang w:bidi="he-IL"/>
        </w:rPr>
        <w:t>ites</w:t>
      </w:r>
      <w:r w:rsidR="00404566" w:rsidRPr="001F52A8">
        <w:rPr>
          <w:lang w:bidi="he-IL"/>
        </w:rPr>
        <w:t xml:space="preserve"> should devote</w:t>
      </w:r>
      <w:r w:rsidR="004E00B1" w:rsidRPr="001F52A8">
        <w:rPr>
          <w:lang w:bidi="he-IL"/>
        </w:rPr>
        <w:t xml:space="preserve"> th</w:t>
      </w:r>
      <w:r w:rsidR="00D90E7C" w:rsidRPr="001F52A8">
        <w:rPr>
          <w:lang w:bidi="he-IL"/>
        </w:rPr>
        <w:t>e Jebusites</w:t>
      </w:r>
      <w:r w:rsidR="004E00B1" w:rsidRPr="001F52A8">
        <w:rPr>
          <w:lang w:bidi="he-IL"/>
        </w:rPr>
        <w:t>, Samuel does not say they did so</w:t>
      </w:r>
      <w:r w:rsidR="00235B51" w:rsidRPr="001F52A8">
        <w:rPr>
          <w:lang w:bidi="he-IL"/>
        </w:rPr>
        <w:t xml:space="preserve">. Araunah the Jebusite is still farming nearby in </w:t>
      </w:r>
      <w:r w:rsidR="007012A3" w:rsidRPr="001F52A8">
        <w:rPr>
          <w:lang w:bidi="he-IL"/>
        </w:rPr>
        <w:t>2 Sam</w:t>
      </w:r>
      <w:r w:rsidR="00FC1C5D" w:rsidRPr="001F52A8">
        <w:rPr>
          <w:lang w:bidi="he-IL"/>
        </w:rPr>
        <w:t>uel</w:t>
      </w:r>
      <w:r w:rsidR="007012A3" w:rsidRPr="001F52A8">
        <w:rPr>
          <w:lang w:bidi="he-IL"/>
        </w:rPr>
        <w:t xml:space="preserve"> 24</w:t>
      </w:r>
      <w:r w:rsidR="001A314E" w:rsidRPr="001F52A8">
        <w:rPr>
          <w:lang w:bidi="he-IL"/>
        </w:rPr>
        <w:t>,</w:t>
      </w:r>
      <w:r w:rsidR="007012A3" w:rsidRPr="001F52A8">
        <w:rPr>
          <w:lang w:bidi="he-IL"/>
        </w:rPr>
        <w:t xml:space="preserve"> </w:t>
      </w:r>
      <w:r w:rsidR="007012A3" w:rsidRPr="001F52A8">
        <w:rPr>
          <w:lang w:bidi="he-IL"/>
        </w:rPr>
        <w:lastRenderedPageBreak/>
        <w:t>and</w:t>
      </w:r>
      <w:r w:rsidR="004E00B1" w:rsidRPr="001F52A8">
        <w:rPr>
          <w:lang w:bidi="he-IL"/>
        </w:rPr>
        <w:t xml:space="preserve"> </w:t>
      </w:r>
      <w:r w:rsidR="000D3A6B" w:rsidRPr="001F52A8">
        <w:rPr>
          <w:lang w:bidi="he-IL"/>
        </w:rPr>
        <w:t>those other references note that th</w:t>
      </w:r>
      <w:r w:rsidR="001C2719">
        <w:rPr>
          <w:lang w:bidi="he-IL"/>
        </w:rPr>
        <w:t>e Jebusites</w:t>
      </w:r>
      <w:r w:rsidR="000D3A6B" w:rsidRPr="001F52A8">
        <w:rPr>
          <w:lang w:bidi="he-IL"/>
        </w:rPr>
        <w:t xml:space="preserve"> are</w:t>
      </w:r>
      <w:r w:rsidR="00B760D2" w:rsidRPr="001F52A8">
        <w:rPr>
          <w:lang w:bidi="he-IL"/>
        </w:rPr>
        <w:t xml:space="preserve"> living with the Judahites </w:t>
      </w:r>
      <w:r w:rsidR="00852400" w:rsidRPr="001F52A8">
        <w:rPr>
          <w:lang w:bidi="he-IL"/>
        </w:rPr>
        <w:t xml:space="preserve">and Benjaminites </w:t>
      </w:r>
      <w:r w:rsidR="00B760D2" w:rsidRPr="001F52A8">
        <w:rPr>
          <w:lang w:bidi="he-IL"/>
        </w:rPr>
        <w:t>in Jerusalem “until t</w:t>
      </w:r>
      <w:r w:rsidR="00FD1ACA" w:rsidRPr="001F52A8">
        <w:rPr>
          <w:lang w:bidi="he-IL"/>
        </w:rPr>
        <w:t>o</w:t>
      </w:r>
      <w:r w:rsidR="00B760D2" w:rsidRPr="001F52A8">
        <w:rPr>
          <w:lang w:bidi="he-IL"/>
        </w:rPr>
        <w:t>day</w:t>
      </w:r>
      <w:r w:rsidR="000D3A6B" w:rsidRPr="001F52A8">
        <w:rPr>
          <w:lang w:bidi="he-IL"/>
        </w:rPr>
        <w:t>”;</w:t>
      </w:r>
      <w:r w:rsidR="00592BCF" w:rsidRPr="001F52A8">
        <w:rPr>
          <w:lang w:bidi="he-IL"/>
        </w:rPr>
        <w:t xml:space="preserve"> 1 Kgs </w:t>
      </w:r>
      <w:r w:rsidR="00FD0A1B" w:rsidRPr="001F52A8">
        <w:rPr>
          <w:lang w:bidi="he-IL"/>
        </w:rPr>
        <w:t>9:2</w:t>
      </w:r>
      <w:r w:rsidR="00B5089A" w:rsidRPr="001F52A8">
        <w:rPr>
          <w:lang w:bidi="he-IL"/>
        </w:rPr>
        <w:t>0</w:t>
      </w:r>
      <w:r w:rsidR="00FD0A1B" w:rsidRPr="001F52A8">
        <w:rPr>
          <w:lang w:bidi="he-IL"/>
        </w:rPr>
        <w:t xml:space="preserve"> has Solomon turning them into a conscript labor force.</w:t>
      </w:r>
    </w:p>
    <w:p w14:paraId="6781CDA7" w14:textId="2DA295A3" w:rsidR="0068725D" w:rsidRPr="001F52A8" w:rsidRDefault="000D3A6B" w:rsidP="008C04A1">
      <w:pPr>
        <w:rPr>
          <w:rFonts w:cstheme="minorHAnsi"/>
        </w:rPr>
      </w:pPr>
      <w:r w:rsidRPr="001F52A8">
        <w:rPr>
          <w:lang w:bidi="he-IL"/>
        </w:rPr>
        <w:t>Thus</w:t>
      </w:r>
      <w:r w:rsidR="006A55CB" w:rsidRPr="001F52A8">
        <w:rPr>
          <w:lang w:bidi="he-IL"/>
        </w:rPr>
        <w:t xml:space="preserve"> “</w:t>
      </w:r>
      <w:r w:rsidR="00527E6B" w:rsidRPr="001F52A8">
        <w:rPr>
          <w:lang w:bidi="he-IL"/>
        </w:rPr>
        <w:t>David</w:t>
      </w:r>
      <w:r w:rsidR="006A55CB" w:rsidRPr="001F52A8">
        <w:rPr>
          <w:lang w:bidi="he-IL"/>
        </w:rPr>
        <w:t xml:space="preserve"> </w:t>
      </w:r>
      <w:r w:rsidR="00527E6B" w:rsidRPr="001F52A8">
        <w:rPr>
          <w:lang w:bidi="he-IL"/>
        </w:rPr>
        <w:t>kept getting bigger as Yahweh the God of Armies was with him</w:t>
      </w:r>
      <w:r w:rsidR="00E53F68" w:rsidRPr="001F52A8">
        <w:rPr>
          <w:lang w:bidi="he-IL"/>
        </w:rPr>
        <w:t>” (5:10).</w:t>
      </w:r>
      <w:r w:rsidR="00B81145" w:rsidRPr="001F52A8">
        <w:rPr>
          <w:lang w:bidi="he-IL"/>
        </w:rPr>
        <w:t xml:space="preserve"> </w:t>
      </w:r>
      <w:r w:rsidR="00803068" w:rsidRPr="001F52A8">
        <w:rPr>
          <w:lang w:bidi="he-IL"/>
        </w:rPr>
        <w:t xml:space="preserve">It is the first occasion </w:t>
      </w:r>
      <w:r w:rsidRPr="001F52A8">
        <w:rPr>
          <w:lang w:bidi="he-IL"/>
        </w:rPr>
        <w:t xml:space="preserve">since </w:t>
      </w:r>
      <w:r w:rsidR="009D6F5B" w:rsidRPr="001F52A8">
        <w:rPr>
          <w:lang w:bidi="he-IL"/>
        </w:rPr>
        <w:t xml:space="preserve">David’s going up to Hebron (2:1) </w:t>
      </w:r>
      <w:r w:rsidRPr="001F52A8">
        <w:rPr>
          <w:lang w:bidi="he-IL"/>
        </w:rPr>
        <w:t>that</w:t>
      </w:r>
      <w:r w:rsidR="00803068" w:rsidRPr="001F52A8">
        <w:rPr>
          <w:lang w:bidi="he-IL"/>
        </w:rPr>
        <w:t xml:space="preserve"> the narrative has commented on Yahweh’s </w:t>
      </w:r>
      <w:r w:rsidR="009D6F5B" w:rsidRPr="001F52A8">
        <w:rPr>
          <w:lang w:bidi="he-IL"/>
        </w:rPr>
        <w:t>involvement</w:t>
      </w:r>
      <w:r w:rsidR="007E4E60" w:rsidRPr="001F52A8">
        <w:rPr>
          <w:lang w:bidi="he-IL"/>
        </w:rPr>
        <w:t>;</w:t>
      </w:r>
      <w:r w:rsidR="009D6F5B" w:rsidRPr="001F52A8">
        <w:rPr>
          <w:lang w:bidi="he-IL"/>
        </w:rPr>
        <w:t xml:space="preserve"> these two references </w:t>
      </w:r>
      <w:r w:rsidR="007E4E60" w:rsidRPr="001F52A8">
        <w:rPr>
          <w:lang w:bidi="he-IL"/>
        </w:rPr>
        <w:t>mark the beginning and end of the story of David’s becoming king in Hebron and in Jerusalem.</w:t>
      </w:r>
      <w:r w:rsidRPr="001F52A8">
        <w:rPr>
          <w:lang w:bidi="he-IL"/>
        </w:rPr>
        <w:t xml:space="preserve"> </w:t>
      </w:r>
      <w:r w:rsidR="001C2719">
        <w:rPr>
          <w:lang w:bidi="he-IL"/>
        </w:rPr>
        <w:t>And h</w:t>
      </w:r>
      <w:r w:rsidR="002C7630" w:rsidRPr="001F52A8">
        <w:rPr>
          <w:lang w:bidi="he-IL"/>
        </w:rPr>
        <w:t>e is</w:t>
      </w:r>
      <w:r w:rsidR="00770C07">
        <w:rPr>
          <w:lang w:bidi="he-IL"/>
        </w:rPr>
        <w:t xml:space="preserve"> now</w:t>
      </w:r>
      <w:r w:rsidR="002C7630" w:rsidRPr="001F52A8">
        <w:rPr>
          <w:lang w:bidi="he-IL"/>
        </w:rPr>
        <w:t xml:space="preserve"> an important player on the re</w:t>
      </w:r>
      <w:r w:rsidR="00325215" w:rsidRPr="001F52A8">
        <w:rPr>
          <w:lang w:bidi="he-IL"/>
        </w:rPr>
        <w:t>gion</w:t>
      </w:r>
      <w:r w:rsidR="002C7630" w:rsidRPr="001F52A8">
        <w:rPr>
          <w:lang w:bidi="he-IL"/>
        </w:rPr>
        <w:t xml:space="preserve">al scene. </w:t>
      </w:r>
      <w:r w:rsidR="00770C07" w:rsidRPr="001F52A8">
        <w:rPr>
          <w:rFonts w:cstheme="minorHAnsi"/>
        </w:rPr>
        <w:t>“A foreigner . . . writes</w:t>
      </w:r>
      <w:r w:rsidR="00770C07" w:rsidRPr="001F52A8">
        <w:rPr>
          <w:lang w:bidi="he-IL"/>
        </w:rPr>
        <w:t xml:space="preserve"> </w:t>
      </w:r>
      <w:r w:rsidR="00770C07" w:rsidRPr="001F52A8">
        <w:rPr>
          <w:rFonts w:cstheme="minorHAnsi"/>
        </w:rPr>
        <w:t>a fitting climax to the story of David’s rise to power as king of Israel”</w:t>
      </w:r>
      <w:r w:rsidR="00770C07">
        <w:rPr>
          <w:rFonts w:cstheme="minorHAnsi"/>
        </w:rPr>
        <w:t xml:space="preserve"> </w:t>
      </w:r>
      <w:r w:rsidR="001C2719">
        <w:rPr>
          <w:rFonts w:cstheme="minorHAnsi"/>
        </w:rPr>
        <w:t xml:space="preserve">as </w:t>
      </w:r>
      <w:r w:rsidR="00770C07">
        <w:rPr>
          <w:lang w:bidi="he-IL"/>
        </w:rPr>
        <w:t>t</w:t>
      </w:r>
      <w:r w:rsidR="00325215" w:rsidRPr="001F52A8">
        <w:rPr>
          <w:lang w:bidi="he-IL"/>
        </w:rPr>
        <w:t>he king of Tyre provides him with timber and craftsmen to build him a house in Jerusalem.</w:t>
      </w:r>
      <w:r w:rsidR="00307493" w:rsidRPr="001F52A8">
        <w:rPr>
          <w:rStyle w:val="FootnoteReference"/>
          <w:rFonts w:cstheme="minorHAnsi"/>
        </w:rPr>
        <w:footnoteReference w:id="332"/>
      </w:r>
      <w:r w:rsidR="00325215" w:rsidRPr="001F52A8">
        <w:rPr>
          <w:lang w:bidi="he-IL"/>
        </w:rPr>
        <w:t xml:space="preserve"> </w:t>
      </w:r>
      <w:r w:rsidR="00910482" w:rsidRPr="001F52A8">
        <w:rPr>
          <w:lang w:bidi="he-IL"/>
        </w:rPr>
        <w:t>“And David ackno</w:t>
      </w:r>
      <w:r w:rsidR="00F40733" w:rsidRPr="001F52A8">
        <w:rPr>
          <w:lang w:bidi="he-IL"/>
        </w:rPr>
        <w:t>w</w:t>
      </w:r>
      <w:r w:rsidR="00910482" w:rsidRPr="001F52A8">
        <w:rPr>
          <w:lang w:bidi="he-IL"/>
        </w:rPr>
        <w:t>ledge</w:t>
      </w:r>
      <w:r w:rsidR="00F40733" w:rsidRPr="001F52A8">
        <w:rPr>
          <w:lang w:bidi="he-IL"/>
        </w:rPr>
        <w:t xml:space="preserve">d that </w:t>
      </w:r>
      <w:r w:rsidR="006E7CA8" w:rsidRPr="001F52A8">
        <w:rPr>
          <w:lang w:bidi="he-IL"/>
        </w:rPr>
        <w:t>Yahweh had established him as king</w:t>
      </w:r>
      <w:r w:rsidR="00EE527E" w:rsidRPr="001F52A8">
        <w:rPr>
          <w:lang w:bidi="he-IL"/>
        </w:rPr>
        <w:t xml:space="preserve"> over Israel and that he had exalted his kingship </w:t>
      </w:r>
      <w:r w:rsidR="009C32CB" w:rsidRPr="001F52A8">
        <w:rPr>
          <w:lang w:bidi="he-IL"/>
        </w:rPr>
        <w:t>on account of his people Israel” (</w:t>
      </w:r>
      <w:r w:rsidR="002A0B01" w:rsidRPr="001F52A8">
        <w:rPr>
          <w:lang w:bidi="he-IL"/>
        </w:rPr>
        <w:t>5:12).</w:t>
      </w:r>
      <w:r w:rsidR="0068725D" w:rsidRPr="001F52A8">
        <w:rPr>
          <w:lang w:bidi="he-IL"/>
        </w:rPr>
        <w:t xml:space="preserve"> </w:t>
      </w:r>
    </w:p>
    <w:p w14:paraId="618D61C3" w14:textId="27C3F9DB" w:rsidR="00072E64" w:rsidRPr="001F52A8" w:rsidRDefault="007F3A95" w:rsidP="000D3A6B">
      <w:pPr>
        <w:rPr>
          <w:rFonts w:cstheme="minorHAnsi"/>
        </w:rPr>
      </w:pPr>
      <w:r w:rsidRPr="001F52A8">
        <w:rPr>
          <w:rFonts w:cstheme="minorHAnsi"/>
        </w:rPr>
        <w:t xml:space="preserve">It is sometimes said that David was in the habit of consulting Yahweh </w:t>
      </w:r>
      <w:r w:rsidR="0003317D" w:rsidRPr="001F52A8">
        <w:rPr>
          <w:rFonts w:cstheme="minorHAnsi"/>
        </w:rPr>
        <w:t>before making any</w:t>
      </w:r>
      <w:r w:rsidRPr="001F52A8">
        <w:rPr>
          <w:rFonts w:cstheme="minorHAnsi"/>
        </w:rPr>
        <w:t xml:space="preserve"> sign</w:t>
      </w:r>
      <w:r w:rsidR="0003317D" w:rsidRPr="001F52A8">
        <w:rPr>
          <w:rFonts w:cstheme="minorHAnsi"/>
        </w:rPr>
        <w:t>i</w:t>
      </w:r>
      <w:r w:rsidRPr="001F52A8">
        <w:rPr>
          <w:rFonts w:cstheme="minorHAnsi"/>
        </w:rPr>
        <w:t>fi</w:t>
      </w:r>
      <w:r w:rsidR="0003317D" w:rsidRPr="001F52A8">
        <w:rPr>
          <w:rFonts w:cstheme="minorHAnsi"/>
        </w:rPr>
        <w:t>c</w:t>
      </w:r>
      <w:r w:rsidRPr="001F52A8">
        <w:rPr>
          <w:rFonts w:cstheme="minorHAnsi"/>
        </w:rPr>
        <w:t xml:space="preserve">ant </w:t>
      </w:r>
      <w:r w:rsidR="0003317D" w:rsidRPr="001F52A8">
        <w:rPr>
          <w:rFonts w:cstheme="minorHAnsi"/>
        </w:rPr>
        <w:t xml:space="preserve">moves, but the narrative does not give this impression. </w:t>
      </w:r>
      <w:r w:rsidR="005A132D" w:rsidRPr="001F52A8">
        <w:rPr>
          <w:rFonts w:cstheme="minorHAnsi"/>
        </w:rPr>
        <w:t xml:space="preserve">He did consult Yahweh before making his </w:t>
      </w:r>
      <w:r w:rsidR="00922E7A" w:rsidRPr="001F52A8">
        <w:rPr>
          <w:rFonts w:cstheme="minorHAnsi"/>
        </w:rPr>
        <w:t xml:space="preserve">move on Hebron </w:t>
      </w:r>
      <w:r w:rsidR="00EC5269" w:rsidRPr="001F52A8">
        <w:rPr>
          <w:rFonts w:cstheme="minorHAnsi"/>
        </w:rPr>
        <w:t>(</w:t>
      </w:r>
      <w:r w:rsidR="004438C9" w:rsidRPr="001F52A8">
        <w:rPr>
          <w:rFonts w:cstheme="minorHAnsi"/>
        </w:rPr>
        <w:t xml:space="preserve">2:1) </w:t>
      </w:r>
      <w:r w:rsidR="00922E7A" w:rsidRPr="001F52A8">
        <w:rPr>
          <w:rFonts w:cstheme="minorHAnsi"/>
        </w:rPr>
        <w:t>and in conn</w:t>
      </w:r>
      <w:r w:rsidR="00EC5269" w:rsidRPr="001F52A8">
        <w:rPr>
          <w:rFonts w:cstheme="minorHAnsi"/>
        </w:rPr>
        <w:t>e</w:t>
      </w:r>
      <w:r w:rsidR="00922E7A" w:rsidRPr="001F52A8">
        <w:rPr>
          <w:rFonts w:cstheme="minorHAnsi"/>
        </w:rPr>
        <w:t>c</w:t>
      </w:r>
      <w:r w:rsidR="00EC5269" w:rsidRPr="001F52A8">
        <w:rPr>
          <w:rFonts w:cstheme="minorHAnsi"/>
        </w:rPr>
        <w:t>t</w:t>
      </w:r>
      <w:r w:rsidR="00922E7A" w:rsidRPr="001F52A8">
        <w:rPr>
          <w:rFonts w:cstheme="minorHAnsi"/>
        </w:rPr>
        <w:t>ion with the battles against the Phil</w:t>
      </w:r>
      <w:r w:rsidR="00FD3575" w:rsidRPr="001F52A8">
        <w:rPr>
          <w:rFonts w:cstheme="minorHAnsi"/>
        </w:rPr>
        <w:t>i</w:t>
      </w:r>
      <w:r w:rsidR="00922E7A" w:rsidRPr="001F52A8">
        <w:rPr>
          <w:rFonts w:cstheme="minorHAnsi"/>
        </w:rPr>
        <w:t>stines (5:</w:t>
      </w:r>
      <w:r w:rsidR="00FD3575" w:rsidRPr="001F52A8">
        <w:rPr>
          <w:rFonts w:cstheme="minorHAnsi"/>
        </w:rPr>
        <w:t>17-26)</w:t>
      </w:r>
      <w:r w:rsidR="004438C9" w:rsidRPr="001F52A8">
        <w:rPr>
          <w:rFonts w:cstheme="minorHAnsi"/>
        </w:rPr>
        <w:t xml:space="preserve">, as he did on a few </w:t>
      </w:r>
      <w:r w:rsidR="00AF0E7F" w:rsidRPr="001F52A8">
        <w:rPr>
          <w:rFonts w:cstheme="minorHAnsi"/>
        </w:rPr>
        <w:t xml:space="preserve">earlier </w:t>
      </w:r>
      <w:r w:rsidR="004438C9" w:rsidRPr="001F52A8">
        <w:rPr>
          <w:rFonts w:cstheme="minorHAnsi"/>
        </w:rPr>
        <w:t>occasions</w:t>
      </w:r>
      <w:r w:rsidR="00666C9B" w:rsidRPr="001F52A8">
        <w:rPr>
          <w:rFonts w:cstheme="minorHAnsi"/>
        </w:rPr>
        <w:t xml:space="preserve"> (1 Sam 23:</w:t>
      </w:r>
      <w:r w:rsidR="00B64E5F" w:rsidRPr="001F52A8">
        <w:rPr>
          <w:rFonts w:cstheme="minorHAnsi"/>
        </w:rPr>
        <w:t>1</w:t>
      </w:r>
      <w:r w:rsidR="000D53CF" w:rsidRPr="001F52A8">
        <w:rPr>
          <w:rFonts w:cstheme="minorHAnsi"/>
        </w:rPr>
        <w:t>-11; 30:7-8)</w:t>
      </w:r>
      <w:r w:rsidR="001F7B21" w:rsidRPr="001F52A8">
        <w:rPr>
          <w:rFonts w:cstheme="minorHAnsi"/>
        </w:rPr>
        <w:t xml:space="preserve">, </w:t>
      </w:r>
      <w:r w:rsidR="00835D3B" w:rsidRPr="001F52A8">
        <w:rPr>
          <w:rFonts w:cstheme="minorHAnsi"/>
        </w:rPr>
        <w:t>but more often he makes up his mind what to do and does it, and Yahweh is with him as he does so.</w:t>
      </w:r>
      <w:r w:rsidR="00877D34" w:rsidRPr="001F52A8">
        <w:rPr>
          <w:rFonts w:cstheme="minorHAnsi"/>
        </w:rPr>
        <w:t xml:space="preserve"> Christians often speak of seeking the Lord’s guidance about some action, but </w:t>
      </w:r>
      <w:r w:rsidR="00DC6C8C" w:rsidRPr="001F52A8">
        <w:rPr>
          <w:rFonts w:cstheme="minorHAnsi"/>
        </w:rPr>
        <w:t xml:space="preserve">only one time in a thousand does the Lord send an answer by means of some prophetic word; </w:t>
      </w:r>
      <w:r w:rsidR="00521D97" w:rsidRPr="001F52A8">
        <w:rPr>
          <w:rFonts w:cstheme="minorHAnsi"/>
        </w:rPr>
        <w:t xml:space="preserve">usually, </w:t>
      </w:r>
      <w:r w:rsidR="00770C07">
        <w:rPr>
          <w:rFonts w:cstheme="minorHAnsi"/>
        </w:rPr>
        <w:t>people</w:t>
      </w:r>
      <w:r w:rsidR="00521D97" w:rsidRPr="001F52A8">
        <w:rPr>
          <w:rFonts w:cstheme="minorHAnsi"/>
        </w:rPr>
        <w:t xml:space="preserve"> </w:t>
      </w:r>
      <w:r w:rsidR="00770C07">
        <w:rPr>
          <w:rFonts w:cstheme="minorHAnsi"/>
        </w:rPr>
        <w:t xml:space="preserve">pray and then </w:t>
      </w:r>
      <w:r w:rsidR="00521D97" w:rsidRPr="001F52A8">
        <w:rPr>
          <w:rFonts w:cstheme="minorHAnsi"/>
        </w:rPr>
        <w:t>go on and decide what to do using their own insight</w:t>
      </w:r>
      <w:r w:rsidR="00245523" w:rsidRPr="001F52A8">
        <w:rPr>
          <w:rFonts w:cstheme="minorHAnsi"/>
        </w:rPr>
        <w:t xml:space="preserve">. It looks as if David does the same. And it looks as if it is the way God </w:t>
      </w:r>
      <w:r w:rsidR="00D76C06" w:rsidRPr="001F52A8">
        <w:rPr>
          <w:rFonts w:cstheme="minorHAnsi"/>
        </w:rPr>
        <w:t>expects his people to decide things.</w:t>
      </w:r>
      <w:r w:rsidR="000D3A6B" w:rsidRPr="001F52A8">
        <w:rPr>
          <w:rFonts w:cstheme="minorHAnsi"/>
        </w:rPr>
        <w:t xml:space="preserve"> We may guess at the rationale for David’s capturing Jerusalem, but the narratives gives neither a practical nor a theological </w:t>
      </w:r>
      <w:r w:rsidR="00770C07">
        <w:rPr>
          <w:rFonts w:cstheme="minorHAnsi"/>
        </w:rPr>
        <w:t>rational</w:t>
      </w:r>
      <w:r w:rsidR="000D3A6B" w:rsidRPr="001F52A8">
        <w:rPr>
          <w:rFonts w:cstheme="minorHAnsi"/>
        </w:rPr>
        <w:t xml:space="preserve">e. </w:t>
      </w:r>
      <w:r w:rsidR="00532BEA" w:rsidRPr="001F52A8">
        <w:rPr>
          <w:rFonts w:cstheme="minorHAnsi"/>
        </w:rPr>
        <w:t>In due course Solomon</w:t>
      </w:r>
      <w:r w:rsidR="00770C07">
        <w:rPr>
          <w:rFonts w:cstheme="minorHAnsi"/>
        </w:rPr>
        <w:t>, Yahweh, and the narrator</w:t>
      </w:r>
      <w:r w:rsidR="00532BEA" w:rsidRPr="001F52A8">
        <w:rPr>
          <w:rFonts w:cstheme="minorHAnsi"/>
        </w:rPr>
        <w:t xml:space="preserve"> will refer t</w:t>
      </w:r>
      <w:r w:rsidR="007B0DE1" w:rsidRPr="001F52A8">
        <w:rPr>
          <w:rFonts w:cstheme="minorHAnsi"/>
        </w:rPr>
        <w:t xml:space="preserve">o </w:t>
      </w:r>
      <w:r w:rsidR="00770C07">
        <w:rPr>
          <w:rFonts w:cstheme="minorHAnsi"/>
        </w:rPr>
        <w:t xml:space="preserve">Jerusalem as </w:t>
      </w:r>
      <w:r w:rsidR="007B0DE1" w:rsidRPr="001F52A8">
        <w:rPr>
          <w:rFonts w:cstheme="minorHAnsi"/>
        </w:rPr>
        <w:t xml:space="preserve">the city that </w:t>
      </w:r>
      <w:r w:rsidR="00770C07">
        <w:rPr>
          <w:rFonts w:cstheme="minorHAnsi"/>
        </w:rPr>
        <w:t>Yahweh</w:t>
      </w:r>
      <w:r w:rsidR="007B0DE1" w:rsidRPr="001F52A8">
        <w:rPr>
          <w:rFonts w:cstheme="minorHAnsi"/>
        </w:rPr>
        <w:t xml:space="preserve"> chose (</w:t>
      </w:r>
      <w:r w:rsidR="00770C07">
        <w:rPr>
          <w:rFonts w:cstheme="minorHAnsi"/>
        </w:rPr>
        <w:t xml:space="preserve">e.g., </w:t>
      </w:r>
      <w:r w:rsidR="007B0DE1" w:rsidRPr="001F52A8">
        <w:rPr>
          <w:rFonts w:cstheme="minorHAnsi"/>
        </w:rPr>
        <w:t>1 Kgs 8:</w:t>
      </w:r>
      <w:r w:rsidR="00B57413" w:rsidRPr="001F52A8">
        <w:rPr>
          <w:rFonts w:cstheme="minorHAnsi"/>
        </w:rPr>
        <w:t xml:space="preserve">44, </w:t>
      </w:r>
      <w:r w:rsidR="00770C07">
        <w:rPr>
          <w:rFonts w:cstheme="minorHAnsi"/>
        </w:rPr>
        <w:t xml:space="preserve">48; </w:t>
      </w:r>
      <w:r w:rsidR="00CD565C" w:rsidRPr="001F52A8">
        <w:rPr>
          <w:rFonts w:cstheme="minorHAnsi"/>
        </w:rPr>
        <w:t>11:13, 32, 36</w:t>
      </w:r>
      <w:r w:rsidR="00770C07">
        <w:rPr>
          <w:rFonts w:cstheme="minorHAnsi"/>
        </w:rPr>
        <w:t xml:space="preserve">; </w:t>
      </w:r>
      <w:r w:rsidR="008D4F4A" w:rsidRPr="001F52A8">
        <w:rPr>
          <w:rFonts w:cstheme="minorHAnsi"/>
        </w:rPr>
        <w:t>14:2</w:t>
      </w:r>
      <w:r w:rsidR="009372A4" w:rsidRPr="001F52A8">
        <w:rPr>
          <w:rFonts w:cstheme="minorHAnsi"/>
        </w:rPr>
        <w:t>1</w:t>
      </w:r>
      <w:r w:rsidR="004F347E" w:rsidRPr="001F52A8">
        <w:rPr>
          <w:rFonts w:cstheme="minorHAnsi"/>
        </w:rPr>
        <w:t>; cf. Ps 132:13</w:t>
      </w:r>
      <w:r w:rsidR="00770C07">
        <w:rPr>
          <w:rFonts w:cstheme="minorHAnsi"/>
        </w:rPr>
        <w:t>)</w:t>
      </w:r>
      <w:r w:rsidR="00307493">
        <w:rPr>
          <w:rFonts w:cstheme="minorHAnsi"/>
        </w:rPr>
        <w:t>, but it seems that David chose it first</w:t>
      </w:r>
      <w:r w:rsidR="00882DCD" w:rsidRPr="001F52A8">
        <w:rPr>
          <w:lang w:bidi="he-IL"/>
        </w:rPr>
        <w:t>.</w:t>
      </w:r>
      <w:r w:rsidR="00220ED3" w:rsidRPr="001F52A8">
        <w:rPr>
          <w:lang w:bidi="he-IL"/>
        </w:rPr>
        <w:t xml:space="preserve"> </w:t>
      </w:r>
      <w:r w:rsidR="00307493">
        <w:rPr>
          <w:lang w:bidi="he-IL"/>
        </w:rPr>
        <w:t>Subsequently, its</w:t>
      </w:r>
      <w:r w:rsidR="00220ED3" w:rsidRPr="001F52A8">
        <w:rPr>
          <w:lang w:bidi="he-IL"/>
        </w:rPr>
        <w:t xml:space="preserve"> significance was vastly enhanced</w:t>
      </w:r>
      <w:r w:rsidR="00CD099B" w:rsidRPr="001F52A8">
        <w:rPr>
          <w:lang w:bidi="he-IL"/>
        </w:rPr>
        <w:t xml:space="preserve"> through its marvelous </w:t>
      </w:r>
      <w:r w:rsidR="001055D1" w:rsidRPr="001F52A8">
        <w:rPr>
          <w:lang w:bidi="he-IL"/>
        </w:rPr>
        <w:t xml:space="preserve">escape from conquest by Sennacherib </w:t>
      </w:r>
      <w:r w:rsidR="00B01FAF" w:rsidRPr="001F52A8">
        <w:rPr>
          <w:lang w:bidi="he-IL"/>
        </w:rPr>
        <w:t xml:space="preserve">(cf. Isa </w:t>
      </w:r>
      <w:r w:rsidR="000534EC" w:rsidRPr="001F52A8">
        <w:rPr>
          <w:lang w:bidi="he-IL"/>
        </w:rPr>
        <w:t>36 – 37; Pss 46; 48)</w:t>
      </w:r>
      <w:r w:rsidR="00307493">
        <w:rPr>
          <w:lang w:bidi="he-IL"/>
        </w:rPr>
        <w:t xml:space="preserve">, </w:t>
      </w:r>
      <w:r w:rsidR="000D3A6B" w:rsidRPr="001F52A8">
        <w:rPr>
          <w:lang w:bidi="he-IL"/>
        </w:rPr>
        <w:t xml:space="preserve">then </w:t>
      </w:r>
      <w:r w:rsidR="008F5247" w:rsidRPr="001F52A8">
        <w:rPr>
          <w:lang w:bidi="he-IL"/>
        </w:rPr>
        <w:t>imperiled through its abandonment by Yahweh and its destruction in 587.</w:t>
      </w:r>
      <w:r w:rsidR="00B35F7E" w:rsidRPr="001F52A8">
        <w:rPr>
          <w:lang w:bidi="he-IL"/>
        </w:rPr>
        <w:t xml:space="preserve"> </w:t>
      </w:r>
      <w:r w:rsidR="00307493">
        <w:rPr>
          <w:rFonts w:cstheme="minorHAnsi"/>
        </w:rPr>
        <w:t>And</w:t>
      </w:r>
      <w:r w:rsidR="00B35F7E" w:rsidRPr="001F52A8">
        <w:rPr>
          <w:rFonts w:cstheme="minorHAnsi"/>
        </w:rPr>
        <w:t xml:space="preserve"> its choice by Yahweh will be the basis of hopes for the future when it looks as if he is ignoring its needs (</w:t>
      </w:r>
      <w:r w:rsidR="00B35F7E" w:rsidRPr="001F52A8">
        <w:rPr>
          <w:lang w:bidi="he-IL"/>
        </w:rPr>
        <w:t>Zech 1:17; 2:12 [16]; also 3:2)</w:t>
      </w:r>
    </w:p>
    <w:p w14:paraId="6EF30520" w14:textId="75B04B4E" w:rsidR="000E71E9" w:rsidRDefault="00B35F7E" w:rsidP="000E71E9">
      <w:pPr>
        <w:rPr>
          <w:lang w:bidi="he-IL"/>
        </w:rPr>
      </w:pPr>
      <w:r w:rsidRPr="001F52A8">
        <w:rPr>
          <w:lang w:bidi="he-IL"/>
        </w:rPr>
        <w:t xml:space="preserve">The puzzling account of its capture </w:t>
      </w:r>
      <w:r w:rsidR="00A1263D" w:rsidRPr="001F52A8">
        <w:rPr>
          <w:lang w:bidi="he-IL"/>
        </w:rPr>
        <w:t xml:space="preserve">(5:6-8) </w:t>
      </w:r>
      <w:r w:rsidRPr="001F52A8">
        <w:rPr>
          <w:lang w:bidi="he-IL"/>
        </w:rPr>
        <w:t xml:space="preserve">includes the report that the Jebusites had told David he would not get into the city because “the blind and the disabled will turn you back.” David had then challenged his men to find a way to </w:t>
      </w:r>
      <w:r w:rsidR="00A1263D" w:rsidRPr="001F52A8">
        <w:rPr>
          <w:lang w:bidi="he-IL"/>
        </w:rPr>
        <w:t xml:space="preserve">take the city; he disdainfully described “the blind and the disabled” as people “he dismisses” or as people who “dismiss him” (the participle can be understood either </w:t>
      </w:r>
      <w:r w:rsidR="00770C07">
        <w:rPr>
          <w:lang w:bidi="he-IL"/>
        </w:rPr>
        <w:t>way). T</w:t>
      </w:r>
      <w:r w:rsidR="00A1263D" w:rsidRPr="001F52A8">
        <w:rPr>
          <w:lang w:bidi="he-IL"/>
        </w:rPr>
        <w:t xml:space="preserve">he verb </w:t>
      </w:r>
      <w:r w:rsidR="00770C07">
        <w:rPr>
          <w:lang w:bidi="he-IL"/>
        </w:rPr>
        <w:t>(</w:t>
      </w:r>
      <w:r w:rsidR="00A1263D" w:rsidRPr="001F52A8">
        <w:rPr>
          <w:rFonts w:cstheme="minorHAnsi"/>
          <w:i/>
          <w:iCs/>
          <w:lang w:bidi="he-IL"/>
        </w:rPr>
        <w:t>śānē</w:t>
      </w:r>
      <w:r w:rsidR="00A1263D" w:rsidRPr="001F52A8">
        <w:rPr>
          <w:i/>
          <w:iCs/>
          <w:lang w:bidi="he-IL"/>
        </w:rPr>
        <w:t>’</w:t>
      </w:r>
      <w:r w:rsidR="00770C07">
        <w:rPr>
          <w:lang w:bidi="he-IL"/>
        </w:rPr>
        <w:t>)</w:t>
      </w:r>
      <w:r w:rsidR="00A1263D" w:rsidRPr="001F52A8">
        <w:rPr>
          <w:lang w:bidi="he-IL"/>
        </w:rPr>
        <w:t xml:space="preserve"> </w:t>
      </w:r>
      <w:r w:rsidR="00770C07">
        <w:rPr>
          <w:lang w:bidi="he-IL"/>
        </w:rPr>
        <w:t xml:space="preserve">is </w:t>
      </w:r>
      <w:r w:rsidR="00A1263D" w:rsidRPr="001F52A8">
        <w:rPr>
          <w:lang w:bidi="he-IL"/>
        </w:rPr>
        <w:t xml:space="preserve">usually translated “hate,” but like its antonym “love” it suggests more an attitude and commitment than an emotion. </w:t>
      </w:r>
      <w:r w:rsidR="000E71E9">
        <w:rPr>
          <w:rFonts w:cstheme="minorHAnsi"/>
          <w:color w:val="222222"/>
        </w:rPr>
        <w:t>W</w:t>
      </w:r>
      <w:r w:rsidR="000E71E9" w:rsidRPr="001F52A8">
        <w:rPr>
          <w:lang w:bidi="he-IL"/>
        </w:rPr>
        <w:t xml:space="preserve">ere the Jebusites </w:t>
      </w:r>
      <w:r w:rsidR="000E71E9">
        <w:rPr>
          <w:lang w:bidi="he-IL"/>
        </w:rPr>
        <w:t xml:space="preserve">simply </w:t>
      </w:r>
      <w:r w:rsidR="000E71E9" w:rsidRPr="001F52A8">
        <w:rPr>
          <w:lang w:bidi="he-IL"/>
        </w:rPr>
        <w:t xml:space="preserve">saying that even blind or disabled people could hold the city? </w:t>
      </w:r>
      <w:r w:rsidR="000E71E9">
        <w:rPr>
          <w:lang w:bidi="he-IL"/>
        </w:rPr>
        <w:t>But t</w:t>
      </w:r>
      <w:r w:rsidR="00A1263D" w:rsidRPr="001F52A8">
        <w:rPr>
          <w:lang w:bidi="he-IL"/>
        </w:rPr>
        <w:t xml:space="preserve">he narrative then adds, “so that’s why people say, ‘someone blind or disabled will not come into the house.’” </w:t>
      </w:r>
      <w:r w:rsidR="000E71E9">
        <w:rPr>
          <w:lang w:bidi="he-IL"/>
        </w:rPr>
        <w:t>Now t</w:t>
      </w:r>
      <w:r w:rsidR="00A1263D" w:rsidRPr="001F52A8">
        <w:rPr>
          <w:lang w:bidi="he-IL"/>
        </w:rPr>
        <w:t>he Torah say</w:t>
      </w:r>
      <w:r w:rsidR="000E71E9">
        <w:rPr>
          <w:lang w:bidi="he-IL"/>
        </w:rPr>
        <w:t>s</w:t>
      </w:r>
      <w:r w:rsidR="00A1263D" w:rsidRPr="001F52A8">
        <w:rPr>
          <w:lang w:bidi="he-IL"/>
        </w:rPr>
        <w:t xml:space="preserve"> that </w:t>
      </w:r>
      <w:r w:rsidR="007F054F" w:rsidRPr="001F52A8">
        <w:rPr>
          <w:rFonts w:cstheme="minorHAnsi"/>
          <w:color w:val="222222"/>
        </w:rPr>
        <w:t>blind and disabled can’t be priests (Lev 21:18). Is the “house” the temple that will eventually be built her</w:t>
      </w:r>
      <w:r w:rsidR="00307493">
        <w:rPr>
          <w:rFonts w:cstheme="minorHAnsi"/>
          <w:color w:val="222222"/>
        </w:rPr>
        <w:t>e</w:t>
      </w:r>
      <w:r w:rsidR="000E71E9">
        <w:rPr>
          <w:rFonts w:cstheme="minorHAnsi"/>
          <w:color w:val="222222"/>
        </w:rPr>
        <w:t>. Or is it</w:t>
      </w:r>
      <w:r w:rsidR="007F054F" w:rsidRPr="001F52A8">
        <w:rPr>
          <w:rFonts w:cstheme="minorHAnsi"/>
          <w:color w:val="222222"/>
        </w:rPr>
        <w:t xml:space="preserve"> the “house” whose building the narrative goes on to relate (5:11)</w:t>
      </w:r>
      <w:r w:rsidR="005F7534" w:rsidRPr="001F52A8">
        <w:rPr>
          <w:rFonts w:cstheme="minorHAnsi"/>
          <w:color w:val="222222"/>
        </w:rPr>
        <w:t>?</w:t>
      </w:r>
      <w:r w:rsidR="007F054F" w:rsidRPr="001F52A8">
        <w:rPr>
          <w:rFonts w:cstheme="minorHAnsi"/>
          <w:color w:val="222222"/>
        </w:rPr>
        <w:t xml:space="preserve"> </w:t>
      </w:r>
      <w:r w:rsidR="000E71E9">
        <w:rPr>
          <w:lang w:bidi="he-IL"/>
        </w:rPr>
        <w:t>I</w:t>
      </w:r>
      <w:r w:rsidR="007F054F" w:rsidRPr="001F52A8">
        <w:rPr>
          <w:lang w:bidi="he-IL"/>
        </w:rPr>
        <w:t>n the context</w:t>
      </w:r>
      <w:r w:rsidR="000E71E9">
        <w:rPr>
          <w:lang w:bidi="he-IL"/>
        </w:rPr>
        <w:t>, part of</w:t>
      </w:r>
      <w:r w:rsidR="007F054F" w:rsidRPr="001F52A8">
        <w:rPr>
          <w:lang w:bidi="he-IL"/>
        </w:rPr>
        <w:t xml:space="preserve"> the background </w:t>
      </w:r>
      <w:r w:rsidR="000E71E9">
        <w:rPr>
          <w:lang w:bidi="he-IL"/>
        </w:rPr>
        <w:t xml:space="preserve">to this question </w:t>
      </w:r>
      <w:r w:rsidR="007F054F" w:rsidRPr="001F52A8">
        <w:rPr>
          <w:lang w:bidi="he-IL"/>
        </w:rPr>
        <w:t xml:space="preserve">lies in another puzzle. Just before its account of the capture of the city, the narrative introduced us to </w:t>
      </w:r>
      <w:r w:rsidR="009C74AC" w:rsidRPr="001F52A8">
        <w:rPr>
          <w:lang w:bidi="he-IL"/>
        </w:rPr>
        <w:t>Saul’s grandson</w:t>
      </w:r>
      <w:r w:rsidR="003A04EB" w:rsidRPr="001F52A8">
        <w:rPr>
          <w:lang w:bidi="he-IL"/>
        </w:rPr>
        <w:t>, Jonathan’s son,</w:t>
      </w:r>
      <w:r w:rsidR="009C74AC" w:rsidRPr="001F52A8">
        <w:rPr>
          <w:lang w:bidi="he-IL"/>
        </w:rPr>
        <w:t xml:space="preserve"> Mephibosheth (4:4),</w:t>
      </w:r>
      <w:r w:rsidR="009C74AC" w:rsidRPr="001F52A8">
        <w:rPr>
          <w:rStyle w:val="FootnoteReference"/>
          <w:lang w:bidi="he-IL"/>
        </w:rPr>
        <w:footnoteReference w:id="333"/>
      </w:r>
      <w:r w:rsidR="009C74AC" w:rsidRPr="001F52A8">
        <w:rPr>
          <w:lang w:bidi="he-IL"/>
        </w:rPr>
        <w:t xml:space="preserve"> who had “become disabled”</w:t>
      </w:r>
      <w:r w:rsidR="00307493">
        <w:rPr>
          <w:lang w:bidi="he-IL"/>
        </w:rPr>
        <w:t xml:space="preserve"> </w:t>
      </w:r>
      <w:r w:rsidR="009C74AC" w:rsidRPr="001F52A8">
        <w:rPr>
          <w:lang w:bidi="he-IL"/>
        </w:rPr>
        <w:t>through a fall. The puzzle there is why the narrative introduces Mephibosheth at that poin</w:t>
      </w:r>
      <w:r w:rsidR="00623DCE" w:rsidRPr="001F52A8">
        <w:rPr>
          <w:lang w:bidi="he-IL"/>
        </w:rPr>
        <w:t>t</w:t>
      </w:r>
      <w:r w:rsidR="00307493">
        <w:rPr>
          <w:lang w:bidi="he-IL"/>
        </w:rPr>
        <w:t>;</w:t>
      </w:r>
      <w:r w:rsidR="00623DCE" w:rsidRPr="001F52A8">
        <w:rPr>
          <w:lang w:bidi="he-IL"/>
        </w:rPr>
        <w:t xml:space="preserve"> the subsequent references to the blind and the disabled provide a clue. </w:t>
      </w:r>
      <w:r w:rsidR="000E71E9" w:rsidRPr="001F52A8">
        <w:rPr>
          <w:rFonts w:cstheme="minorHAnsi"/>
          <w:color w:val="222222"/>
        </w:rPr>
        <w:t>Can someone like Mephibosheth not be king because he is disabled</w:t>
      </w:r>
      <w:r w:rsidR="000E71E9">
        <w:rPr>
          <w:rFonts w:cstheme="minorHAnsi"/>
          <w:color w:val="222222"/>
        </w:rPr>
        <w:t>?</w:t>
      </w:r>
      <w:r w:rsidR="000E71E9" w:rsidRPr="001F52A8">
        <w:rPr>
          <w:rFonts w:cstheme="minorHAnsi"/>
          <w:color w:val="222222"/>
        </w:rPr>
        <w:t xml:space="preserve"> </w:t>
      </w:r>
      <w:r w:rsidR="000E71E9">
        <w:rPr>
          <w:rFonts w:cstheme="minorHAnsi"/>
          <w:color w:val="222222"/>
        </w:rPr>
        <w:t>T</w:t>
      </w:r>
      <w:r w:rsidR="000E71E9" w:rsidRPr="001F52A8">
        <w:rPr>
          <w:rFonts w:cstheme="minorHAnsi"/>
          <w:color w:val="222222"/>
        </w:rPr>
        <w:t xml:space="preserve">he </w:t>
      </w:r>
      <w:r w:rsidR="000E71E9" w:rsidRPr="001F52A8">
        <w:rPr>
          <w:rFonts w:cstheme="minorHAnsi"/>
          <w:color w:val="222222"/>
        </w:rPr>
        <w:lastRenderedPageBreak/>
        <w:t xml:space="preserve">story </w:t>
      </w:r>
      <w:r w:rsidR="000E71E9">
        <w:rPr>
          <w:rFonts w:cstheme="minorHAnsi"/>
          <w:color w:val="222222"/>
        </w:rPr>
        <w:t xml:space="preserve">might </w:t>
      </w:r>
      <w:r w:rsidR="000E71E9" w:rsidRPr="001F52A8">
        <w:rPr>
          <w:rFonts w:cstheme="minorHAnsi"/>
          <w:color w:val="222222"/>
        </w:rPr>
        <w:t>also link with the only other reference to blindness in Joshua-Kings, in 2 Kgs 25:7, when Zedekiah loses the throne and is blinded</w:t>
      </w:r>
      <w:r w:rsidR="000E71E9">
        <w:rPr>
          <w:rFonts w:cstheme="minorHAnsi"/>
          <w:color w:val="222222"/>
        </w:rPr>
        <w:t>.</w:t>
      </w:r>
      <w:r w:rsidR="000E71E9" w:rsidRPr="001F52A8">
        <w:rPr>
          <w:rStyle w:val="FootnoteReference"/>
          <w:rFonts w:cstheme="minorHAnsi"/>
          <w:color w:val="222222"/>
        </w:rPr>
        <w:footnoteReference w:id="334"/>
      </w:r>
    </w:p>
    <w:p w14:paraId="03C8617D" w14:textId="308DCDA6" w:rsidR="00BE2621" w:rsidRPr="001F52A8" w:rsidRDefault="000E71E9" w:rsidP="003A04EB">
      <w:pPr>
        <w:rPr>
          <w:rFonts w:cstheme="minorHAnsi"/>
          <w:color w:val="222222"/>
        </w:rPr>
      </w:pPr>
      <w:r>
        <w:rPr>
          <w:lang w:bidi="he-IL"/>
        </w:rPr>
        <w:t>W</w:t>
      </w:r>
      <w:r w:rsidR="00623DCE" w:rsidRPr="001F52A8">
        <w:rPr>
          <w:lang w:bidi="he-IL"/>
        </w:rPr>
        <w:t>e await more clarification, which come</w:t>
      </w:r>
      <w:r>
        <w:rPr>
          <w:lang w:bidi="he-IL"/>
        </w:rPr>
        <w:t>s</w:t>
      </w:r>
      <w:r w:rsidR="00FD198D">
        <w:rPr>
          <w:lang w:bidi="he-IL"/>
        </w:rPr>
        <w:t xml:space="preserve"> when </w:t>
      </w:r>
      <w:r w:rsidR="003A04EB" w:rsidRPr="001F52A8">
        <w:rPr>
          <w:lang w:bidi="he-IL"/>
        </w:rPr>
        <w:t xml:space="preserve">David wants to know if there is anyone still alive from </w:t>
      </w:r>
      <w:r w:rsidR="00FD198D">
        <w:rPr>
          <w:lang w:bidi="he-IL"/>
        </w:rPr>
        <w:t>Saul’s</w:t>
      </w:r>
      <w:r w:rsidR="003A04EB" w:rsidRPr="001F52A8">
        <w:rPr>
          <w:lang w:bidi="he-IL"/>
        </w:rPr>
        <w:t xml:space="preserve"> household</w:t>
      </w:r>
      <w:r>
        <w:rPr>
          <w:lang w:bidi="he-IL"/>
        </w:rPr>
        <w:t xml:space="preserve"> (9:1-13)</w:t>
      </w:r>
      <w:r w:rsidR="003A04EB" w:rsidRPr="001F52A8">
        <w:rPr>
          <w:lang w:bidi="he-IL"/>
        </w:rPr>
        <w:t xml:space="preserve">. One could, as usual, ask whether politics lies behind David’s question and behind the action he goes on to take. </w:t>
      </w:r>
      <w:r w:rsidR="002846A2" w:rsidRPr="001F52A8">
        <w:rPr>
          <w:lang w:bidi="he-IL"/>
        </w:rPr>
        <w:t>If so, w</w:t>
      </w:r>
      <w:r w:rsidR="002846A2" w:rsidRPr="001F52A8">
        <w:rPr>
          <w:rFonts w:cstheme="minorHAnsi"/>
          <w:lang w:bidi="he-IL"/>
        </w:rPr>
        <w:t xml:space="preserve">hat follows suggests </w:t>
      </w:r>
      <w:r>
        <w:rPr>
          <w:rFonts w:cstheme="minorHAnsi"/>
          <w:lang w:bidi="he-IL"/>
        </w:rPr>
        <w:t>it might be</w:t>
      </w:r>
      <w:r w:rsidR="002846A2" w:rsidRPr="001F52A8">
        <w:rPr>
          <w:rFonts w:cstheme="minorHAnsi"/>
          <w:lang w:bidi="he-IL"/>
        </w:rPr>
        <w:t xml:space="preserve"> possible for “</w:t>
      </w:r>
      <w:r w:rsidR="002846A2" w:rsidRPr="001F52A8">
        <w:rPr>
          <w:rFonts w:cstheme="minorHAnsi"/>
          <w:color w:val="222222"/>
        </w:rPr>
        <w:t>compassion to co-exist with political expediency.”</w:t>
      </w:r>
      <w:r w:rsidR="002846A2" w:rsidRPr="001F52A8">
        <w:rPr>
          <w:rStyle w:val="FootnoteReference"/>
          <w:rFonts w:cstheme="minorHAnsi"/>
          <w:color w:val="222222"/>
        </w:rPr>
        <w:footnoteReference w:id="335"/>
      </w:r>
      <w:r w:rsidR="00FD198D">
        <w:rPr>
          <w:rFonts w:cstheme="minorHAnsi"/>
          <w:color w:val="222222"/>
        </w:rPr>
        <w:t xml:space="preserve"> </w:t>
      </w:r>
      <w:r w:rsidR="002846A2" w:rsidRPr="001F52A8">
        <w:rPr>
          <w:lang w:bidi="he-IL"/>
        </w:rPr>
        <w:t>David</w:t>
      </w:r>
      <w:r w:rsidR="003A04EB" w:rsidRPr="001F52A8">
        <w:rPr>
          <w:lang w:bidi="he-IL"/>
        </w:rPr>
        <w:t xml:space="preserve"> asks whether there is anyone to whom for Jonathan’s sake he should show commitment. The word (</w:t>
      </w:r>
      <w:r w:rsidR="003A04EB" w:rsidRPr="001F52A8">
        <w:rPr>
          <w:rFonts w:cstheme="minorHAnsi"/>
          <w:i/>
          <w:iCs/>
          <w:lang w:bidi="he-IL"/>
        </w:rPr>
        <w:t>ḥ</w:t>
      </w:r>
      <w:r w:rsidR="003A04EB" w:rsidRPr="001F52A8">
        <w:rPr>
          <w:i/>
          <w:iCs/>
          <w:lang w:bidi="he-IL"/>
        </w:rPr>
        <w:t>esed</w:t>
      </w:r>
      <w:r w:rsidR="003A04EB" w:rsidRPr="001F52A8">
        <w:rPr>
          <w:lang w:bidi="he-IL"/>
        </w:rPr>
        <w:t xml:space="preserve">) combines the implications of </w:t>
      </w:r>
      <w:r w:rsidR="00E13A14" w:rsidRPr="001F52A8">
        <w:rPr>
          <w:lang w:bidi="he-IL"/>
        </w:rPr>
        <w:t xml:space="preserve">love and loyalty, of </w:t>
      </w:r>
      <w:r w:rsidR="003A04EB" w:rsidRPr="001F52A8">
        <w:rPr>
          <w:lang w:bidi="he-IL"/>
        </w:rPr>
        <w:t xml:space="preserve">grace and faithfulness. Like grace, it suggests a generosity or willingness or dedication that emerges from the heart of the person who shows it rather than </w:t>
      </w:r>
      <w:r w:rsidR="00E13A14" w:rsidRPr="001F52A8">
        <w:rPr>
          <w:lang w:bidi="he-IL"/>
        </w:rPr>
        <w:t>from</w:t>
      </w:r>
      <w:r w:rsidR="003A04EB" w:rsidRPr="001F52A8">
        <w:rPr>
          <w:lang w:bidi="he-IL"/>
        </w:rPr>
        <w:t xml:space="preserve"> the deserve of the person </w:t>
      </w:r>
      <w:r w:rsidR="00E13A14" w:rsidRPr="001F52A8">
        <w:rPr>
          <w:lang w:bidi="he-IL"/>
        </w:rPr>
        <w:t xml:space="preserve">who receives it. And like faithfulness, it suggests an unwavering steadfastness and consistency, one that persists even if the other person forfeits any right to it. The word </w:t>
      </w:r>
      <w:r w:rsidR="003A04EB" w:rsidRPr="001F52A8">
        <w:rPr>
          <w:rFonts w:cstheme="minorHAnsi"/>
          <w:color w:val="222222"/>
        </w:rPr>
        <w:t>comes more in Samuel than any other book in the First Testament apart from Psalms</w:t>
      </w:r>
      <w:r w:rsidR="00E13A14" w:rsidRPr="001F52A8">
        <w:rPr>
          <w:rFonts w:cstheme="minorHAnsi"/>
          <w:color w:val="222222"/>
        </w:rPr>
        <w:t>, and it</w:t>
      </w:r>
      <w:r w:rsidR="003A04EB" w:rsidRPr="001F52A8">
        <w:rPr>
          <w:rFonts w:cstheme="minorHAnsi"/>
          <w:color w:val="222222"/>
        </w:rPr>
        <w:t xml:space="preserve"> comes three times in </w:t>
      </w:r>
      <w:r w:rsidR="00FD198D">
        <w:rPr>
          <w:rFonts w:cstheme="minorHAnsi"/>
          <w:color w:val="222222"/>
        </w:rPr>
        <w:t>9:1-13</w:t>
      </w:r>
      <w:r w:rsidR="00E13A14" w:rsidRPr="001F52A8">
        <w:rPr>
          <w:rFonts w:cstheme="minorHAnsi"/>
          <w:color w:val="222222"/>
        </w:rPr>
        <w:t>. I</w:t>
      </w:r>
      <w:r w:rsidR="003A04EB" w:rsidRPr="001F52A8">
        <w:rPr>
          <w:rFonts w:cstheme="minorHAnsi"/>
          <w:color w:val="222222"/>
        </w:rPr>
        <w:t>t also came three times in the story of David and Mephibosheth’s father</w:t>
      </w:r>
      <w:r w:rsidR="00E13A14" w:rsidRPr="001F52A8">
        <w:rPr>
          <w:rFonts w:cstheme="minorHAnsi"/>
          <w:color w:val="222222"/>
        </w:rPr>
        <w:t>, w</w:t>
      </w:r>
      <w:r w:rsidR="003A04EB" w:rsidRPr="001F52A8">
        <w:rPr>
          <w:rFonts w:cstheme="minorHAnsi"/>
          <w:color w:val="222222"/>
        </w:rPr>
        <w:t>he</w:t>
      </w:r>
      <w:r w:rsidR="00E13A14" w:rsidRPr="001F52A8">
        <w:rPr>
          <w:rFonts w:cstheme="minorHAnsi"/>
          <w:color w:val="222222"/>
        </w:rPr>
        <w:t xml:space="preserve">re </w:t>
      </w:r>
      <w:r w:rsidR="00BE2621" w:rsidRPr="001F52A8">
        <w:rPr>
          <w:rFonts w:cstheme="minorHAnsi"/>
          <w:color w:val="222222"/>
        </w:rPr>
        <w:t xml:space="preserve">Jonathan got </w:t>
      </w:r>
      <w:r w:rsidR="00E13A14" w:rsidRPr="001F52A8">
        <w:rPr>
          <w:rFonts w:cstheme="minorHAnsi"/>
          <w:color w:val="222222"/>
        </w:rPr>
        <w:t xml:space="preserve">David </w:t>
      </w:r>
      <w:r w:rsidR="00BE2621" w:rsidRPr="001F52A8">
        <w:rPr>
          <w:rFonts w:cstheme="minorHAnsi"/>
          <w:color w:val="222222"/>
        </w:rPr>
        <w:t xml:space="preserve">to </w:t>
      </w:r>
      <w:r w:rsidR="003A04EB" w:rsidRPr="001F52A8">
        <w:rPr>
          <w:rFonts w:cstheme="minorHAnsi"/>
          <w:color w:val="222222"/>
        </w:rPr>
        <w:t>promise</w:t>
      </w:r>
      <w:r w:rsidR="00BE2621" w:rsidRPr="001F52A8">
        <w:rPr>
          <w:rFonts w:cstheme="minorHAnsi"/>
          <w:color w:val="222222"/>
        </w:rPr>
        <w:t xml:space="preserve"> </w:t>
      </w:r>
      <w:r w:rsidR="00E13A14" w:rsidRPr="001F52A8">
        <w:rPr>
          <w:rFonts w:cstheme="minorHAnsi"/>
          <w:color w:val="222222"/>
        </w:rPr>
        <w:t xml:space="preserve">to </w:t>
      </w:r>
      <w:r w:rsidR="00BE2621" w:rsidRPr="001F52A8">
        <w:rPr>
          <w:rFonts w:cstheme="minorHAnsi"/>
          <w:color w:val="222222"/>
        </w:rPr>
        <w:t>maintain a</w:t>
      </w:r>
      <w:r w:rsidR="00E13A14" w:rsidRPr="001F52A8">
        <w:rPr>
          <w:rFonts w:cstheme="minorHAnsi"/>
          <w:color w:val="222222"/>
        </w:rPr>
        <w:t xml:space="preserve"> commitment to Jonathan’s household, even if Jonathan</w:t>
      </w:r>
      <w:r w:rsidR="00ED4F7B">
        <w:rPr>
          <w:rFonts w:cstheme="minorHAnsi"/>
          <w:color w:val="222222"/>
        </w:rPr>
        <w:t xml:space="preserve"> </w:t>
      </w:r>
      <w:r w:rsidR="00E13A14" w:rsidRPr="001F52A8">
        <w:rPr>
          <w:rFonts w:cstheme="minorHAnsi"/>
          <w:color w:val="222222"/>
        </w:rPr>
        <w:t xml:space="preserve">were dead and even if Yahweh had wiped out all David’s enemies </w:t>
      </w:r>
      <w:r w:rsidR="00BE2621" w:rsidRPr="001F52A8">
        <w:rPr>
          <w:rFonts w:cstheme="minorHAnsi"/>
          <w:color w:val="222222"/>
        </w:rPr>
        <w:t xml:space="preserve">and therefore David no longer needed to keep his commitments </w:t>
      </w:r>
      <w:r w:rsidR="00E13A14" w:rsidRPr="001F52A8">
        <w:rPr>
          <w:rFonts w:cstheme="minorHAnsi"/>
          <w:color w:val="222222"/>
        </w:rPr>
        <w:t>(</w:t>
      </w:r>
      <w:r w:rsidR="00FD198D">
        <w:rPr>
          <w:rFonts w:cstheme="minorHAnsi"/>
          <w:color w:val="222222"/>
        </w:rPr>
        <w:t xml:space="preserve">1 Sam </w:t>
      </w:r>
      <w:r w:rsidR="00E13A14" w:rsidRPr="001F52A8">
        <w:rPr>
          <w:rFonts w:cstheme="minorHAnsi"/>
          <w:color w:val="222222"/>
        </w:rPr>
        <w:t>20:</w:t>
      </w:r>
      <w:r w:rsidR="00BE2621" w:rsidRPr="001F52A8">
        <w:rPr>
          <w:rFonts w:cstheme="minorHAnsi"/>
          <w:color w:val="222222"/>
        </w:rPr>
        <w:t xml:space="preserve">14-17). </w:t>
      </w:r>
    </w:p>
    <w:p w14:paraId="7DB8A7B8" w14:textId="08F82065" w:rsidR="00623DCE" w:rsidRPr="001F52A8" w:rsidRDefault="00BE2621" w:rsidP="005C550E">
      <w:pPr>
        <w:rPr>
          <w:rFonts w:cstheme="minorHAnsi"/>
          <w:color w:val="222222"/>
        </w:rPr>
      </w:pPr>
      <w:r w:rsidRPr="001F52A8">
        <w:rPr>
          <w:rFonts w:cstheme="minorHAnsi"/>
          <w:color w:val="222222"/>
        </w:rPr>
        <w:t>David now let</w:t>
      </w:r>
      <w:r w:rsidR="000E71E9">
        <w:rPr>
          <w:rFonts w:cstheme="minorHAnsi"/>
          <w:color w:val="222222"/>
        </w:rPr>
        <w:t>s</w:t>
      </w:r>
      <w:r w:rsidRPr="001F52A8">
        <w:rPr>
          <w:rFonts w:cstheme="minorHAnsi"/>
          <w:color w:val="222222"/>
        </w:rPr>
        <w:t xml:space="preserve"> Jonathan cash his check</w:t>
      </w:r>
      <w:r w:rsidR="002846A2" w:rsidRPr="001F52A8">
        <w:rPr>
          <w:rFonts w:cstheme="minorHAnsi"/>
          <w:color w:val="222222"/>
        </w:rPr>
        <w:t xml:space="preserve"> post mortem</w:t>
      </w:r>
      <w:r w:rsidRPr="001F52A8">
        <w:rPr>
          <w:rFonts w:cstheme="minorHAnsi"/>
          <w:color w:val="222222"/>
        </w:rPr>
        <w:t>.</w:t>
      </w:r>
      <w:r w:rsidR="00E13A14" w:rsidRPr="001F52A8">
        <w:rPr>
          <w:rFonts w:cstheme="minorHAnsi"/>
          <w:color w:val="222222"/>
        </w:rPr>
        <w:t xml:space="preserve"> </w:t>
      </w:r>
      <w:r w:rsidRPr="001F52A8">
        <w:rPr>
          <w:rFonts w:cstheme="minorHAnsi"/>
          <w:color w:val="222222"/>
        </w:rPr>
        <w:t>He summons Mephibosheth from the place where he is staying, across the Jordan. Mephibosheth bows right down, which might be difficult, and calls himself not only David’s servant</w:t>
      </w:r>
      <w:r w:rsidR="002846A2" w:rsidRPr="001F52A8">
        <w:rPr>
          <w:rFonts w:cstheme="minorHAnsi"/>
          <w:color w:val="222222"/>
        </w:rPr>
        <w:t xml:space="preserve"> but a dead dog. He will know that anyone associated with his father tends to end up deceased. But David passes on Saul’s assets to Mephibosheth via a surviving member of Saul’s staff, Ziba, while insisting that Mephibosheth should eat at David’s table in Jerusalem. The last line in the chapter notes again that he was disabled;</w:t>
      </w:r>
      <w:r w:rsidR="005C550E" w:rsidRPr="001F52A8">
        <w:rPr>
          <w:rFonts w:cstheme="minorHAnsi"/>
          <w:color w:val="222222"/>
        </w:rPr>
        <w:t xml:space="preserve"> 5:8 “echoes in the background</w:t>
      </w:r>
      <w:r w:rsidR="00641918" w:rsidRPr="001F52A8">
        <w:rPr>
          <w:rFonts w:cstheme="minorHAnsi"/>
          <w:color w:val="222222"/>
        </w:rPr>
        <w:t>.</w:t>
      </w:r>
      <w:r w:rsidR="005C550E" w:rsidRPr="001F52A8">
        <w:rPr>
          <w:rFonts w:cstheme="minorHAnsi"/>
          <w:color w:val="222222"/>
        </w:rPr>
        <w:t>”</w:t>
      </w:r>
      <w:r w:rsidR="005C550E" w:rsidRPr="001F52A8">
        <w:rPr>
          <w:rStyle w:val="FootnoteReference"/>
          <w:rFonts w:cstheme="minorHAnsi"/>
          <w:color w:val="222222"/>
        </w:rPr>
        <w:footnoteReference w:id="336"/>
      </w:r>
      <w:r w:rsidR="00641918" w:rsidRPr="001F52A8">
        <w:rPr>
          <w:rFonts w:cstheme="minorHAnsi"/>
          <w:color w:val="222222"/>
        </w:rPr>
        <w:t xml:space="preserve"> W</w:t>
      </w:r>
      <w:r w:rsidR="00623DCE" w:rsidRPr="001F52A8">
        <w:rPr>
          <w:rFonts w:cstheme="minorHAnsi"/>
          <w:color w:val="222222"/>
        </w:rPr>
        <w:t xml:space="preserve">hatever those puzzling phrases meant, they do not </w:t>
      </w:r>
      <w:r w:rsidR="00641918" w:rsidRPr="001F52A8">
        <w:rPr>
          <w:rFonts w:cstheme="minorHAnsi"/>
          <w:color w:val="222222"/>
        </w:rPr>
        <w:t>denote</w:t>
      </w:r>
      <w:r w:rsidR="00623DCE" w:rsidRPr="001F52A8">
        <w:rPr>
          <w:rFonts w:cstheme="minorHAnsi"/>
          <w:color w:val="222222"/>
        </w:rPr>
        <w:t xml:space="preserve"> that David dismisses a disabled person or that a disabled person dismisses David or that a disabled person cannot come into the house.</w:t>
      </w:r>
      <w:r w:rsidR="00641918" w:rsidRPr="001F52A8">
        <w:rPr>
          <w:rFonts w:cstheme="minorHAnsi"/>
          <w:color w:val="222222"/>
        </w:rPr>
        <w:t xml:space="preserve"> (</w:t>
      </w:r>
      <w:r w:rsidR="00FD198D">
        <w:rPr>
          <w:rFonts w:cstheme="minorHAnsi"/>
          <w:color w:val="222222"/>
        </w:rPr>
        <w:t>T</w:t>
      </w:r>
      <w:r w:rsidR="00641918" w:rsidRPr="001F52A8">
        <w:rPr>
          <w:rFonts w:cstheme="minorHAnsi"/>
          <w:color w:val="222222"/>
        </w:rPr>
        <w:t>here will be some more foreground in 2 Sam 16 and 19).</w:t>
      </w:r>
    </w:p>
    <w:p w14:paraId="3D8A0853" w14:textId="77777777" w:rsidR="004E5C96" w:rsidRPr="001F52A8" w:rsidRDefault="004E5C96" w:rsidP="004E5C96">
      <w:pPr>
        <w:pStyle w:val="Heading2"/>
        <w:rPr>
          <w:lang w:bidi="he-IL"/>
        </w:rPr>
      </w:pPr>
      <w:r w:rsidRPr="001F52A8">
        <w:rPr>
          <w:lang w:bidi="he-IL"/>
        </w:rPr>
        <w:t>Dynasty: David’s Promise and Prayer</w:t>
      </w:r>
    </w:p>
    <w:p w14:paraId="60F6A00E" w14:textId="16203750" w:rsidR="00FD198D" w:rsidRDefault="00FD198D" w:rsidP="004E5C96">
      <w:pPr>
        <w:rPr>
          <w:lang w:bidi="he-IL"/>
        </w:rPr>
      </w:pPr>
      <w:r>
        <w:rPr>
          <w:lang w:bidi="he-IL"/>
        </w:rPr>
        <w:t>Meanwhile, Yahweh has spoken of David’s house(hold) in another connection.</w:t>
      </w:r>
    </w:p>
    <w:p w14:paraId="6732BB6A" w14:textId="77777777" w:rsidR="004E5C96" w:rsidRPr="001F52A8" w:rsidRDefault="004E5C96" w:rsidP="004E5C96">
      <w:pPr>
        <w:rPr>
          <w:lang w:bidi="he-IL"/>
        </w:rPr>
      </w:pPr>
    </w:p>
    <w:p w14:paraId="204CC8DF" w14:textId="17F6C2C3" w:rsidR="004E5C96" w:rsidRPr="001F52A8" w:rsidRDefault="004E5C96" w:rsidP="004E5C96">
      <w:pPr>
        <w:pStyle w:val="Quote"/>
      </w:pPr>
      <w:r w:rsidRPr="001F52A8">
        <w:t>Yahweh will make a house(hold) for you. When your days are full and you lie down with your ancestors, I shall set up your offspring after you, who will come out from inside you, and I shall establish his kingship</w:t>
      </w:r>
      <w:r w:rsidR="00DA735D">
        <w:t>. He is the one who will build a house for my name.</w:t>
      </w:r>
      <w:r w:rsidRPr="001F52A8">
        <w:t xml:space="preserve"> I will establish his royal throne </w:t>
      </w:r>
      <w:r w:rsidR="004F125D">
        <w:t>for all time</w:t>
      </w:r>
      <w:r w:rsidRPr="001F52A8">
        <w:t xml:space="preserve">. I myself will become a father to him and he will become a son to me. When he goes wrong, I will reprove him with a club in the hand of human beings, with the blows of human hands, but my commitment will not depart from him as I removed it from Saul, whom I removed from before you. Your household and your kingship will be trustworthy before you </w:t>
      </w:r>
      <w:r w:rsidR="00C6046F">
        <w:t>for all time</w:t>
      </w:r>
      <w:r w:rsidRPr="001F52A8">
        <w:t xml:space="preserve">. Your throne will be established </w:t>
      </w:r>
      <w:r w:rsidR="00C6046F">
        <w:t>for all time</w:t>
      </w:r>
      <w:r w:rsidRPr="001F52A8">
        <w:t>. (7:11-16)</w:t>
      </w:r>
    </w:p>
    <w:p w14:paraId="3CC2D40D" w14:textId="77777777" w:rsidR="004E5C96" w:rsidRPr="001F52A8" w:rsidRDefault="004E5C96" w:rsidP="004E5C96">
      <w:pPr>
        <w:rPr>
          <w:lang w:bidi="he-IL"/>
        </w:rPr>
      </w:pPr>
    </w:p>
    <w:p w14:paraId="194DC3AD" w14:textId="7AF31E43" w:rsidR="004E5C96" w:rsidRPr="001F52A8" w:rsidRDefault="004E5C96" w:rsidP="004E5C96">
      <w:pPr>
        <w:rPr>
          <w:lang w:bidi="he-IL"/>
        </w:rPr>
      </w:pPr>
      <w:r w:rsidRPr="001F52A8">
        <w:rPr>
          <w:lang w:bidi="he-IL"/>
        </w:rPr>
        <w:t>Britain has the “the House of Windsor,” Spain has “the House of Borb</w:t>
      </w:r>
      <w:r w:rsidRPr="001F52A8">
        <w:rPr>
          <w:rFonts w:cstheme="minorHAnsi"/>
          <w:lang w:bidi="he-IL"/>
        </w:rPr>
        <w:t>ó</w:t>
      </w:r>
      <w:r w:rsidRPr="001F52A8">
        <w:rPr>
          <w:lang w:bidi="he-IL"/>
        </w:rPr>
        <w:t>n,” the Netherlands has “the House of Orange-Nassau.” A “house” is a dynasty. Dynastic monarchy was a regular feature of Middle Eastern states, and Saul had thus once expected that Jonathan would succeed him; Abner had then presumed that Ish-bosheth should do so. David had not assumed that it would be th</w:t>
      </w:r>
      <w:r w:rsidR="00FD198D">
        <w:rPr>
          <w:lang w:bidi="he-IL"/>
        </w:rPr>
        <w:t>at</w:t>
      </w:r>
      <w:r w:rsidRPr="001F52A8">
        <w:rPr>
          <w:lang w:bidi="he-IL"/>
        </w:rPr>
        <w:t xml:space="preserve"> way in Israel. He knew that Yahweh had designated him as king, even though he had no direct familial links with Saul</w:t>
      </w:r>
      <w:r w:rsidR="00910D25">
        <w:rPr>
          <w:lang w:bidi="he-IL"/>
        </w:rPr>
        <w:t>. H</w:t>
      </w:r>
      <w:r w:rsidRPr="001F52A8">
        <w:rPr>
          <w:lang w:bidi="he-IL"/>
        </w:rPr>
        <w:t>e almost gain</w:t>
      </w:r>
      <w:r w:rsidR="00910D25">
        <w:rPr>
          <w:lang w:bidi="he-IL"/>
        </w:rPr>
        <w:t>ed</w:t>
      </w:r>
      <w:r w:rsidRPr="001F52A8">
        <w:rPr>
          <w:lang w:bidi="he-IL"/>
        </w:rPr>
        <w:t xml:space="preserve"> a link through a marriage to Merab and temporarily gained one through a marriage to Michal, which might have helped politically insofar as people made that dynastic assumption. Here Yahweh declares that he will make a household for </w:t>
      </w:r>
      <w:r w:rsidR="00910D25">
        <w:rPr>
          <w:lang w:bidi="he-IL"/>
        </w:rPr>
        <w:t>David</w:t>
      </w:r>
      <w:r w:rsidRPr="001F52A8">
        <w:rPr>
          <w:lang w:bidi="he-IL"/>
        </w:rPr>
        <w:t xml:space="preserve">. It’s an odd promise in a way, in that David already has a substantial household, but here the word “house” suggests “dynasty.” </w:t>
      </w:r>
    </w:p>
    <w:p w14:paraId="089767CF" w14:textId="53570C85" w:rsidR="00910D25" w:rsidRDefault="004E5C96" w:rsidP="004E5C96">
      <w:pPr>
        <w:rPr>
          <w:lang w:bidi="he-IL"/>
        </w:rPr>
      </w:pPr>
      <w:r w:rsidRPr="001F52A8">
        <w:rPr>
          <w:lang w:bidi="he-IL"/>
        </w:rPr>
        <w:t xml:space="preserve">Yahweh will set up his offspring, his physical son: that is, establish him in a position of authority. </w:t>
      </w:r>
      <w:r w:rsidR="00910D25">
        <w:rPr>
          <w:lang w:bidi="he-IL"/>
        </w:rPr>
        <w:t xml:space="preserve">Initially </w:t>
      </w:r>
      <w:r w:rsidRPr="001F52A8">
        <w:rPr>
          <w:lang w:bidi="he-IL"/>
        </w:rPr>
        <w:t>Yahweh</w:t>
      </w:r>
      <w:r w:rsidR="00910D25">
        <w:rPr>
          <w:lang w:bidi="he-IL"/>
        </w:rPr>
        <w:t>’s words</w:t>
      </w:r>
      <w:r w:rsidRPr="001F52A8">
        <w:rPr>
          <w:lang w:bidi="he-IL"/>
        </w:rPr>
        <w:t xml:space="preserve"> simply suggest a reference</w:t>
      </w:r>
      <w:r w:rsidR="00ED4F7B">
        <w:rPr>
          <w:lang w:bidi="he-IL"/>
        </w:rPr>
        <w:t xml:space="preserve"> </w:t>
      </w:r>
      <w:r w:rsidRPr="001F52A8">
        <w:rPr>
          <w:lang w:bidi="he-IL"/>
        </w:rPr>
        <w:t>to David’s own successor, who we know was Solomon</w:t>
      </w:r>
      <w:r w:rsidR="00910D25">
        <w:rPr>
          <w:lang w:bidi="he-IL"/>
        </w:rPr>
        <w:t>, who</w:t>
      </w:r>
      <w:r w:rsidRPr="001F52A8">
        <w:rPr>
          <w:lang w:bidi="he-IL"/>
        </w:rPr>
        <w:t xml:space="preserve"> w</w:t>
      </w:r>
      <w:r w:rsidR="00910D25">
        <w:rPr>
          <w:lang w:bidi="he-IL"/>
        </w:rPr>
        <w:t>ould</w:t>
      </w:r>
      <w:r w:rsidRPr="001F52A8">
        <w:rPr>
          <w:lang w:bidi="he-IL"/>
        </w:rPr>
        <w:t xml:space="preserve"> already king by the time the earliest version of this promise was put into writing</w:t>
      </w:r>
      <w:r w:rsidR="00EB7A43">
        <w:rPr>
          <w:lang w:bidi="he-IL"/>
        </w:rPr>
        <w:t>;</w:t>
      </w:r>
      <w:r w:rsidRPr="001F52A8">
        <w:rPr>
          <w:lang w:bidi="he-IL"/>
        </w:rPr>
        <w:t xml:space="preserve"> maybe his time was already past. </w:t>
      </w:r>
      <w:r w:rsidR="00910D25">
        <w:rPr>
          <w:lang w:bidi="he-IL"/>
        </w:rPr>
        <w:t>T</w:t>
      </w:r>
      <w:r w:rsidRPr="001F52A8">
        <w:rPr>
          <w:lang w:bidi="he-IL"/>
        </w:rPr>
        <w:t xml:space="preserve">he promise that he will build the material house that David desired makes </w:t>
      </w:r>
      <w:r w:rsidR="00910D25">
        <w:rPr>
          <w:lang w:bidi="he-IL"/>
        </w:rPr>
        <w:t xml:space="preserve">further </w:t>
      </w:r>
      <w:r w:rsidRPr="001F52A8">
        <w:rPr>
          <w:lang w:bidi="he-IL"/>
        </w:rPr>
        <w:t>clear that Solomon brings th</w:t>
      </w:r>
      <w:r w:rsidR="00910D25">
        <w:rPr>
          <w:lang w:bidi="he-IL"/>
        </w:rPr>
        <w:t>is promise’s</w:t>
      </w:r>
      <w:r w:rsidRPr="001F52A8">
        <w:rPr>
          <w:lang w:bidi="he-IL"/>
        </w:rPr>
        <w:t xml:space="preserve"> fulfilment. </w:t>
      </w:r>
    </w:p>
    <w:p w14:paraId="7B0878BD" w14:textId="40E61EDE" w:rsidR="004E5C96" w:rsidRPr="001F52A8" w:rsidRDefault="004E5C96" w:rsidP="004E5C96">
      <w:pPr>
        <w:rPr>
          <w:lang w:bidi="he-IL"/>
        </w:rPr>
      </w:pPr>
      <w:r w:rsidRPr="001F52A8">
        <w:rPr>
          <w:lang w:bidi="he-IL"/>
        </w:rPr>
        <w:t xml:space="preserve">The promise is further that this successor will have a son-father relationship with Yahweh. Only occasionally does the First Testament speak of Yahweh as father and never of an ordinary individual as his son, though it does assume that Yahweh relates to Israelites in the manner of a father who has compassion for his children (Ps 103:13) and it expresses regret that people did not call on Yahweh as father (Jer 3:19). The implication is not that the Israelites </w:t>
      </w:r>
      <w:r w:rsidR="00910D25">
        <w:rPr>
          <w:lang w:bidi="he-IL"/>
        </w:rPr>
        <w:t>could not</w:t>
      </w:r>
      <w:r w:rsidRPr="001F52A8">
        <w:rPr>
          <w:lang w:bidi="he-IL"/>
        </w:rPr>
        <w:t xml:space="preserve"> relate to Yahweh with the confidence of children relating to their father; the Psalms make clear that they were freer in their relationship with Yahweh than Christians may be in relation to their earthly father or their heavenly father. But the First Testament doesn’t use that image to convey this reality.</w:t>
      </w:r>
      <w:r w:rsidR="00910D25">
        <w:rPr>
          <w:lang w:bidi="he-IL"/>
        </w:rPr>
        <w:t xml:space="preserve"> </w:t>
      </w:r>
      <w:r w:rsidRPr="001F52A8">
        <w:rPr>
          <w:lang w:bidi="he-IL"/>
        </w:rPr>
        <w:t xml:space="preserve">It does speak of a father-son relationship between Yahweh and the king, in passages where the point is that a son is heir to his father’s beneficence (Ps 2:7-8; 89:26-27 [27-28]), which might be part of the point in 2 Sam 6:12-14. </w:t>
      </w:r>
      <w:r w:rsidR="00DA735D">
        <w:rPr>
          <w:lang w:bidi="he-IL"/>
        </w:rPr>
        <w:t>M</w:t>
      </w:r>
      <w:r w:rsidRPr="001F52A8">
        <w:rPr>
          <w:lang w:bidi="he-IL"/>
        </w:rPr>
        <w:t>ore explicit is the link between fatherhood and chastisement,</w:t>
      </w:r>
      <w:r w:rsidRPr="001F52A8">
        <w:rPr>
          <w:rStyle w:val="FootnoteReference"/>
          <w:lang w:bidi="he-IL"/>
        </w:rPr>
        <w:footnoteReference w:id="337"/>
      </w:r>
      <w:r w:rsidRPr="001F52A8">
        <w:rPr>
          <w:lang w:bidi="he-IL"/>
        </w:rPr>
        <w:t xml:space="preserve"> a significant feature of references to fathers and sons in Proverbs. Fathers discipline their children. Fatherhood denotes authority and sonship denotes obedience (e.g., Matt 21:28-31). Yahweh’s promise, then, is that he will discipline this son, but he will not cast him off. He will be like the prodigal father (Luke 15:11-32).</w:t>
      </w:r>
    </w:p>
    <w:p w14:paraId="0F0CEB8A" w14:textId="627FDE8B" w:rsidR="004E5C96" w:rsidRPr="00910D25" w:rsidRDefault="004E5C96" w:rsidP="00910D25">
      <w:pPr>
        <w:rPr>
          <w:rFonts w:cstheme="minorHAnsi"/>
        </w:rPr>
      </w:pPr>
      <w:r w:rsidRPr="001F52A8">
        <w:rPr>
          <w:lang w:bidi="he-IL"/>
        </w:rPr>
        <w:t xml:space="preserve">In </w:t>
      </w:r>
      <w:r w:rsidRPr="001F52A8">
        <w:rPr>
          <w:rFonts w:ascii="Calibri" w:hAnsi="Calibri" w:cs="Calibri"/>
          <w:color w:val="222222"/>
        </w:rPr>
        <w:t>light of the observation in Heb 1:5 that God never said to an angel, “I will be his Father and he will be my Son,” Martin Luther declares that this promise in 2 Sam 7:14 refers to “Christ alone.”</w:t>
      </w:r>
      <w:r w:rsidRPr="001F52A8">
        <w:rPr>
          <w:rStyle w:val="FootnoteReference"/>
          <w:rFonts w:ascii="Calibri" w:hAnsi="Calibri" w:cs="Calibri"/>
          <w:color w:val="222222"/>
        </w:rPr>
        <w:footnoteReference w:id="338"/>
      </w:r>
      <w:r w:rsidRPr="001F52A8">
        <w:rPr>
          <w:rFonts w:ascii="Calibri" w:hAnsi="Calibri" w:cs="Calibri"/>
          <w:color w:val="222222"/>
        </w:rPr>
        <w:t xml:space="preserve"> Tertullian comments, </w:t>
      </w:r>
      <w:r w:rsidRPr="001F52A8">
        <w:rPr>
          <w:rFonts w:cstheme="minorHAnsi"/>
        </w:rPr>
        <w:t>“if you explain this simply of Solomon, you will send me into a fit of laughter,” apparently because it makes David sound like a woman giving birth,</w:t>
      </w:r>
      <w:r w:rsidRPr="001F52A8">
        <w:rPr>
          <w:rStyle w:val="FootnoteReference"/>
          <w:rFonts w:cstheme="minorHAnsi"/>
        </w:rPr>
        <w:footnoteReference w:id="339"/>
      </w:r>
      <w:r w:rsidRPr="001F52A8">
        <w:rPr>
          <w:rFonts w:cstheme="minorHAnsi"/>
        </w:rPr>
        <w:t xml:space="preserve"> though David uses the same language of Absalom as his son (16:11). Actually Heb 1:5 doesn’t quite say that 2 Sam 7:14a is a prophecy of which Jesus is the fulfillment, and the New Testament nowhere else refers to the passage</w:t>
      </w:r>
      <w:r w:rsidR="00DA735D">
        <w:rPr>
          <w:rFonts w:cstheme="minorHAnsi"/>
        </w:rPr>
        <w:t>. I</w:t>
      </w:r>
      <w:r w:rsidRPr="001F52A8">
        <w:rPr>
          <w:rFonts w:cstheme="minorHAnsi"/>
        </w:rPr>
        <w:t xml:space="preserve">f it did, </w:t>
      </w:r>
      <w:r w:rsidRPr="001F52A8">
        <w:rPr>
          <w:rFonts w:ascii="Calibri" w:hAnsi="Calibri" w:cs="Calibri"/>
          <w:color w:val="222222"/>
        </w:rPr>
        <w:t xml:space="preserve">Menno Simons has the better of the argument </w:t>
      </w:r>
      <w:r w:rsidR="00910D25">
        <w:rPr>
          <w:rFonts w:ascii="Calibri" w:hAnsi="Calibri" w:cs="Calibri"/>
          <w:color w:val="222222"/>
        </w:rPr>
        <w:t>in</w:t>
      </w:r>
      <w:r w:rsidRPr="001F52A8">
        <w:rPr>
          <w:rFonts w:ascii="Calibri" w:hAnsi="Calibri" w:cs="Calibri"/>
          <w:color w:val="222222"/>
        </w:rPr>
        <w:t xml:space="preserve"> not</w:t>
      </w:r>
      <w:r w:rsidR="00910D25">
        <w:rPr>
          <w:rFonts w:ascii="Calibri" w:hAnsi="Calibri" w:cs="Calibri"/>
          <w:color w:val="222222"/>
        </w:rPr>
        <w:t>ing</w:t>
      </w:r>
      <w:r w:rsidRPr="001F52A8">
        <w:rPr>
          <w:rFonts w:ascii="Calibri" w:hAnsi="Calibri" w:cs="Calibri"/>
          <w:color w:val="222222"/>
        </w:rPr>
        <w:t xml:space="preserve"> that the whole promise cannot refer to Jesus, because it envisages sin on the part of David’s son. Further, </w:t>
      </w:r>
      <w:r w:rsidRPr="001F52A8">
        <w:rPr>
          <w:rFonts w:ascii="Calibri" w:hAnsi="Calibri" w:cs="Calibri"/>
          <w:color w:val="000000"/>
        </w:rPr>
        <w:t xml:space="preserve">“that this is spoken of Solomon literally, he himself testifies in plain words. (I Kings 3:6; 8:20). Solomon, without doubt, represented in </w:t>
      </w:r>
      <w:r w:rsidRPr="001F52A8">
        <w:rPr>
          <w:rFonts w:ascii="Calibri" w:hAnsi="Calibri" w:cs="Calibri"/>
          <w:color w:val="000000"/>
        </w:rPr>
        <w:lastRenderedPageBreak/>
        <w:t>figure Christ Jesus, as in His glory, wisdom, building of the temple, etc. You see, very dear sirs, we should not take the letter for the spirit, and the spirit for the letter. But that the promise according to the Spirit had reference to Christ is incontrovertible; for this the holy prophets of God plainly show” (he refers to Isa 9:6[5]; Jer 23:5; 33:15).</w:t>
      </w:r>
      <w:r w:rsidRPr="001F52A8">
        <w:rPr>
          <w:rStyle w:val="FootnoteReference"/>
          <w:rFonts w:ascii="Calibri" w:hAnsi="Calibri" w:cs="Calibri"/>
          <w:color w:val="000000"/>
        </w:rPr>
        <w:footnoteReference w:id="340"/>
      </w:r>
    </w:p>
    <w:p w14:paraId="7DB4D0CA" w14:textId="42D61A8F" w:rsidR="004E5C96" w:rsidRPr="006522C9" w:rsidRDefault="004E5C96" w:rsidP="006522C9">
      <w:pPr>
        <w:rPr>
          <w:rFonts w:cstheme="minorHAnsi"/>
        </w:rPr>
      </w:pPr>
      <w:r w:rsidRPr="001F52A8">
        <w:rPr>
          <w:lang w:bidi="he-IL"/>
        </w:rPr>
        <w:t>The antithesis of letter and spirit doesn’t work very well, but we can begin recasting Simons’s point by noting that the framework of Yahweh’s promises is long term. They speak of a name, a “place” for Israel, of freedom from foes, and of a continuing dynasty. They use the</w:t>
      </w:r>
      <w:r w:rsidR="00C6046F">
        <w:rPr>
          <w:lang w:bidi="he-IL"/>
        </w:rPr>
        <w:t xml:space="preserve"> expression “</w:t>
      </w:r>
      <w:r w:rsidR="00C6046F">
        <w:t>for all time</w:t>
      </w:r>
      <w:r w:rsidRPr="001F52A8">
        <w:rPr>
          <w:lang w:bidi="he-IL"/>
        </w:rPr>
        <w:t>” (</w:t>
      </w:r>
      <w:r w:rsidRPr="001F52A8">
        <w:rPr>
          <w:i/>
          <w:iCs/>
          <w:lang w:bidi="he-IL"/>
        </w:rPr>
        <w:t>‘ad-‘</w:t>
      </w:r>
      <w:r w:rsidRPr="001F52A8">
        <w:rPr>
          <w:rFonts w:cstheme="minorHAnsi"/>
          <w:i/>
          <w:iCs/>
          <w:lang w:bidi="he-IL"/>
        </w:rPr>
        <w:t>ôlām</w:t>
      </w:r>
      <w:r w:rsidRPr="001F52A8">
        <w:rPr>
          <w:rFonts w:cstheme="minorHAnsi"/>
          <w:lang w:bidi="he-IL"/>
        </w:rPr>
        <w:t>) three times</w:t>
      </w:r>
      <w:r w:rsidR="006522C9">
        <w:rPr>
          <w:rFonts w:cstheme="minorHAnsi"/>
          <w:lang w:bidi="he-IL"/>
        </w:rPr>
        <w:t xml:space="preserve">; it comes </w:t>
      </w:r>
      <w:r w:rsidR="006522C9">
        <w:rPr>
          <w:rFonts w:cstheme="minorHAnsi"/>
        </w:rPr>
        <w:t>five more</w:t>
      </w:r>
      <w:r w:rsidR="006522C9" w:rsidRPr="001F52A8">
        <w:rPr>
          <w:rFonts w:cstheme="minorHAnsi"/>
        </w:rPr>
        <w:t xml:space="preserve"> times in 2 Samuel 7 (and 1 Chr 17), more times than any other chapter in the First Testament </w:t>
      </w:r>
      <w:r w:rsidR="006522C9">
        <w:rPr>
          <w:rFonts w:cstheme="minorHAnsi"/>
        </w:rPr>
        <w:t>apart from</w:t>
      </w:r>
      <w:r w:rsidR="006522C9" w:rsidRPr="001F52A8">
        <w:rPr>
          <w:rFonts w:cstheme="minorHAnsi"/>
        </w:rPr>
        <w:t xml:space="preserve"> the exceptional Psalms 119 and 136</w:t>
      </w:r>
      <w:r w:rsidRPr="001F52A8">
        <w:rPr>
          <w:rFonts w:cstheme="minorHAnsi"/>
          <w:lang w:bidi="he-IL"/>
        </w:rPr>
        <w:t xml:space="preserve">. </w:t>
      </w:r>
      <w:r w:rsidR="00910D25">
        <w:rPr>
          <w:rFonts w:cstheme="minorHAnsi"/>
          <w:lang w:bidi="he-IL"/>
        </w:rPr>
        <w:t xml:space="preserve">And </w:t>
      </w:r>
      <w:r w:rsidRPr="001F52A8">
        <w:rPr>
          <w:rFonts w:cstheme="minorHAnsi"/>
          <w:lang w:bidi="he-IL"/>
        </w:rPr>
        <w:t>Psalm 2 assumes that the father-son relationship applies to “his anointed,” to “my king,” whoever it is at any particular moment. Psalm 89 is more specific</w:t>
      </w:r>
      <w:r w:rsidR="00910D25">
        <w:rPr>
          <w:rFonts w:cstheme="minorHAnsi"/>
          <w:lang w:bidi="he-IL"/>
        </w:rPr>
        <w:t>, in</w:t>
      </w:r>
      <w:r w:rsidRPr="001F52A8">
        <w:rPr>
          <w:rFonts w:cstheme="minorHAnsi"/>
          <w:lang w:bidi="he-IL"/>
        </w:rPr>
        <w:t xml:space="preserve"> appeal</w:t>
      </w:r>
      <w:r w:rsidR="00910D25">
        <w:rPr>
          <w:rFonts w:cstheme="minorHAnsi"/>
          <w:lang w:bidi="he-IL"/>
        </w:rPr>
        <w:t>ing</w:t>
      </w:r>
      <w:r w:rsidRPr="001F52A8">
        <w:rPr>
          <w:rFonts w:cstheme="minorHAnsi"/>
          <w:lang w:bidi="he-IL"/>
        </w:rPr>
        <w:t xml:space="preserve"> to Yahweh’s pledge that he would establish </w:t>
      </w:r>
      <w:r w:rsidR="00910D25">
        <w:rPr>
          <w:rFonts w:cstheme="minorHAnsi"/>
          <w:lang w:bidi="he-IL"/>
        </w:rPr>
        <w:t>David’s</w:t>
      </w:r>
      <w:r w:rsidRPr="001F52A8">
        <w:rPr>
          <w:rFonts w:cstheme="minorHAnsi"/>
          <w:lang w:bidi="he-IL"/>
        </w:rPr>
        <w:t xml:space="preserve"> offspring </w:t>
      </w:r>
      <w:r w:rsidR="00C6046F">
        <w:t>for all time</w:t>
      </w:r>
      <w:r w:rsidRPr="001F52A8">
        <w:rPr>
          <w:rFonts w:cstheme="minorHAnsi"/>
          <w:lang w:bidi="he-IL"/>
        </w:rPr>
        <w:t xml:space="preserve"> and not let his commitment depart from his sons even though he would chastise them if they abandoned his teaching; it therefore protests that he has gone back on his pledge (</w:t>
      </w:r>
      <w:r w:rsidRPr="001F52A8">
        <w:rPr>
          <w:rFonts w:cstheme="minorHAnsi"/>
          <w:i/>
          <w:iCs/>
          <w:lang w:bidi="he-IL"/>
        </w:rPr>
        <w:t>bərît</w:t>
      </w:r>
      <w:r w:rsidRPr="001F52A8">
        <w:rPr>
          <w:rFonts w:cstheme="minorHAnsi"/>
          <w:lang w:bidi="he-IL"/>
        </w:rPr>
        <w:t>, the word that does not come in 2 Sam 6)</w:t>
      </w:r>
      <w:r w:rsidRPr="001F52A8">
        <w:rPr>
          <w:lang w:bidi="he-IL"/>
        </w:rPr>
        <w:t>.</w:t>
      </w:r>
    </w:p>
    <w:p w14:paraId="16E67184" w14:textId="7AB4C624" w:rsidR="0089442F" w:rsidRPr="001F52A8" w:rsidRDefault="0089442F" w:rsidP="0089442F">
      <w:pPr>
        <w:autoSpaceDE w:val="0"/>
        <w:autoSpaceDN w:val="0"/>
        <w:adjustRightInd w:val="0"/>
        <w:spacing w:line="240" w:lineRule="auto"/>
        <w:rPr>
          <w:rFonts w:ascii="Calibri" w:hAnsi="Calibri" w:cs="Calibri"/>
        </w:rPr>
      </w:pPr>
      <w:r w:rsidRPr="001F52A8">
        <w:rPr>
          <w:rFonts w:ascii="Calibri" w:hAnsi="Calibri" w:cs="Calibri"/>
          <w:lang w:bidi="he-IL"/>
        </w:rPr>
        <w:t xml:space="preserve">On their arrival at Sinai, Yahweh said to the Israelites, </w:t>
      </w:r>
      <w:r w:rsidRPr="001F52A8">
        <w:t xml:space="preserve">“If you really listen to my voice and keep my pledge, you will be for me personal treasure from among all the peoples” (Exod 19:5). </w:t>
      </w:r>
      <w:r>
        <w:t>I</w:t>
      </w:r>
      <w:r w:rsidRPr="001F52A8">
        <w:t>t has been suggested that Yahweh’s words to David now bring to an end the time when Yahweh’s commitment to Israel is governed by such an “if.”</w:t>
      </w:r>
      <w:r w:rsidRPr="001F52A8">
        <w:rPr>
          <w:rStyle w:val="FootnoteReference"/>
          <w:rFonts w:ascii="Calibri" w:hAnsi="Calibri" w:cs="Calibri"/>
        </w:rPr>
        <w:t xml:space="preserve"> </w:t>
      </w:r>
      <w:r w:rsidRPr="001F52A8">
        <w:rPr>
          <w:rStyle w:val="FootnoteReference"/>
          <w:rFonts w:ascii="Calibri" w:hAnsi="Calibri" w:cs="Calibri"/>
        </w:rPr>
        <w:footnoteReference w:id="341"/>
      </w:r>
      <w:r w:rsidRPr="001F52A8">
        <w:rPr>
          <w:rFonts w:ascii="Calibri" w:hAnsi="Calibri" w:cs="Calibri"/>
        </w:rPr>
        <w:t xml:space="preserve"> On this understanding, 2 Samuel 7</w:t>
      </w:r>
      <w:r w:rsidRPr="001F52A8">
        <w:rPr>
          <w:rFonts w:ascii="Calibri" w:hAnsi="Calibri" w:cs="Calibri"/>
          <w:lang w:bidi="he-IL"/>
        </w:rPr>
        <w:t xml:space="preserve"> marks a transition “from law to grace.” Up to now “God’s relationship with Israel . . .</w:t>
      </w:r>
      <w:r w:rsidR="00ED4F7B">
        <w:rPr>
          <w:rFonts w:ascii="Calibri" w:hAnsi="Calibri" w:cs="Calibri"/>
          <w:lang w:bidi="he-IL"/>
        </w:rPr>
        <w:t xml:space="preserve"> </w:t>
      </w:r>
      <w:r w:rsidRPr="001F52A8">
        <w:rPr>
          <w:rFonts w:ascii="Calibri" w:hAnsi="Calibri" w:cs="Calibri"/>
        </w:rPr>
        <w:t xml:space="preserve">was a </w:t>
      </w:r>
      <w:r w:rsidRPr="001F52A8">
        <w:rPr>
          <w:rFonts w:ascii="Calibri" w:hAnsi="Calibri" w:cs="Calibri"/>
          <w:i/>
          <w:iCs/>
        </w:rPr>
        <w:t xml:space="preserve">conditional </w:t>
      </w:r>
      <w:r w:rsidRPr="001F52A8">
        <w:rPr>
          <w:rFonts w:ascii="Calibri" w:hAnsi="Calibri" w:cs="Calibri"/>
        </w:rPr>
        <w:t>relationship in which God was faithful, but his blessings were dependent on Israel’s obedience.”</w:t>
      </w:r>
      <w:r w:rsidRPr="001F52A8">
        <w:rPr>
          <w:rStyle w:val="FootnoteReference"/>
          <w:rFonts w:ascii="Calibri" w:hAnsi="Calibri" w:cs="Calibri"/>
          <w:lang w:bidi="he-IL"/>
        </w:rPr>
        <w:footnoteReference w:id="342"/>
      </w:r>
      <w:r w:rsidRPr="001F52A8">
        <w:rPr>
          <w:rFonts w:ascii="Calibri" w:hAnsi="Calibri" w:cs="Calibri"/>
        </w:rPr>
        <w:t xml:space="preserve"> Here Yahweh makes “an </w:t>
      </w:r>
      <w:r w:rsidRPr="001F52A8">
        <w:rPr>
          <w:rFonts w:ascii="Calibri" w:hAnsi="Calibri" w:cs="Calibri"/>
          <w:i/>
          <w:iCs/>
        </w:rPr>
        <w:t xml:space="preserve">unconditional </w:t>
      </w:r>
      <w:r w:rsidRPr="001F52A8">
        <w:rPr>
          <w:rFonts w:ascii="Calibri" w:hAnsi="Calibri" w:cs="Calibri"/>
        </w:rPr>
        <w:t>promise of undeserved grace.”</w:t>
      </w:r>
      <w:r w:rsidRPr="001F52A8">
        <w:rPr>
          <w:rStyle w:val="FootnoteReference"/>
          <w:rFonts w:ascii="Calibri" w:hAnsi="Calibri" w:cs="Calibri"/>
        </w:rPr>
        <w:footnoteReference w:id="343"/>
      </w:r>
    </w:p>
    <w:p w14:paraId="219D946B" w14:textId="2D685130" w:rsidR="0089442F" w:rsidRPr="001F52A8" w:rsidRDefault="0089442F" w:rsidP="0089442F">
      <w:pPr>
        <w:autoSpaceDE w:val="0"/>
        <w:autoSpaceDN w:val="0"/>
        <w:adjustRightInd w:val="0"/>
        <w:spacing w:line="240" w:lineRule="auto"/>
      </w:pPr>
      <w:r w:rsidRPr="001F52A8">
        <w:rPr>
          <w:rFonts w:ascii="Calibri" w:hAnsi="Calibri" w:cs="Calibri"/>
        </w:rPr>
        <w:t xml:space="preserve">There are several problems with this view. First, Yahweh’s relationship with Israel was based on grace from the beginning. Yahweh’s promises to Abraham (Gen 12:1-3) were not based on law or on obedience; they came out of the blue. The “if” in Exod 19:5 has something </w:t>
      </w:r>
      <w:r w:rsidR="00910D25">
        <w:rPr>
          <w:rFonts w:ascii="Calibri" w:hAnsi="Calibri" w:cs="Calibri"/>
        </w:rPr>
        <w:t>preceding</w:t>
      </w:r>
      <w:r w:rsidRPr="001F52A8">
        <w:rPr>
          <w:rFonts w:ascii="Calibri" w:hAnsi="Calibri" w:cs="Calibri"/>
        </w:rPr>
        <w:t xml:space="preserve"> it, the reminder that “</w:t>
      </w:r>
      <w:r w:rsidRPr="001F52A8">
        <w:t>You yourselves saw what I did to Egypt. I lifted you on eagles’ wings and brought you to me. So now</w:t>
      </w:r>
      <w:r>
        <w:t xml:space="preserve"> . . . .</w:t>
      </w:r>
      <w:r w:rsidRPr="001F52A8">
        <w:t xml:space="preserve">” (Exod 19:4-5).The Israelites did not escape from Egypt on the basis of fulfilling an “if.” </w:t>
      </w:r>
    </w:p>
    <w:p w14:paraId="3553A0F1" w14:textId="46CD3032" w:rsidR="0089442F" w:rsidRDefault="0089442F" w:rsidP="0089442F">
      <w:pPr>
        <w:autoSpaceDE w:val="0"/>
        <w:autoSpaceDN w:val="0"/>
        <w:adjustRightInd w:val="0"/>
        <w:spacing w:line="240" w:lineRule="auto"/>
        <w:rPr>
          <w:rFonts w:cstheme="minorHAnsi"/>
        </w:rPr>
      </w:pPr>
      <w:r w:rsidRPr="001F52A8">
        <w:t xml:space="preserve">Second, </w:t>
      </w:r>
      <w:r>
        <w:t xml:space="preserve">on the other hand </w:t>
      </w:r>
      <w:r w:rsidRPr="001F52A8">
        <w:t>an “if” continues to be intrinsic to God’s relationship with his people,</w:t>
      </w:r>
      <w:r w:rsidR="00927606">
        <w:t xml:space="preserve"> in both</w:t>
      </w:r>
      <w:r w:rsidRPr="001F52A8">
        <w:t xml:space="preserve"> Testament</w:t>
      </w:r>
      <w:r w:rsidR="00927606">
        <w:t>s</w:t>
      </w:r>
      <w:r w:rsidRPr="001F52A8">
        <w:t>. If you forgive other people, you get forgiven (Matt 6:14-15). If you keep my commands, you will remain in my love (John 15:10). There is no difference in God’s way of relating to his people before David, after David in the First Testament, or in the New Testament. The language of “conditional/unconditional” does not appear in the Scriptures, but i</w:t>
      </w:r>
      <w:r w:rsidR="00927606">
        <w:t>n terms of</w:t>
      </w:r>
      <w:r w:rsidRPr="001F52A8">
        <w:t xml:space="preserve"> this </w:t>
      </w:r>
      <w:r w:rsidR="00927606">
        <w:t>framework</w:t>
      </w:r>
      <w:r w:rsidRPr="001F52A8">
        <w:t xml:space="preserve">, </w:t>
      </w:r>
      <w:r w:rsidR="00927606">
        <w:t>on</w:t>
      </w:r>
      <w:r w:rsidRPr="001F52A8">
        <w:t xml:space="preserve">e might say that God’s relationship with his people is unconditioned </w:t>
      </w:r>
      <w:r w:rsidR="00927606">
        <w:t>(</w:t>
      </w:r>
      <w:r w:rsidRPr="001F52A8">
        <w:t xml:space="preserve">it did not come about because </w:t>
      </w:r>
      <w:r>
        <w:t>they</w:t>
      </w:r>
      <w:r w:rsidRPr="001F52A8">
        <w:t xml:space="preserve"> fulfilled conditions</w:t>
      </w:r>
      <w:r w:rsidR="00927606">
        <w:t>)</w:t>
      </w:r>
      <w:r w:rsidRPr="001F52A8">
        <w:t xml:space="preserve"> but conditional </w:t>
      </w:r>
      <w:r w:rsidR="00927606">
        <w:t>(</w:t>
      </w:r>
      <w:r w:rsidRPr="001F52A8">
        <w:t xml:space="preserve">its continuance depends on </w:t>
      </w:r>
      <w:r>
        <w:t xml:space="preserve">their </w:t>
      </w:r>
      <w:r w:rsidRPr="001F52A8">
        <w:t xml:space="preserve">keeping up </w:t>
      </w:r>
      <w:r>
        <w:t>their</w:t>
      </w:r>
      <w:r w:rsidRPr="001F52A8">
        <w:t xml:space="preserve"> commitment, as God keeps up his</w:t>
      </w:r>
      <w:r w:rsidR="00927606">
        <w:t>)</w:t>
      </w:r>
      <w:r w:rsidRPr="001F52A8">
        <w:t xml:space="preserve">. </w:t>
      </w:r>
      <w:r w:rsidR="00927606">
        <w:t>E</w:t>
      </w:r>
      <w:r w:rsidRPr="001F52A8">
        <w:t>ven that way of putting it makes the matter more quasi-legal than it is. God’s relationship with his people is covenant</w:t>
      </w:r>
      <w:r w:rsidR="00927606">
        <w:t>al</w:t>
      </w:r>
      <w:r w:rsidRPr="001F52A8">
        <w:t xml:space="preserve"> rather than contract</w:t>
      </w:r>
      <w:r w:rsidR="00927606">
        <w:t>ual</w:t>
      </w:r>
      <w:r w:rsidRPr="001F52A8">
        <w:t xml:space="preserve">. It is at this point that English is fortunate to have the two expressions that spell out possible implications of the Hebrew word </w:t>
      </w:r>
      <w:r w:rsidRPr="001F52A8">
        <w:rPr>
          <w:i/>
          <w:iCs/>
        </w:rPr>
        <w:t>b</w:t>
      </w:r>
      <w:r w:rsidRPr="001F52A8">
        <w:rPr>
          <w:rFonts w:cstheme="minorHAnsi"/>
          <w:i/>
          <w:iCs/>
        </w:rPr>
        <w:t>ərît</w:t>
      </w:r>
      <w:r w:rsidRPr="001F52A8">
        <w:rPr>
          <w:rFonts w:cstheme="minorHAnsi"/>
        </w:rPr>
        <w:t>. A covenant is a relationship like the mutual commitment of David and Jonathan, a solemnly expressed and formally ratified pledge to which the two parties promise to be faithful. It is not a legal concordat with sanctions that can be the subject of a court case but a personal bond that nevertheless carries at least as much weight. In Western thinking, marriage is a covenant of this kind, though it is also a legal bond. When two people marry, they do not say “I will marry you on condition that you do the following</w:t>
      </w:r>
      <w:r>
        <w:rPr>
          <w:rFonts w:cstheme="minorHAnsi"/>
        </w:rPr>
        <w:t xml:space="preserve"> . . . .</w:t>
      </w:r>
      <w:r w:rsidRPr="001F52A8">
        <w:rPr>
          <w:rFonts w:cstheme="minorHAnsi"/>
        </w:rPr>
        <w:t xml:space="preserve">”; </w:t>
      </w:r>
      <w:r w:rsidRPr="001F52A8">
        <w:rPr>
          <w:rFonts w:cstheme="minorHAnsi"/>
        </w:rPr>
        <w:lastRenderedPageBreak/>
        <w:t>yet their marrying does presuppose that they are making a binding mutual commitment. Such is the relationship between God and his people before David, after David, and in the New Testament.</w:t>
      </w:r>
      <w:r>
        <w:rPr>
          <w:rFonts w:cstheme="minorHAnsi"/>
        </w:rPr>
        <w:t xml:space="preserve"> It is not a contract.</w:t>
      </w:r>
    </w:p>
    <w:p w14:paraId="2D986D6C" w14:textId="77777777" w:rsidR="008E79DC" w:rsidRDefault="0089442F" w:rsidP="008E79DC">
      <w:pPr>
        <w:autoSpaceDE w:val="0"/>
        <w:autoSpaceDN w:val="0"/>
        <w:adjustRightInd w:val="0"/>
        <w:spacing w:line="240" w:lineRule="auto"/>
      </w:pPr>
      <w:r w:rsidRPr="001F52A8">
        <w:t>Th</w:t>
      </w:r>
      <w:r>
        <w:t>ird, while b</w:t>
      </w:r>
      <w:r w:rsidRPr="001F52A8">
        <w:t>oth the priority of grace and the necessity of obedience are intrinsic to the covenant between God and his people, one or other may need more emphasis in different contexts. Genesis</w:t>
      </w:r>
      <w:r>
        <w:t xml:space="preserve"> emphasizes </w:t>
      </w:r>
      <w:r w:rsidRPr="001F52A8">
        <w:t>grace</w:t>
      </w:r>
      <w:r>
        <w:t>,</w:t>
      </w:r>
      <w:r w:rsidRPr="001F52A8">
        <w:t xml:space="preserve"> Exodus </w:t>
      </w:r>
      <w:r w:rsidR="00927606">
        <w:t>(</w:t>
      </w:r>
      <w:r w:rsidRPr="001F52A8">
        <w:t>and even more Deuteronomy</w:t>
      </w:r>
      <w:r w:rsidR="00927606">
        <w:t>)</w:t>
      </w:r>
      <w:r w:rsidRPr="001F52A8">
        <w:t xml:space="preserve"> the need for obedience. Romans</w:t>
      </w:r>
      <w:r>
        <w:t xml:space="preserve"> emphasizes </w:t>
      </w:r>
      <w:r w:rsidRPr="001F52A8">
        <w:t>grace</w:t>
      </w:r>
      <w:r>
        <w:t>,</w:t>
      </w:r>
      <w:r w:rsidRPr="001F52A8">
        <w:t xml:space="preserve"> James the need for obedience. </w:t>
      </w:r>
      <w:r w:rsidR="00927606">
        <w:t xml:space="preserve">So </w:t>
      </w:r>
      <w:r w:rsidRPr="001F52A8">
        <w:t xml:space="preserve">Yahweh’s message to David </w:t>
      </w:r>
      <w:r w:rsidR="00927606">
        <w:t xml:space="preserve">might have </w:t>
      </w:r>
      <w:r w:rsidRPr="001F52A8">
        <w:t>mark</w:t>
      </w:r>
      <w:r w:rsidR="00927606">
        <w:t>ed</w:t>
      </w:r>
      <w:r w:rsidRPr="001F52A8">
        <w:t xml:space="preserve"> this time as one when grace needs the emphasis. But that possibility is not the implication of Yahweh’s words. Yahweh does not draw a contrast between Sinai and Zion or between Moses and David. He draws a contrast between Saul and David – or rather, between his commitment to Saul and his commitment to David. His promise reworks and nuances the message of Samuel (1 Sam 13:13-14; and even more 15:28-29). He had chosen Saul out of his grace, not because he had deserved it through his obedience, but had subsequently rebuffed him because of his disobedience. He had transferred his allegiance to David and would not change his mind about David, even though he no more deserved it because of his obedience than Saul did</w:t>
      </w:r>
      <w:r w:rsidR="008E79DC">
        <w:t>. And p</w:t>
      </w:r>
      <w:r w:rsidR="00CB21EA" w:rsidRPr="001F52A8">
        <w:rPr>
          <w:rFonts w:ascii="Calibri" w:eastAsia="Times New Roman" w:hAnsi="Calibri" w:cs="Times New Roman"/>
          <w:szCs w:val="18"/>
          <w:lang w:bidi="he-IL"/>
        </w:rPr>
        <w:t>ersisting with David will no</w:t>
      </w:r>
      <w:r w:rsidR="008E79DC">
        <w:rPr>
          <w:rFonts w:ascii="Calibri" w:eastAsia="Times New Roman" w:hAnsi="Calibri" w:cs="Times New Roman"/>
          <w:szCs w:val="18"/>
          <w:lang w:bidi="he-IL"/>
        </w:rPr>
        <w:t xml:space="preserve"> more</w:t>
      </w:r>
      <w:r w:rsidR="00CB21EA" w:rsidRPr="001F52A8">
        <w:rPr>
          <w:rFonts w:ascii="Calibri" w:eastAsia="Times New Roman" w:hAnsi="Calibri" w:cs="Times New Roman"/>
          <w:szCs w:val="18"/>
          <w:lang w:bidi="he-IL"/>
        </w:rPr>
        <w:t xml:space="preserve"> reflect David’s deserve. Maybe Yahweh has let the </w:t>
      </w:r>
      <w:r w:rsidR="00CB21EA">
        <w:rPr>
          <w:rFonts w:ascii="Calibri" w:eastAsia="Times New Roman" w:hAnsi="Calibri" w:cs="Times New Roman"/>
          <w:szCs w:val="18"/>
          <w:lang w:bidi="he-IL"/>
        </w:rPr>
        <w:t xml:space="preserve">negative </w:t>
      </w:r>
      <w:r w:rsidR="00CB21EA" w:rsidRPr="001F52A8">
        <w:rPr>
          <w:rFonts w:ascii="Calibri" w:eastAsia="Times New Roman" w:hAnsi="Calibri" w:cs="Times New Roman"/>
          <w:szCs w:val="18"/>
          <w:lang w:bidi="he-IL"/>
        </w:rPr>
        <w:t>point about kingship be demonstrated through Saul and needs now to let the arrangement continue. He will thus operate on the basis of mercy and grace to Israel and to David</w:t>
      </w:r>
      <w:r w:rsidR="008E79DC">
        <w:rPr>
          <w:rFonts w:ascii="Calibri" w:eastAsia="Times New Roman" w:hAnsi="Calibri" w:cs="Times New Roman"/>
          <w:szCs w:val="18"/>
          <w:lang w:bidi="he-IL"/>
        </w:rPr>
        <w:t xml:space="preserve"> and</w:t>
      </w:r>
      <w:r w:rsidR="008E79DC" w:rsidRPr="001F52A8">
        <w:t xml:space="preserve"> maintain his commitment not to change his mind about David by not abandoning his son as he abandoned Saul</w:t>
      </w:r>
      <w:r w:rsidR="008E79DC">
        <w:t>. Solomon’s</w:t>
      </w:r>
      <w:r w:rsidR="008E79DC" w:rsidRPr="001F52A8">
        <w:t xml:space="preserve"> story will prove the point: like David, Solomon is more wayward than Saul, but he gets away with it. </w:t>
      </w:r>
    </w:p>
    <w:p w14:paraId="13C1E9DC" w14:textId="3971DF19" w:rsidR="00CB21EA" w:rsidRDefault="006A4ACA" w:rsidP="008E79DC">
      <w:pPr>
        <w:autoSpaceDE w:val="0"/>
        <w:autoSpaceDN w:val="0"/>
        <w:adjustRightInd w:val="0"/>
        <w:spacing w:line="240" w:lineRule="auto"/>
        <w:rPr>
          <w:rFonts w:ascii="Calibri" w:eastAsia="Times New Roman" w:hAnsi="Calibri" w:cs="Times New Roman"/>
          <w:szCs w:val="18"/>
          <w:lang w:bidi="he-IL"/>
        </w:rPr>
      </w:pPr>
      <w:r>
        <w:t>I</w:t>
      </w:r>
      <w:r w:rsidR="008E79DC">
        <w:t>n what sense</w:t>
      </w:r>
      <w:r w:rsidR="008E79DC" w:rsidRPr="001F52A8">
        <w:t xml:space="preserve"> that commitment </w:t>
      </w:r>
      <w:r w:rsidR="008E79DC">
        <w:t>is to</w:t>
      </w:r>
      <w:r w:rsidR="008E79DC" w:rsidRPr="001F52A8">
        <w:t xml:space="preserve"> </w:t>
      </w:r>
      <w:r w:rsidR="008E79DC">
        <w:t xml:space="preserve">hold </w:t>
      </w:r>
      <w:r w:rsidR="008E79DC" w:rsidRPr="001F52A8">
        <w:t>“</w:t>
      </w:r>
      <w:r w:rsidR="008E79DC">
        <w:t>for all time</w:t>
      </w:r>
      <w:r w:rsidR="008E79DC" w:rsidRPr="001F52A8">
        <w:t>” is not clear</w:t>
      </w:r>
      <w:r w:rsidR="008E79DC">
        <w:t xml:space="preserve">. </w:t>
      </w:r>
      <w:r w:rsidR="008E79DC">
        <w:rPr>
          <w:rFonts w:ascii="Calibri" w:eastAsia="Times New Roman" w:hAnsi="Calibri" w:cs="Times New Roman"/>
          <w:szCs w:val="18"/>
          <w:lang w:bidi="he-IL"/>
        </w:rPr>
        <w:t>T</w:t>
      </w:r>
      <w:r w:rsidR="00CB21EA" w:rsidRPr="001F52A8">
        <w:rPr>
          <w:rFonts w:ascii="Calibri" w:eastAsia="Times New Roman" w:hAnsi="Calibri" w:cs="Times New Roman"/>
          <w:szCs w:val="18"/>
          <w:lang w:bidi="he-IL"/>
        </w:rPr>
        <w:t xml:space="preserve">he future will continue to see interaction between </w:t>
      </w:r>
      <w:r w:rsidR="008E79DC">
        <w:rPr>
          <w:rFonts w:ascii="Calibri" w:eastAsia="Times New Roman" w:hAnsi="Calibri" w:cs="Times New Roman"/>
          <w:szCs w:val="18"/>
          <w:lang w:bidi="he-IL"/>
        </w:rPr>
        <w:t>Yahweh’s</w:t>
      </w:r>
      <w:r w:rsidR="00CB21EA" w:rsidRPr="001F52A8">
        <w:rPr>
          <w:rFonts w:ascii="Calibri" w:eastAsia="Times New Roman" w:hAnsi="Calibri" w:cs="Times New Roman"/>
          <w:szCs w:val="18"/>
          <w:lang w:bidi="he-IL"/>
        </w:rPr>
        <w:t xml:space="preserve"> will and the religious and moral stupidity of kings and people. For four centuries, descendants of David will reign in Jerusalem, which at least avoids most of the assassinating and deposing that goes on in Ephraim. But after Solomon their realm will become pathetically smaller and it will become yet smaller over the centuries until the last Davidic king flees the city to be made blind, in 587. Yahweh does promise that this calamity will not be the end of the story (e.g., Jer 23:5-6), and as a descendant of David, Zerubbabel governs Jerusalem under the Persians. Subsequently, Hasmonean kings reign there after Jerusalem sees off Antiochus Epiphanes, but they were not descendants of David, and no descendant of David sits on the throne in Jerusalem ever again. Jesus </w:t>
      </w:r>
      <w:r w:rsidR="00CB21EA">
        <w:rPr>
          <w:rFonts w:ascii="Calibri" w:eastAsia="Times New Roman" w:hAnsi="Calibri" w:cs="Times New Roman"/>
          <w:szCs w:val="18"/>
          <w:lang w:bidi="he-IL"/>
        </w:rPr>
        <w:t>ben</w:t>
      </w:r>
      <w:r w:rsidR="00CB21EA" w:rsidRPr="001F52A8">
        <w:rPr>
          <w:rFonts w:ascii="Calibri" w:eastAsia="Times New Roman" w:hAnsi="Calibri" w:cs="Times New Roman"/>
          <w:szCs w:val="18"/>
          <w:lang w:bidi="he-IL"/>
        </w:rPr>
        <w:t xml:space="preserve"> Joseph reigns there metaphorically, but he is not very enthusiastic about being designated as the anointed of Yahweh who was to come (e.g., Luke 7:18-23; 9:18-22). Many Jews believe that in due course God will fulfil his promise to David and a descendant of David will reign as anointed king in Jerusalem, but after 2,500 years or so such an event could hardly count as the fulfilment of a promise</w:t>
      </w:r>
      <w:r w:rsidR="00CB21EA">
        <w:rPr>
          <w:rFonts w:ascii="Calibri" w:eastAsia="Times New Roman" w:hAnsi="Calibri" w:cs="Times New Roman"/>
          <w:szCs w:val="18"/>
          <w:lang w:bidi="he-IL"/>
        </w:rPr>
        <w:t xml:space="preserve"> </w:t>
      </w:r>
      <w:r>
        <w:rPr>
          <w:rFonts w:ascii="Calibri" w:eastAsia="Times New Roman" w:hAnsi="Calibri" w:cs="Times New Roman"/>
          <w:szCs w:val="18"/>
          <w:lang w:bidi="he-IL"/>
        </w:rPr>
        <w:t xml:space="preserve">made </w:t>
      </w:r>
      <w:r w:rsidR="00CB21EA">
        <w:rPr>
          <w:rFonts w:ascii="Calibri" w:eastAsia="Times New Roman" w:hAnsi="Calibri" w:cs="Times New Roman"/>
          <w:szCs w:val="18"/>
          <w:lang w:bidi="he-IL"/>
        </w:rPr>
        <w:t>“</w:t>
      </w:r>
      <w:r w:rsidR="00CB21EA">
        <w:t>for all time</w:t>
      </w:r>
      <w:r w:rsidR="00CB21EA" w:rsidRPr="001F52A8">
        <w:rPr>
          <w:rFonts w:ascii="Calibri" w:eastAsia="Times New Roman" w:hAnsi="Calibri" w:cs="Times New Roman"/>
          <w:szCs w:val="18"/>
          <w:lang w:bidi="he-IL"/>
        </w:rPr>
        <w:t>.</w:t>
      </w:r>
      <w:r w:rsidR="00CB21EA">
        <w:rPr>
          <w:rFonts w:ascii="Calibri" w:eastAsia="Times New Roman" w:hAnsi="Calibri" w:cs="Times New Roman"/>
          <w:szCs w:val="18"/>
          <w:lang w:bidi="he-IL"/>
        </w:rPr>
        <w:t>”</w:t>
      </w:r>
    </w:p>
    <w:p w14:paraId="11356BF9" w14:textId="73C89D8D" w:rsidR="00CB21EA" w:rsidRPr="006522C9" w:rsidRDefault="00CB21EA" w:rsidP="00CB21EA">
      <w:pPr>
        <w:rPr>
          <w:rFonts w:ascii="Calibri" w:eastAsia="Times New Roman" w:hAnsi="Calibri" w:cs="Times New Roman"/>
          <w:szCs w:val="18"/>
          <w:lang w:bidi="he-IL"/>
        </w:rPr>
      </w:pPr>
      <w:r>
        <w:rPr>
          <w:rFonts w:ascii="Calibri" w:eastAsia="Times New Roman" w:hAnsi="Calibri" w:cs="Times New Roman"/>
          <w:szCs w:val="18"/>
          <w:lang w:bidi="he-IL"/>
        </w:rPr>
        <w:t xml:space="preserve">Actually, it already became clear in </w:t>
      </w:r>
      <w:r w:rsidR="006A4ACA">
        <w:rPr>
          <w:rFonts w:ascii="Calibri" w:eastAsia="Times New Roman" w:hAnsi="Calibri" w:cs="Times New Roman"/>
          <w:szCs w:val="18"/>
          <w:lang w:bidi="he-IL"/>
        </w:rPr>
        <w:t xml:space="preserve">1 Sam </w:t>
      </w:r>
      <w:r>
        <w:rPr>
          <w:rFonts w:ascii="Calibri" w:eastAsia="Times New Roman" w:hAnsi="Calibri" w:cs="Times New Roman"/>
          <w:szCs w:val="18"/>
          <w:lang w:bidi="he-IL"/>
        </w:rPr>
        <w:t xml:space="preserve">2:30 that </w:t>
      </w:r>
      <w:r>
        <w:rPr>
          <w:lang w:bidi="he-IL"/>
        </w:rPr>
        <w:t>“</w:t>
      </w:r>
      <w:r>
        <w:t>for all time</w:t>
      </w:r>
      <w:r>
        <w:rPr>
          <w:lang w:bidi="he-IL"/>
        </w:rPr>
        <w:t xml:space="preserve">” </w:t>
      </w:r>
      <w:r w:rsidRPr="001F52A8">
        <w:rPr>
          <w:lang w:bidi="he-IL"/>
        </w:rPr>
        <w:t>(</w:t>
      </w:r>
      <w:r w:rsidRPr="001F52A8">
        <w:rPr>
          <w:i/>
          <w:iCs/>
          <w:lang w:bidi="he-IL"/>
        </w:rPr>
        <w:t>‘ad-‘</w:t>
      </w:r>
      <w:r w:rsidRPr="001F52A8">
        <w:rPr>
          <w:rFonts w:cstheme="minorHAnsi"/>
          <w:i/>
          <w:iCs/>
          <w:lang w:bidi="he-IL"/>
        </w:rPr>
        <w:t>ôlām</w:t>
      </w:r>
      <w:r w:rsidRPr="001F52A8">
        <w:rPr>
          <w:rFonts w:cstheme="minorHAnsi"/>
          <w:lang w:bidi="he-IL"/>
        </w:rPr>
        <w:t>)</w:t>
      </w:r>
      <w:r>
        <w:rPr>
          <w:rFonts w:cstheme="minorHAnsi"/>
          <w:lang w:bidi="he-IL"/>
        </w:rPr>
        <w:t xml:space="preserve"> m</w:t>
      </w:r>
      <w:r w:rsidR="006A4ACA">
        <w:rPr>
          <w:rFonts w:cstheme="minorHAnsi"/>
          <w:lang w:bidi="he-IL"/>
        </w:rPr>
        <w:t>ight</w:t>
      </w:r>
      <w:r>
        <w:rPr>
          <w:rFonts w:cstheme="minorHAnsi"/>
          <w:lang w:bidi="he-IL"/>
        </w:rPr>
        <w:t xml:space="preserve"> not mean “forever.” </w:t>
      </w:r>
      <w:r w:rsidR="006A4ACA">
        <w:rPr>
          <w:rFonts w:cstheme="minorHAnsi"/>
          <w:lang w:bidi="he-IL"/>
        </w:rPr>
        <w:t xml:space="preserve">And </w:t>
      </w:r>
      <w:r w:rsidR="006A4ACA">
        <w:rPr>
          <w:rFonts w:ascii="Calibri" w:eastAsia="Times New Roman" w:hAnsi="Calibri" w:cs="Times New Roman"/>
          <w:szCs w:val="18"/>
          <w:lang w:bidi="he-IL"/>
        </w:rPr>
        <w:t>o</w:t>
      </w:r>
      <w:r w:rsidRPr="001F52A8">
        <w:rPr>
          <w:rFonts w:ascii="Calibri" w:eastAsia="Times New Roman" w:hAnsi="Calibri" w:cs="Times New Roman"/>
          <w:szCs w:val="18"/>
          <w:lang w:bidi="he-IL"/>
        </w:rPr>
        <w:t xml:space="preserve">ne way or another, Yahweh evidently </w:t>
      </w:r>
      <w:r>
        <w:rPr>
          <w:rFonts w:ascii="Calibri" w:eastAsia="Times New Roman" w:hAnsi="Calibri" w:cs="Times New Roman"/>
          <w:szCs w:val="18"/>
          <w:lang w:bidi="he-IL"/>
        </w:rPr>
        <w:t xml:space="preserve">did </w:t>
      </w:r>
      <w:r w:rsidRPr="001F52A8">
        <w:rPr>
          <w:rFonts w:ascii="Calibri" w:eastAsia="Times New Roman" w:hAnsi="Calibri" w:cs="Times New Roman"/>
          <w:szCs w:val="18"/>
          <w:lang w:bidi="he-IL"/>
        </w:rPr>
        <w:t>change his mind about his promise to David</w:t>
      </w:r>
      <w:r>
        <w:rPr>
          <w:rFonts w:ascii="Calibri" w:eastAsia="Times New Roman" w:hAnsi="Calibri" w:cs="Times New Roman"/>
          <w:szCs w:val="18"/>
          <w:lang w:bidi="he-IL"/>
        </w:rPr>
        <w:t>’s household, as he did about the promise to Eli’s household</w:t>
      </w:r>
      <w:r w:rsidRPr="001F52A8">
        <w:rPr>
          <w:rFonts w:ascii="Calibri" w:eastAsia="Times New Roman" w:hAnsi="Calibri" w:cs="Times New Roman"/>
          <w:szCs w:val="18"/>
          <w:lang w:bidi="he-IL"/>
        </w:rPr>
        <w:t xml:space="preserve">. </w:t>
      </w:r>
      <w:r>
        <w:rPr>
          <w:rFonts w:ascii="Calibri" w:eastAsia="Times New Roman" w:hAnsi="Calibri" w:cs="Times New Roman"/>
          <w:szCs w:val="18"/>
          <w:lang w:bidi="he-IL"/>
        </w:rPr>
        <w:t xml:space="preserve">Perhaps “for all time” always </w:t>
      </w:r>
      <w:r w:rsidRPr="001F52A8">
        <w:rPr>
          <w:rFonts w:ascii="Calibri" w:eastAsia="Times New Roman" w:hAnsi="Calibri" w:cs="Calibri"/>
          <w:szCs w:val="18"/>
          <w:lang w:bidi="he-IL"/>
        </w:rPr>
        <w:t xml:space="preserve">presupposes “until there is reason for me to stop”; the general poor effectiveness of the Davidic monarchy over the centuries might provide reason. Perhaps </w:t>
      </w:r>
      <w:r w:rsidR="006A4ACA">
        <w:rPr>
          <w:rFonts w:ascii="Calibri" w:eastAsia="Times New Roman" w:hAnsi="Calibri" w:cs="Calibri"/>
          <w:szCs w:val="18"/>
          <w:lang w:bidi="he-IL"/>
        </w:rPr>
        <w:t>Yahweh</w:t>
      </w:r>
      <w:r w:rsidRPr="001F52A8">
        <w:rPr>
          <w:rFonts w:ascii="Calibri" w:eastAsia="Times New Roman" w:hAnsi="Calibri" w:cs="Calibri"/>
          <w:szCs w:val="18"/>
          <w:lang w:bidi="he-IL"/>
        </w:rPr>
        <w:t xml:space="preserve"> presupposes “until I decide to try something better,” which would fit </w:t>
      </w:r>
      <w:r w:rsidR="006A4ACA">
        <w:rPr>
          <w:rFonts w:ascii="Calibri" w:eastAsia="Times New Roman" w:hAnsi="Calibri" w:cs="Calibri"/>
          <w:szCs w:val="18"/>
          <w:lang w:bidi="he-IL"/>
        </w:rPr>
        <w:t>with Jesus’s</w:t>
      </w:r>
      <w:r w:rsidRPr="001F52A8">
        <w:rPr>
          <w:rFonts w:ascii="Calibri" w:eastAsia="Times New Roman" w:hAnsi="Calibri" w:cs="Calibri"/>
          <w:szCs w:val="18"/>
          <w:lang w:bidi="he-IL"/>
        </w:rPr>
        <w:t xml:space="preserve"> comments. The symbolic significance of David and of the idea of being the anointed one would mean that Jesus could hardly say “I’m not the anointed one,” but the literal implications of the idea would also give a misleading impression. So Jesus avoids the question. For parallel reasons, it was both appropriate for </w:t>
      </w:r>
      <w:r w:rsidR="006A4ACA">
        <w:rPr>
          <w:rFonts w:ascii="Calibri" w:eastAsia="Times New Roman" w:hAnsi="Calibri" w:cs="Calibri"/>
          <w:szCs w:val="18"/>
          <w:lang w:bidi="he-IL"/>
        </w:rPr>
        <w:t>hi</w:t>
      </w:r>
      <w:r w:rsidRPr="001F52A8">
        <w:rPr>
          <w:rFonts w:ascii="Calibri" w:eastAsia="Times New Roman" w:hAnsi="Calibri" w:cs="Calibri"/>
          <w:szCs w:val="18"/>
          <w:lang w:bidi="he-IL"/>
        </w:rPr>
        <w:t xml:space="preserve">s followers to say, “he is the anointed one” and to say, “but there are other things to say about him that are more important.” </w:t>
      </w:r>
      <w:r w:rsidR="006A4ACA">
        <w:rPr>
          <w:rFonts w:ascii="Calibri" w:eastAsia="Times New Roman" w:hAnsi="Calibri" w:cs="Calibri"/>
          <w:szCs w:val="18"/>
          <w:lang w:bidi="he-IL"/>
        </w:rPr>
        <w:t>M</w:t>
      </w:r>
      <w:r w:rsidRPr="001F52A8">
        <w:rPr>
          <w:rFonts w:ascii="Calibri" w:eastAsia="Times New Roman" w:hAnsi="Calibri" w:cs="Calibri"/>
          <w:szCs w:val="18"/>
          <w:lang w:bidi="he-IL"/>
        </w:rPr>
        <w:t>aybe it</w:t>
      </w:r>
      <w:r w:rsidR="006A4ACA">
        <w:rPr>
          <w:rFonts w:ascii="Calibri" w:eastAsia="Times New Roman" w:hAnsi="Calibri" w:cs="Calibri"/>
          <w:szCs w:val="18"/>
          <w:lang w:bidi="he-IL"/>
        </w:rPr>
        <w:t>’</w:t>
      </w:r>
      <w:r w:rsidRPr="001F52A8">
        <w:rPr>
          <w:rFonts w:ascii="Calibri" w:eastAsia="Times New Roman" w:hAnsi="Calibri" w:cs="Calibri"/>
          <w:szCs w:val="18"/>
          <w:lang w:bidi="he-IL"/>
        </w:rPr>
        <w:t xml:space="preserve">s </w:t>
      </w:r>
      <w:r w:rsidR="006A4ACA">
        <w:rPr>
          <w:rFonts w:ascii="Calibri" w:eastAsia="Times New Roman" w:hAnsi="Calibri" w:cs="Calibri"/>
          <w:szCs w:val="18"/>
          <w:lang w:bidi="he-IL"/>
        </w:rPr>
        <w:t xml:space="preserve">therefore </w:t>
      </w:r>
      <w:r w:rsidRPr="001F52A8">
        <w:rPr>
          <w:rFonts w:ascii="Calibri" w:eastAsia="Times New Roman" w:hAnsi="Calibri" w:cs="Calibri"/>
          <w:szCs w:val="18"/>
          <w:lang w:bidi="he-IL"/>
        </w:rPr>
        <w:t>useful that “Christ” came to be more of a name than a reminder of David.</w:t>
      </w:r>
    </w:p>
    <w:p w14:paraId="497BFB22" w14:textId="05F6AF95" w:rsidR="00CB21EA" w:rsidRPr="001F52A8" w:rsidRDefault="00CB21EA" w:rsidP="00CB21EA">
      <w:pPr>
        <w:rPr>
          <w:rFonts w:ascii="Calibri" w:eastAsia="Times New Roman" w:hAnsi="Calibri" w:cs="Calibri"/>
          <w:szCs w:val="18"/>
          <w:lang w:bidi="he-IL"/>
        </w:rPr>
      </w:pPr>
      <w:r>
        <w:rPr>
          <w:rFonts w:ascii="Calibri" w:eastAsia="Times New Roman" w:hAnsi="Calibri" w:cs="Calibri"/>
          <w:szCs w:val="18"/>
          <w:lang w:bidi="he-IL"/>
        </w:rPr>
        <w:lastRenderedPageBreak/>
        <w:t>S</w:t>
      </w:r>
      <w:r w:rsidRPr="001F52A8">
        <w:rPr>
          <w:rFonts w:ascii="Calibri" w:eastAsia="Times New Roman" w:hAnsi="Calibri" w:cs="Calibri"/>
          <w:szCs w:val="18"/>
          <w:lang w:bidi="he-IL"/>
        </w:rPr>
        <w:t xml:space="preserve">uch considerations </w:t>
      </w:r>
      <w:r w:rsidR="006A4ACA">
        <w:rPr>
          <w:rFonts w:ascii="Calibri" w:eastAsia="Times New Roman" w:hAnsi="Calibri" w:cs="Calibri"/>
          <w:szCs w:val="18"/>
          <w:lang w:bidi="he-IL"/>
        </w:rPr>
        <w:t>lie</w:t>
      </w:r>
      <w:r w:rsidRPr="001F52A8">
        <w:rPr>
          <w:rFonts w:ascii="Calibri" w:eastAsia="Times New Roman" w:hAnsi="Calibri" w:cs="Calibri"/>
          <w:szCs w:val="18"/>
          <w:lang w:bidi="he-IL"/>
        </w:rPr>
        <w:t xml:space="preserve"> outside the framework of 2 Samuel 7. Within its framework, what follows is a prayer of David’s in which he first expresses wonder at the contrast between who he is and who Yahweh is and what Yahweh has done with Israel.</w:t>
      </w:r>
    </w:p>
    <w:p w14:paraId="345E32BA" w14:textId="77777777" w:rsidR="00CB21EA" w:rsidRPr="001F52A8" w:rsidRDefault="00CB21EA" w:rsidP="00CB21EA">
      <w:pPr>
        <w:pStyle w:val="Quote"/>
      </w:pPr>
    </w:p>
    <w:p w14:paraId="1CCCC836" w14:textId="77777777" w:rsidR="00CB21EA" w:rsidRPr="001F52A8" w:rsidRDefault="00CB21EA" w:rsidP="00CB21EA">
      <w:pPr>
        <w:pStyle w:val="Quote"/>
      </w:pPr>
      <w:r w:rsidRPr="001F52A8">
        <w:t xml:space="preserve">Thus you are great, Lord Yahweh, because there is no one like you, no God except you, in all that we have heard with our ears. And who is like your people, like Israel, a nation on the earth that God went to redeem for himself as a people, to make for himself a name, and to do big and awe-inspiring things (for you all) for your country, before your people whom you redeemed for yourself from Egypt (nations and their gods). You established your people Israel for yourself as a people </w:t>
      </w:r>
      <w:r>
        <w:t>for all time</w:t>
      </w:r>
      <w:r w:rsidRPr="001F52A8">
        <w:t>, and you Yahweh became God for them. (7:22-24)</w:t>
      </w:r>
    </w:p>
    <w:p w14:paraId="772993C2" w14:textId="77777777" w:rsidR="00CB21EA" w:rsidRPr="001F52A8" w:rsidRDefault="00CB21EA" w:rsidP="00CB21EA">
      <w:pPr>
        <w:rPr>
          <w:rFonts w:ascii="Calibri" w:eastAsia="Times New Roman" w:hAnsi="Calibri" w:cs="Calibri"/>
          <w:szCs w:val="18"/>
          <w:lang w:bidi="he-IL"/>
        </w:rPr>
      </w:pPr>
    </w:p>
    <w:p w14:paraId="11167902" w14:textId="39210F14" w:rsidR="00CB21EA" w:rsidRPr="001F52A8" w:rsidRDefault="006A4ACA" w:rsidP="00CB21EA">
      <w:pPr>
        <w:ind w:firstLine="0"/>
        <w:rPr>
          <w:rFonts w:ascii="Calibri" w:eastAsia="Times New Roman" w:hAnsi="Calibri" w:cs="Calibri"/>
          <w:szCs w:val="18"/>
          <w:lang w:bidi="he-IL"/>
        </w:rPr>
      </w:pPr>
      <w:r>
        <w:rPr>
          <w:rFonts w:ascii="Calibri" w:eastAsia="Times New Roman" w:hAnsi="Calibri" w:cs="Calibri"/>
          <w:szCs w:val="18"/>
          <w:lang w:bidi="he-IL"/>
        </w:rPr>
        <w:t>H</w:t>
      </w:r>
      <w:r w:rsidR="00CB21EA" w:rsidRPr="001F52A8">
        <w:rPr>
          <w:rFonts w:ascii="Calibri" w:eastAsia="Times New Roman" w:hAnsi="Calibri" w:cs="Calibri"/>
          <w:szCs w:val="18"/>
          <w:lang w:bidi="he-IL"/>
        </w:rPr>
        <w:t xml:space="preserve">e </w:t>
      </w:r>
      <w:r>
        <w:rPr>
          <w:rFonts w:ascii="Calibri" w:eastAsia="Times New Roman" w:hAnsi="Calibri" w:cs="Calibri"/>
          <w:szCs w:val="18"/>
          <w:lang w:bidi="he-IL"/>
        </w:rPr>
        <w:t xml:space="preserve">then </w:t>
      </w:r>
      <w:r w:rsidR="00CB21EA" w:rsidRPr="001F52A8">
        <w:rPr>
          <w:rFonts w:ascii="Calibri" w:eastAsia="Times New Roman" w:hAnsi="Calibri" w:cs="Calibri"/>
          <w:szCs w:val="18"/>
          <w:lang w:bidi="he-IL"/>
        </w:rPr>
        <w:t>goes on to urge Yahweh indeed to do as he says.</w:t>
      </w:r>
      <w:r w:rsidR="00CB21EA">
        <w:rPr>
          <w:rFonts w:ascii="Calibri" w:eastAsia="Times New Roman" w:hAnsi="Calibri" w:cs="Calibri"/>
          <w:szCs w:val="18"/>
          <w:lang w:bidi="he-IL"/>
        </w:rPr>
        <w:t xml:space="preserve"> Why does he do so?</w:t>
      </w:r>
    </w:p>
    <w:p w14:paraId="262CFB33" w14:textId="77777777" w:rsidR="00CB21EA" w:rsidRPr="001F52A8" w:rsidRDefault="00CB21EA" w:rsidP="00CB21EA">
      <w:pPr>
        <w:rPr>
          <w:rFonts w:ascii="Calibri" w:hAnsi="Calibri" w:cs="Calibri"/>
          <w:color w:val="000000"/>
        </w:rPr>
      </w:pPr>
    </w:p>
    <w:p w14:paraId="26AD9338" w14:textId="77777777" w:rsidR="00CB21EA" w:rsidRDefault="00CB21EA" w:rsidP="00CB21EA">
      <w:pPr>
        <w:pStyle w:val="Quote"/>
      </w:pPr>
      <w:r w:rsidRPr="001F52A8">
        <w:t>When, therefore, we pray to God, it is not that we are doubting whether he is already inclined to do us good; or whether he watches out to support us in all our necessities; or whether he knows them well; or that when he has spoken, he does not want to carry out his Word. Rather, the fact is that our faith ought to be exercised, and that God, in offering us his mercy and grace, invites us to have the boldness to call on him (Eph 2:18).</w:t>
      </w:r>
      <w:r w:rsidRPr="001F52A8">
        <w:rPr>
          <w:rStyle w:val="FootnoteReference"/>
        </w:rPr>
        <w:footnoteReference w:id="344"/>
      </w:r>
    </w:p>
    <w:p w14:paraId="49D75F0E" w14:textId="5DB9F27D" w:rsidR="00190E04" w:rsidRPr="001F52A8" w:rsidRDefault="00964A48" w:rsidP="000B0A0F">
      <w:pPr>
        <w:pStyle w:val="Heading2"/>
        <w:rPr>
          <w:lang w:bidi="he-IL"/>
        </w:rPr>
      </w:pPr>
      <w:r w:rsidRPr="001F52A8">
        <w:rPr>
          <w:lang w:bidi="he-IL"/>
        </w:rPr>
        <w:t>Defen</w:t>
      </w:r>
      <w:r w:rsidR="00E572AC" w:rsidRPr="001F52A8">
        <w:rPr>
          <w:lang w:bidi="he-IL"/>
        </w:rPr>
        <w:t>s</w:t>
      </w:r>
      <w:r w:rsidRPr="001F52A8">
        <w:rPr>
          <w:lang w:bidi="he-IL"/>
        </w:rPr>
        <w:t>e</w:t>
      </w:r>
      <w:r w:rsidR="001C67A9" w:rsidRPr="001F52A8">
        <w:rPr>
          <w:lang w:bidi="he-IL"/>
        </w:rPr>
        <w:t xml:space="preserve">: David’s </w:t>
      </w:r>
      <w:r w:rsidR="00454EC8" w:rsidRPr="001F52A8">
        <w:rPr>
          <w:lang w:bidi="he-IL"/>
        </w:rPr>
        <w:t>War</w:t>
      </w:r>
      <w:r w:rsidR="004B32A6" w:rsidRPr="001F52A8">
        <w:rPr>
          <w:lang w:bidi="he-IL"/>
        </w:rPr>
        <w:t>-</w:t>
      </w:r>
      <w:r w:rsidR="00454EC8" w:rsidRPr="001F52A8">
        <w:rPr>
          <w:lang w:bidi="he-IL"/>
        </w:rPr>
        <w:t>making</w:t>
      </w:r>
    </w:p>
    <w:p w14:paraId="32B0D77C" w14:textId="4712A0FB" w:rsidR="00A915DA" w:rsidRPr="001F52A8" w:rsidRDefault="00DF3F55" w:rsidP="00190E04">
      <w:pPr>
        <w:rPr>
          <w:lang w:bidi="he-IL"/>
        </w:rPr>
      </w:pPr>
      <w:r w:rsidRPr="001F52A8">
        <w:rPr>
          <w:lang w:bidi="he-IL"/>
        </w:rPr>
        <w:t>Describing one’s military as defen</w:t>
      </w:r>
      <w:r w:rsidR="006968C6">
        <w:rPr>
          <w:lang w:bidi="he-IL"/>
        </w:rPr>
        <w:t>s</w:t>
      </w:r>
      <w:r w:rsidRPr="001F52A8">
        <w:rPr>
          <w:lang w:bidi="he-IL"/>
        </w:rPr>
        <w:t xml:space="preserve">e forces is a euphemism, but the war-making in 2 Samuel </w:t>
      </w:r>
      <w:r w:rsidR="006A4ACA">
        <w:rPr>
          <w:lang w:bidi="he-IL"/>
        </w:rPr>
        <w:t>does</w:t>
      </w:r>
      <w:r w:rsidRPr="001F52A8">
        <w:rPr>
          <w:lang w:bidi="he-IL"/>
        </w:rPr>
        <w:t xml:space="preserve"> start as defen</w:t>
      </w:r>
      <w:r w:rsidR="006968C6">
        <w:rPr>
          <w:lang w:bidi="he-IL"/>
        </w:rPr>
        <w:t>siv</w:t>
      </w:r>
      <w:r w:rsidRPr="001F52A8">
        <w:rPr>
          <w:lang w:bidi="he-IL"/>
        </w:rPr>
        <w:t xml:space="preserve">e (5:17-25). The Philistines might have been fine with David reigning over Judah in Hebron, vaguely as their underling or client. </w:t>
      </w:r>
      <w:r w:rsidR="006A4ACA">
        <w:rPr>
          <w:lang w:bidi="he-IL"/>
        </w:rPr>
        <w:t>H</w:t>
      </w:r>
      <w:r w:rsidRPr="001F52A8">
        <w:rPr>
          <w:lang w:bidi="he-IL"/>
        </w:rPr>
        <w:t>is being crowned king over wider Israel would be different, especially with a capital just up the valley from their heartland. So they invade. It’s the kind of occasion when David inquires of Yahweh. Inquiring via the chasuble can generate only a yes or no, as it does on the occasion of the first incursion (5:17-21). On th</w:t>
      </w:r>
      <w:r w:rsidR="00683538" w:rsidRPr="001F52A8">
        <w:rPr>
          <w:lang w:bidi="he-IL"/>
        </w:rPr>
        <w:t>e</w:t>
      </w:r>
      <w:r w:rsidRPr="001F52A8">
        <w:rPr>
          <w:lang w:bidi="he-IL"/>
        </w:rPr>
        <w:t xml:space="preserve"> occasion</w:t>
      </w:r>
      <w:r w:rsidR="00683538" w:rsidRPr="001F52A8">
        <w:rPr>
          <w:lang w:bidi="he-IL"/>
        </w:rPr>
        <w:t xml:space="preserve"> </w:t>
      </w:r>
      <w:r w:rsidRPr="001F52A8">
        <w:rPr>
          <w:lang w:bidi="he-IL"/>
        </w:rPr>
        <w:t xml:space="preserve">of the second, </w:t>
      </w:r>
      <w:r w:rsidR="006A4ACA">
        <w:rPr>
          <w:lang w:bidi="he-IL"/>
        </w:rPr>
        <w:t>David</w:t>
      </w:r>
      <w:r w:rsidRPr="001F52A8">
        <w:rPr>
          <w:lang w:bidi="he-IL"/>
        </w:rPr>
        <w:t xml:space="preserve"> gets a battle plan</w:t>
      </w:r>
      <w:r w:rsidR="00683538" w:rsidRPr="001F52A8">
        <w:rPr>
          <w:lang w:bidi="he-IL"/>
        </w:rPr>
        <w:t xml:space="preserve"> (5:22-25), which suggests a word from Yahweh via a priest or prophet. He will hear the sound of marching in the </w:t>
      </w:r>
      <w:r w:rsidR="006A4ACA">
        <w:rPr>
          <w:lang w:bidi="he-IL"/>
        </w:rPr>
        <w:t>tree</w:t>
      </w:r>
      <w:r w:rsidR="00683538" w:rsidRPr="001F52A8">
        <w:rPr>
          <w:lang w:bidi="he-IL"/>
        </w:rPr>
        <w:t xml:space="preserve">tops, which perhaps implies a rustling </w:t>
      </w:r>
      <w:r w:rsidR="006A4ACA">
        <w:rPr>
          <w:lang w:bidi="he-IL"/>
        </w:rPr>
        <w:t>that</w:t>
      </w:r>
      <w:r w:rsidR="00683538" w:rsidRPr="001F52A8">
        <w:rPr>
          <w:lang w:bidi="he-IL"/>
        </w:rPr>
        <w:t xml:space="preserve"> is a sign that Yahweh’s forces are on the march.</w:t>
      </w:r>
    </w:p>
    <w:p w14:paraId="59350463" w14:textId="2BEF2D93" w:rsidR="008029FC" w:rsidRPr="001F52A8" w:rsidRDefault="00B57458" w:rsidP="005176B2">
      <w:pPr>
        <w:rPr>
          <w:lang w:bidi="he-IL"/>
        </w:rPr>
      </w:pPr>
      <w:r>
        <w:rPr>
          <w:lang w:bidi="he-IL"/>
        </w:rPr>
        <w:t>F</w:t>
      </w:r>
      <w:r w:rsidR="00333C6F" w:rsidRPr="001F52A8">
        <w:rPr>
          <w:lang w:bidi="he-IL"/>
        </w:rPr>
        <w:t>urther</w:t>
      </w:r>
      <w:r w:rsidR="00683538" w:rsidRPr="001F52A8">
        <w:rPr>
          <w:lang w:bidi="he-IL"/>
        </w:rPr>
        <w:t xml:space="preserve"> collection</w:t>
      </w:r>
      <w:r w:rsidR="00333C6F" w:rsidRPr="001F52A8">
        <w:rPr>
          <w:lang w:bidi="he-IL"/>
        </w:rPr>
        <w:t>s</w:t>
      </w:r>
      <w:r w:rsidR="00683538" w:rsidRPr="001F52A8">
        <w:rPr>
          <w:lang w:bidi="he-IL"/>
        </w:rPr>
        <w:t xml:space="preserve"> of battle reports </w:t>
      </w:r>
      <w:r w:rsidR="00C249C8" w:rsidRPr="001F52A8">
        <w:rPr>
          <w:lang w:bidi="he-IL"/>
        </w:rPr>
        <w:t>(8:1-14</w:t>
      </w:r>
      <w:r w:rsidR="00333C6F" w:rsidRPr="001F52A8">
        <w:rPr>
          <w:lang w:bidi="he-IL"/>
        </w:rPr>
        <w:t>; 10:1-19</w:t>
      </w:r>
      <w:r w:rsidR="00AF2A67">
        <w:rPr>
          <w:lang w:bidi="he-IL"/>
        </w:rPr>
        <w:t>; 12:26-31</w:t>
      </w:r>
      <w:r w:rsidR="00C249C8" w:rsidRPr="001F52A8">
        <w:rPr>
          <w:lang w:bidi="he-IL"/>
        </w:rPr>
        <w:t xml:space="preserve">) </w:t>
      </w:r>
      <w:r w:rsidR="00683538" w:rsidRPr="001F52A8">
        <w:rPr>
          <w:lang w:bidi="he-IL"/>
        </w:rPr>
        <w:t xml:space="preserve">recount </w:t>
      </w:r>
      <w:r>
        <w:rPr>
          <w:lang w:bidi="he-IL"/>
        </w:rPr>
        <w:t>another</w:t>
      </w:r>
      <w:r w:rsidR="00683538" w:rsidRPr="001F52A8">
        <w:rPr>
          <w:lang w:bidi="he-IL"/>
        </w:rPr>
        <w:t xml:space="preserve"> victory over the Philistines</w:t>
      </w:r>
      <w:r w:rsidR="003B5FB4" w:rsidRPr="001F52A8">
        <w:rPr>
          <w:lang w:bidi="he-IL"/>
        </w:rPr>
        <w:t xml:space="preserve"> and further victories over</w:t>
      </w:r>
      <w:r w:rsidR="00805391" w:rsidRPr="001F52A8">
        <w:rPr>
          <w:lang w:bidi="he-IL"/>
        </w:rPr>
        <w:t xml:space="preserve"> the Moabites</w:t>
      </w:r>
      <w:r w:rsidR="00333C6F" w:rsidRPr="001F52A8">
        <w:rPr>
          <w:lang w:bidi="he-IL"/>
        </w:rPr>
        <w:t>,</w:t>
      </w:r>
      <w:r w:rsidR="00805391" w:rsidRPr="001F52A8">
        <w:rPr>
          <w:lang w:bidi="he-IL"/>
        </w:rPr>
        <w:t xml:space="preserve"> Arameans</w:t>
      </w:r>
      <w:r w:rsidR="00333C6F" w:rsidRPr="001F52A8">
        <w:rPr>
          <w:lang w:bidi="he-IL"/>
        </w:rPr>
        <w:t>, and Ammonites</w:t>
      </w:r>
      <w:r w:rsidR="003B5FB4" w:rsidRPr="001F52A8">
        <w:rPr>
          <w:lang w:bidi="he-IL"/>
        </w:rPr>
        <w:t xml:space="preserve">. </w:t>
      </w:r>
      <w:r w:rsidR="008029FC" w:rsidRPr="001F52A8">
        <w:rPr>
          <w:lang w:bidi="he-IL"/>
        </w:rPr>
        <w:t>The reports follow a description of Yahweh having settled David down in his house</w:t>
      </w:r>
      <w:r w:rsidR="00215081" w:rsidRPr="001F52A8">
        <w:rPr>
          <w:lang w:bidi="he-IL"/>
        </w:rPr>
        <w:t>, untroubled by enemies</w:t>
      </w:r>
      <w:r w:rsidR="008029FC" w:rsidRPr="001F52A8">
        <w:rPr>
          <w:lang w:bidi="he-IL"/>
        </w:rPr>
        <w:t xml:space="preserve"> </w:t>
      </w:r>
      <w:r w:rsidR="00C2398F">
        <w:rPr>
          <w:lang w:bidi="he-IL"/>
        </w:rPr>
        <w:t xml:space="preserve">all around </w:t>
      </w:r>
      <w:r w:rsidR="008029FC" w:rsidRPr="001F52A8">
        <w:rPr>
          <w:lang w:bidi="he-IL"/>
        </w:rPr>
        <w:t>(7:1)</w:t>
      </w:r>
      <w:r>
        <w:rPr>
          <w:lang w:bidi="he-IL"/>
        </w:rPr>
        <w:t>, b</w:t>
      </w:r>
      <w:r w:rsidR="00215081" w:rsidRPr="001F52A8">
        <w:rPr>
          <w:lang w:bidi="he-IL"/>
        </w:rPr>
        <w:t>ut that description looks like an oversimplification, as it has been in other contexts (see Josh 22:4; 23:1)</w:t>
      </w:r>
      <w:r w:rsidR="00A0399B">
        <w:rPr>
          <w:lang w:bidi="he-IL"/>
        </w:rPr>
        <w:t xml:space="preserve">. There is more settling with </w:t>
      </w:r>
      <w:r w:rsidR="00411BCC">
        <w:rPr>
          <w:lang w:bidi="he-IL"/>
        </w:rPr>
        <w:t>enemies that needs doing</w:t>
      </w:r>
      <w:r>
        <w:rPr>
          <w:lang w:bidi="he-IL"/>
        </w:rPr>
        <w:t>,</w:t>
      </w:r>
      <w:r w:rsidR="00411BCC">
        <w:rPr>
          <w:rStyle w:val="FootnoteReference"/>
          <w:lang w:bidi="he-IL"/>
        </w:rPr>
        <w:footnoteReference w:id="345"/>
      </w:r>
      <w:r w:rsidR="00411BCC">
        <w:rPr>
          <w:lang w:bidi="he-IL"/>
        </w:rPr>
        <w:t xml:space="preserve"> </w:t>
      </w:r>
      <w:r w:rsidR="00215081" w:rsidRPr="001F52A8">
        <w:rPr>
          <w:lang w:bidi="he-IL"/>
        </w:rPr>
        <w:t>and/or</w:t>
      </w:r>
      <w:r w:rsidR="008029FC" w:rsidRPr="001F52A8">
        <w:rPr>
          <w:lang w:bidi="he-IL"/>
        </w:rPr>
        <w:t xml:space="preserve"> this sequence provides a particularly clear </w:t>
      </w:r>
      <w:r w:rsidR="006A4ACA">
        <w:rPr>
          <w:lang w:bidi="he-IL"/>
        </w:rPr>
        <w:t>example of</w:t>
      </w:r>
      <w:r w:rsidR="008029FC" w:rsidRPr="001F52A8">
        <w:rPr>
          <w:lang w:bidi="he-IL"/>
        </w:rPr>
        <w:t xml:space="preserve"> the chapters follow</w:t>
      </w:r>
      <w:r w:rsidR="006A4ACA">
        <w:rPr>
          <w:lang w:bidi="he-IL"/>
        </w:rPr>
        <w:t>ing</w:t>
      </w:r>
      <w:r w:rsidR="008029FC" w:rsidRPr="001F52A8">
        <w:rPr>
          <w:lang w:bidi="he-IL"/>
        </w:rPr>
        <w:t xml:space="preserve"> a dramatic rather than chronological order. </w:t>
      </w:r>
      <w:r w:rsidR="009B2F95">
        <w:rPr>
          <w:lang w:bidi="he-IL"/>
        </w:rPr>
        <w:t>Indeed,</w:t>
      </w:r>
      <w:r w:rsidR="00CE2C4B">
        <w:rPr>
          <w:lang w:bidi="he-IL"/>
        </w:rPr>
        <w:t xml:space="preserve"> the narrative later reports more conflicts with the Philistines</w:t>
      </w:r>
      <w:r w:rsidR="00F4652B">
        <w:rPr>
          <w:lang w:bidi="he-IL"/>
        </w:rPr>
        <w:t xml:space="preserve"> (2 Sam 21:15-24)</w:t>
      </w:r>
      <w:r w:rsidR="00831039">
        <w:rPr>
          <w:lang w:bidi="he-IL"/>
        </w:rPr>
        <w:t xml:space="preserve">, </w:t>
      </w:r>
      <w:r w:rsidR="00F4652B">
        <w:t>when his men discourage him from getting involved</w:t>
      </w:r>
      <w:r w:rsidR="0052603B">
        <w:t xml:space="preserve"> </w:t>
      </w:r>
      <w:r w:rsidR="00F4652B">
        <w:t>because</w:t>
      </w:r>
      <w:r w:rsidR="0052603B">
        <w:t xml:space="preserve"> they don</w:t>
      </w:r>
      <w:r w:rsidR="00F4652B">
        <w:t>’</w:t>
      </w:r>
      <w:r w:rsidR="0052603B">
        <w:t xml:space="preserve">t want to risk the quenching of Israel’s </w:t>
      </w:r>
      <w:r w:rsidR="00F81233">
        <w:t>“</w:t>
      </w:r>
      <w:r w:rsidR="0052603B">
        <w:t>light</w:t>
      </w:r>
      <w:r w:rsidR="00F81233">
        <w:t>”</w:t>
      </w:r>
      <w:r w:rsidR="0052603B">
        <w:t xml:space="preserve"> (</w:t>
      </w:r>
      <w:r w:rsidR="0052603B">
        <w:rPr>
          <w:i/>
          <w:iCs/>
        </w:rPr>
        <w:t>n</w:t>
      </w:r>
      <w:r w:rsidR="0052603B">
        <w:rPr>
          <w:rFonts w:cstheme="minorHAnsi"/>
          <w:i/>
          <w:iCs/>
        </w:rPr>
        <w:t>ēr</w:t>
      </w:r>
      <w:r w:rsidR="0052603B">
        <w:rPr>
          <w:rFonts w:cstheme="minorHAnsi"/>
        </w:rPr>
        <w:t xml:space="preserve">; cf. </w:t>
      </w:r>
      <w:r w:rsidR="0052603B">
        <w:rPr>
          <w:rFonts w:cstheme="minorHAnsi"/>
          <w:i/>
          <w:iCs/>
        </w:rPr>
        <w:t xml:space="preserve">nîr </w:t>
      </w:r>
      <w:r w:rsidR="0052603B">
        <w:rPr>
          <w:rFonts w:cstheme="minorHAnsi"/>
        </w:rPr>
        <w:t xml:space="preserve">in </w:t>
      </w:r>
      <w:r w:rsidR="0052603B">
        <w:rPr>
          <w:rFonts w:cstheme="minorHAnsi"/>
        </w:rPr>
        <w:lastRenderedPageBreak/>
        <w:t>1 Kgs 11:36; 15:4; 2 Kgs 8:19)</w:t>
      </w:r>
      <w:r w:rsidR="0052603B">
        <w:t>.</w:t>
      </w:r>
      <w:r w:rsidR="00EC4A58">
        <w:t xml:space="preserve"> </w:t>
      </w:r>
      <w:r w:rsidR="00F4652B">
        <w:t xml:space="preserve">Maybe they are afraid he is past it. </w:t>
      </w:r>
      <w:r w:rsidR="001919DC">
        <w:t>Even in his h</w:t>
      </w:r>
      <w:r w:rsidR="000C3480">
        <w:t>e</w:t>
      </w:r>
      <w:r w:rsidR="001919DC">
        <w:t>y</w:t>
      </w:r>
      <w:r w:rsidR="008B6209">
        <w:t>day he apparently starts leaving the fighting to Joab (11:1)</w:t>
      </w:r>
      <w:r w:rsidR="00F4652B">
        <w:t>, and</w:t>
      </w:r>
      <w:r w:rsidR="005176B2">
        <w:t xml:space="preserve"> Samuel almost closes with a list other warriors</w:t>
      </w:r>
      <w:r w:rsidR="00155E00">
        <w:t xml:space="preserve">, through some of whom </w:t>
      </w:r>
      <w:r w:rsidR="007F5665">
        <w:t xml:space="preserve">“Yahweh brought about a great </w:t>
      </w:r>
      <w:r w:rsidR="007808E1">
        <w:t>deliverance”</w:t>
      </w:r>
      <w:r w:rsidR="005176B2">
        <w:t xml:space="preserve"> (23:</w:t>
      </w:r>
      <w:r w:rsidR="00334F2E">
        <w:t xml:space="preserve">10, </w:t>
      </w:r>
      <w:r w:rsidR="007808E1">
        <w:t>12</w:t>
      </w:r>
      <w:r w:rsidR="005176B2">
        <w:t>).</w:t>
      </w:r>
    </w:p>
    <w:p w14:paraId="7444F6BC" w14:textId="054D0C01" w:rsidR="008029FC" w:rsidRPr="001F52A8" w:rsidRDefault="00772F56" w:rsidP="008029FC">
      <w:pPr>
        <w:rPr>
          <w:lang w:bidi="he-IL"/>
        </w:rPr>
      </w:pPr>
      <w:r w:rsidRPr="001F52A8">
        <w:rPr>
          <w:lang w:bidi="he-IL"/>
        </w:rPr>
        <w:t xml:space="preserve">As a result of </w:t>
      </w:r>
      <w:r w:rsidR="00F4652B">
        <w:rPr>
          <w:lang w:bidi="he-IL"/>
        </w:rPr>
        <w:t>his</w:t>
      </w:r>
      <w:r w:rsidRPr="001F52A8">
        <w:rPr>
          <w:lang w:bidi="he-IL"/>
        </w:rPr>
        <w:t xml:space="preserve"> </w:t>
      </w:r>
      <w:r w:rsidR="00F4652B">
        <w:rPr>
          <w:lang w:bidi="he-IL"/>
        </w:rPr>
        <w:t>accomplishments,</w:t>
      </w:r>
      <w:r w:rsidR="00F4652B" w:rsidRPr="001F52A8">
        <w:rPr>
          <w:lang w:bidi="he-IL"/>
        </w:rPr>
        <w:t xml:space="preserve"> </w:t>
      </w:r>
      <w:r w:rsidRPr="001F52A8">
        <w:rPr>
          <w:lang w:bidi="he-IL"/>
        </w:rPr>
        <w:t xml:space="preserve">David becomes the dominant power between Egypt and Mesopotamia. </w:t>
      </w:r>
      <w:r w:rsidR="00F4652B">
        <w:rPr>
          <w:lang w:bidi="he-IL"/>
        </w:rPr>
        <w:t>It is</w:t>
      </w:r>
      <w:r w:rsidR="00F4652B" w:rsidRPr="001F52A8">
        <w:rPr>
          <w:lang w:bidi="he-IL"/>
        </w:rPr>
        <w:t xml:space="preserve"> a time of Egyptian weakness during the 21</w:t>
      </w:r>
      <w:r w:rsidR="00F4652B" w:rsidRPr="001F52A8">
        <w:rPr>
          <w:vertAlign w:val="superscript"/>
          <w:lang w:bidi="he-IL"/>
        </w:rPr>
        <w:t>st</w:t>
      </w:r>
      <w:r w:rsidR="00F4652B" w:rsidRPr="001F52A8">
        <w:rPr>
          <w:lang w:bidi="he-IL"/>
        </w:rPr>
        <w:t xml:space="preserve"> Dynasty, </w:t>
      </w:r>
      <w:r w:rsidR="00F4652B">
        <w:rPr>
          <w:lang w:bidi="he-IL"/>
        </w:rPr>
        <w:t>but it</w:t>
      </w:r>
      <w:r w:rsidRPr="001F52A8">
        <w:rPr>
          <w:lang w:bidi="he-IL"/>
        </w:rPr>
        <w:t xml:space="preserve"> is an astonishing achievement. </w:t>
      </w:r>
      <w:r w:rsidR="00C249C8" w:rsidRPr="001F52A8">
        <w:rPr>
          <w:lang w:bidi="he-IL"/>
        </w:rPr>
        <w:t xml:space="preserve">The battles are </w:t>
      </w:r>
      <w:r w:rsidR="00872900">
        <w:rPr>
          <w:lang w:bidi="he-IL"/>
        </w:rPr>
        <w:t xml:space="preserve">thus </w:t>
      </w:r>
      <w:r w:rsidR="00C249C8" w:rsidRPr="001F52A8">
        <w:rPr>
          <w:lang w:bidi="he-IL"/>
        </w:rPr>
        <w:t xml:space="preserve">not </w:t>
      </w:r>
      <w:r w:rsidR="00F4652B">
        <w:rPr>
          <w:lang w:bidi="he-IL"/>
        </w:rPr>
        <w:t xml:space="preserve">just </w:t>
      </w:r>
      <w:r w:rsidR="00C249C8" w:rsidRPr="001F52A8">
        <w:rPr>
          <w:lang w:bidi="he-IL"/>
        </w:rPr>
        <w:t>defensive wars like his earlier battles with the Philistines, nor wars undertaken to protect other people who were under attack, like Saul’s attack on the Ammonites, nor wars to put down Yahweh’s enemies, like Saul’s attack on the Amalekites</w:t>
      </w:r>
      <w:r w:rsidRPr="001F52A8">
        <w:rPr>
          <w:lang w:bidi="he-IL"/>
        </w:rPr>
        <w:t xml:space="preserve">. They </w:t>
      </w:r>
      <w:r w:rsidR="00F4652B">
        <w:rPr>
          <w:lang w:bidi="he-IL"/>
        </w:rPr>
        <w:t>include</w:t>
      </w:r>
      <w:r w:rsidR="00C249C8" w:rsidRPr="001F52A8">
        <w:rPr>
          <w:lang w:bidi="he-IL"/>
        </w:rPr>
        <w:t xml:space="preserve"> expansionist war</w:t>
      </w:r>
      <w:r w:rsidRPr="001F52A8">
        <w:rPr>
          <w:lang w:bidi="he-IL"/>
        </w:rPr>
        <w:t>s</w:t>
      </w:r>
      <w:r w:rsidR="00333C6F" w:rsidRPr="001F52A8">
        <w:rPr>
          <w:lang w:bidi="he-IL"/>
        </w:rPr>
        <w:t xml:space="preserve"> and wars of redress</w:t>
      </w:r>
      <w:r w:rsidRPr="001F52A8">
        <w:rPr>
          <w:lang w:bidi="he-IL"/>
        </w:rPr>
        <w:t xml:space="preserve">. </w:t>
      </w:r>
      <w:r w:rsidR="00872900">
        <w:rPr>
          <w:lang w:bidi="he-IL"/>
        </w:rPr>
        <w:t>They</w:t>
      </w:r>
      <w:r w:rsidR="003B5FB4" w:rsidRPr="001F52A8">
        <w:rPr>
          <w:lang w:bidi="he-IL"/>
        </w:rPr>
        <w:t xml:space="preserve"> fulfil</w:t>
      </w:r>
      <w:r w:rsidR="000D26A2">
        <w:rPr>
          <w:lang w:bidi="he-IL"/>
        </w:rPr>
        <w:t>l</w:t>
      </w:r>
      <w:r w:rsidR="003B5FB4" w:rsidRPr="001F52A8">
        <w:rPr>
          <w:lang w:bidi="he-IL"/>
        </w:rPr>
        <w:t xml:space="preserve"> </w:t>
      </w:r>
      <w:r w:rsidR="002E043E" w:rsidRPr="001F52A8">
        <w:rPr>
          <w:lang w:bidi="he-IL"/>
        </w:rPr>
        <w:t>political aims</w:t>
      </w:r>
      <w:r w:rsidR="0022111C" w:rsidRPr="001F52A8">
        <w:rPr>
          <w:lang w:bidi="he-IL"/>
        </w:rPr>
        <w:t xml:space="preserve">, </w:t>
      </w:r>
      <w:r w:rsidR="000D26A2">
        <w:rPr>
          <w:lang w:bidi="he-IL"/>
        </w:rPr>
        <w:t>foster</w:t>
      </w:r>
      <w:r w:rsidR="003B5FB4" w:rsidRPr="001F52A8">
        <w:rPr>
          <w:lang w:bidi="he-IL"/>
        </w:rPr>
        <w:t xml:space="preserve"> </w:t>
      </w:r>
      <w:r w:rsidR="00FD4112" w:rsidRPr="001F52A8">
        <w:rPr>
          <w:lang w:bidi="he-IL"/>
        </w:rPr>
        <w:t>national pride</w:t>
      </w:r>
      <w:r w:rsidR="00DB6DE3" w:rsidRPr="001F52A8">
        <w:rPr>
          <w:lang w:bidi="he-IL"/>
        </w:rPr>
        <w:t xml:space="preserve">, </w:t>
      </w:r>
      <w:r w:rsidR="00872900">
        <w:rPr>
          <w:lang w:bidi="he-IL"/>
        </w:rPr>
        <w:t>create</w:t>
      </w:r>
      <w:r w:rsidR="00C249C8" w:rsidRPr="001F52A8">
        <w:rPr>
          <w:lang w:bidi="he-IL"/>
        </w:rPr>
        <w:t xml:space="preserve"> a</w:t>
      </w:r>
      <w:r w:rsidR="00872900">
        <w:rPr>
          <w:lang w:bidi="he-IL"/>
        </w:rPr>
        <w:t>n</w:t>
      </w:r>
      <w:r w:rsidR="00C249C8" w:rsidRPr="001F52A8">
        <w:rPr>
          <w:lang w:bidi="he-IL"/>
        </w:rPr>
        <w:t xml:space="preserve"> </w:t>
      </w:r>
      <w:r w:rsidR="00872900">
        <w:rPr>
          <w:lang w:bidi="he-IL"/>
        </w:rPr>
        <w:t xml:space="preserve">international </w:t>
      </w:r>
      <w:r w:rsidR="00C249C8" w:rsidRPr="001F52A8">
        <w:rPr>
          <w:lang w:bidi="he-IL"/>
        </w:rPr>
        <w:t xml:space="preserve">reputation for David, </w:t>
      </w:r>
      <w:r w:rsidRPr="001F52A8">
        <w:rPr>
          <w:lang w:bidi="he-IL"/>
        </w:rPr>
        <w:t>establish</w:t>
      </w:r>
      <w:r w:rsidR="003B5FB4" w:rsidRPr="001F52A8">
        <w:rPr>
          <w:lang w:bidi="he-IL"/>
        </w:rPr>
        <w:t xml:space="preserve"> a small empire</w:t>
      </w:r>
      <w:r w:rsidR="00DC1312">
        <w:rPr>
          <w:lang w:bidi="he-IL"/>
        </w:rPr>
        <w:t>, and they bring</w:t>
      </w:r>
      <w:r w:rsidR="00DC1312" w:rsidRPr="001F52A8">
        <w:rPr>
          <w:lang w:bidi="he-IL"/>
        </w:rPr>
        <w:t xml:space="preserve"> economic gains</w:t>
      </w:r>
      <w:r w:rsidR="00DC1312">
        <w:rPr>
          <w:lang w:bidi="he-IL"/>
        </w:rPr>
        <w:t xml:space="preserve">; David paid for the materials in </w:t>
      </w:r>
      <w:r w:rsidR="00DC1312" w:rsidRPr="001F52A8">
        <w:rPr>
          <w:lang w:bidi="he-IL"/>
        </w:rPr>
        <w:t>5:11-12 somehow</w:t>
      </w:r>
      <w:r w:rsidR="00DC1312">
        <w:rPr>
          <w:lang w:bidi="he-IL"/>
        </w:rPr>
        <w:t>. He also</w:t>
      </w:r>
      <w:r w:rsidR="00872900" w:rsidRPr="001F52A8">
        <w:rPr>
          <w:lang w:bidi="he-IL"/>
        </w:rPr>
        <w:t xml:space="preserve"> dedicate</w:t>
      </w:r>
      <w:r w:rsidR="00872900">
        <w:rPr>
          <w:lang w:bidi="he-IL"/>
        </w:rPr>
        <w:t>d</w:t>
      </w:r>
      <w:r w:rsidR="00872900" w:rsidRPr="001F52A8">
        <w:rPr>
          <w:lang w:bidi="he-IL"/>
        </w:rPr>
        <w:t xml:space="preserve"> (</w:t>
      </w:r>
      <w:r w:rsidR="00872900" w:rsidRPr="001F52A8">
        <w:rPr>
          <w:i/>
          <w:iCs/>
          <w:lang w:bidi="he-IL"/>
        </w:rPr>
        <w:t>q</w:t>
      </w:r>
      <w:r w:rsidR="00872900" w:rsidRPr="001F52A8">
        <w:rPr>
          <w:rFonts w:cstheme="minorHAnsi"/>
          <w:i/>
          <w:iCs/>
          <w:lang w:bidi="he-IL"/>
        </w:rPr>
        <w:t xml:space="preserve">ādaš </w:t>
      </w:r>
      <w:r w:rsidR="00872900" w:rsidRPr="001F52A8">
        <w:rPr>
          <w:rFonts w:cstheme="minorHAnsi"/>
          <w:lang w:bidi="he-IL"/>
        </w:rPr>
        <w:t xml:space="preserve">hiphil) </w:t>
      </w:r>
      <w:r w:rsidR="00872900" w:rsidRPr="001F52A8">
        <w:rPr>
          <w:lang w:bidi="he-IL"/>
        </w:rPr>
        <w:t>a substantial amount of the spoils to Yahweh</w:t>
      </w:r>
      <w:r w:rsidR="00DC1312">
        <w:rPr>
          <w:lang w:bidi="he-IL"/>
        </w:rPr>
        <w:t xml:space="preserve">, which </w:t>
      </w:r>
      <w:r w:rsidR="00872900" w:rsidRPr="001F52A8">
        <w:rPr>
          <w:lang w:bidi="he-IL"/>
        </w:rPr>
        <w:t>might contribute to the cost of offerings in the tent sanctuary</w:t>
      </w:r>
      <w:r w:rsidR="00DC1312">
        <w:rPr>
          <w:lang w:bidi="he-IL"/>
        </w:rPr>
        <w:t xml:space="preserve"> and</w:t>
      </w:r>
      <w:r w:rsidR="00872900" w:rsidRPr="001F52A8">
        <w:rPr>
          <w:lang w:bidi="he-IL"/>
        </w:rPr>
        <w:t xml:space="preserve"> in due course to the building of the temple. </w:t>
      </w:r>
      <w:r w:rsidRPr="001F52A8">
        <w:rPr>
          <w:lang w:bidi="he-IL"/>
        </w:rPr>
        <w:t>These</w:t>
      </w:r>
      <w:r w:rsidR="003B5FB4" w:rsidRPr="001F52A8">
        <w:rPr>
          <w:lang w:bidi="he-IL"/>
        </w:rPr>
        <w:t xml:space="preserve"> </w:t>
      </w:r>
      <w:r w:rsidRPr="001F52A8">
        <w:rPr>
          <w:lang w:bidi="he-IL"/>
        </w:rPr>
        <w:t xml:space="preserve">ends </w:t>
      </w:r>
      <w:r w:rsidR="000D26A2">
        <w:rPr>
          <w:lang w:bidi="he-IL"/>
        </w:rPr>
        <w:t>we</w:t>
      </w:r>
      <w:r w:rsidRPr="001F52A8">
        <w:rPr>
          <w:lang w:bidi="he-IL"/>
        </w:rPr>
        <w:t xml:space="preserve">re </w:t>
      </w:r>
      <w:r w:rsidR="003B5FB4" w:rsidRPr="001F52A8">
        <w:rPr>
          <w:lang w:bidi="he-IL"/>
        </w:rPr>
        <w:t xml:space="preserve">achieved </w:t>
      </w:r>
      <w:r w:rsidR="000D26A2" w:rsidRPr="001F52A8">
        <w:rPr>
          <w:lang w:bidi="he-IL"/>
        </w:rPr>
        <w:t xml:space="preserve">with the accompaniment </w:t>
      </w:r>
      <w:r w:rsidR="003B5FB4" w:rsidRPr="001F52A8">
        <w:rPr>
          <w:lang w:bidi="he-IL"/>
        </w:rPr>
        <w:t xml:space="preserve">of </w:t>
      </w:r>
      <w:r w:rsidR="006575A7" w:rsidRPr="001F52A8">
        <w:rPr>
          <w:lang w:bidi="he-IL"/>
        </w:rPr>
        <w:t>cruelty to animals</w:t>
      </w:r>
      <w:r w:rsidR="000D26A2">
        <w:rPr>
          <w:lang w:bidi="he-IL"/>
        </w:rPr>
        <w:t xml:space="preserve"> and</w:t>
      </w:r>
      <w:r w:rsidR="0062470C" w:rsidRPr="001F52A8">
        <w:rPr>
          <w:lang w:bidi="he-IL"/>
        </w:rPr>
        <w:t xml:space="preserve"> inhumane </w:t>
      </w:r>
      <w:r w:rsidR="00DB6DE3" w:rsidRPr="001F52A8">
        <w:rPr>
          <w:lang w:bidi="he-IL"/>
        </w:rPr>
        <w:t xml:space="preserve">treatment of </w:t>
      </w:r>
      <w:r w:rsidR="0062470C" w:rsidRPr="001F52A8">
        <w:rPr>
          <w:lang w:bidi="he-IL"/>
        </w:rPr>
        <w:t>prisoners</w:t>
      </w:r>
      <w:r w:rsidR="000D26A2">
        <w:rPr>
          <w:lang w:bidi="he-IL"/>
        </w:rPr>
        <w:t xml:space="preserve"> (8:1-8)</w:t>
      </w:r>
      <w:r w:rsidR="006E0285" w:rsidRPr="001F52A8">
        <w:rPr>
          <w:lang w:bidi="he-IL"/>
        </w:rPr>
        <w:t>.</w:t>
      </w:r>
      <w:r w:rsidR="006E0285" w:rsidRPr="001F52A8">
        <w:rPr>
          <w:rStyle w:val="FootnoteReference"/>
          <w:lang w:bidi="he-IL"/>
        </w:rPr>
        <w:footnoteReference w:id="346"/>
      </w:r>
      <w:r w:rsidR="003B5FB4" w:rsidRPr="001F52A8">
        <w:rPr>
          <w:lang w:bidi="he-IL"/>
        </w:rPr>
        <w:t xml:space="preserve"> </w:t>
      </w:r>
      <w:r w:rsidR="00333C6F" w:rsidRPr="001F52A8">
        <w:rPr>
          <w:lang w:bidi="he-IL"/>
        </w:rPr>
        <w:t xml:space="preserve">There </w:t>
      </w:r>
      <w:r w:rsidR="000D26A2">
        <w:rPr>
          <w:lang w:bidi="he-IL"/>
        </w:rPr>
        <w:t>was</w:t>
      </w:r>
      <w:r w:rsidR="00333C6F" w:rsidRPr="001F52A8">
        <w:rPr>
          <w:lang w:bidi="he-IL"/>
        </w:rPr>
        <w:t xml:space="preserve"> no inquiring of Yahweh before these campaigns, though there </w:t>
      </w:r>
      <w:r w:rsidR="000D26A2">
        <w:rPr>
          <w:lang w:bidi="he-IL"/>
        </w:rPr>
        <w:t>was</w:t>
      </w:r>
      <w:r w:rsidR="00333C6F" w:rsidRPr="001F52A8">
        <w:rPr>
          <w:lang w:bidi="he-IL"/>
        </w:rPr>
        <w:t xml:space="preserve"> a prayer, by Joab (!) (10:12).</w:t>
      </w:r>
      <w:r w:rsidR="00333C6F" w:rsidRPr="001F52A8">
        <w:rPr>
          <w:rStyle w:val="FootnoteReference"/>
          <w:lang w:bidi="he-IL"/>
        </w:rPr>
        <w:footnoteReference w:id="347"/>
      </w:r>
      <w:r w:rsidR="00333C6F" w:rsidRPr="001F52A8">
        <w:rPr>
          <w:lang w:bidi="he-IL"/>
        </w:rPr>
        <w:t xml:space="preserve"> But</w:t>
      </w:r>
      <w:r w:rsidR="003B5FB4" w:rsidRPr="001F52A8">
        <w:rPr>
          <w:lang w:bidi="he-IL"/>
        </w:rPr>
        <w:t xml:space="preserve"> in th</w:t>
      </w:r>
      <w:r w:rsidR="00C249C8" w:rsidRPr="001F52A8">
        <w:rPr>
          <w:lang w:bidi="he-IL"/>
        </w:rPr>
        <w:t>ese ventures</w:t>
      </w:r>
      <w:r w:rsidR="003B5FB4" w:rsidRPr="001F52A8">
        <w:rPr>
          <w:lang w:bidi="he-IL"/>
        </w:rPr>
        <w:t>, “</w:t>
      </w:r>
      <w:r w:rsidR="00B670F1" w:rsidRPr="001F52A8">
        <w:rPr>
          <w:lang w:bidi="he-IL"/>
        </w:rPr>
        <w:t>Yahweh delivered</w:t>
      </w:r>
      <w:r w:rsidR="00DB6DE3" w:rsidRPr="001F52A8">
        <w:rPr>
          <w:lang w:bidi="he-IL"/>
        </w:rPr>
        <w:t xml:space="preserve"> </w:t>
      </w:r>
      <w:r w:rsidR="003B5FB4" w:rsidRPr="001F52A8">
        <w:rPr>
          <w:lang w:bidi="he-IL"/>
        </w:rPr>
        <w:t>David wherever he went</w:t>
      </w:r>
      <w:r w:rsidR="00C249C8" w:rsidRPr="001F52A8">
        <w:rPr>
          <w:lang w:bidi="he-IL"/>
        </w:rPr>
        <w:t>” (8:6, 14)</w:t>
      </w:r>
      <w:r w:rsidR="00872900">
        <w:rPr>
          <w:lang w:bidi="he-IL"/>
        </w:rPr>
        <w:t>.</w:t>
      </w:r>
      <w:r w:rsidR="00F27E84" w:rsidRPr="001F52A8">
        <w:rPr>
          <w:lang w:bidi="he-IL"/>
        </w:rPr>
        <w:t xml:space="preserve"> </w:t>
      </w:r>
      <w:r w:rsidR="00DC1312" w:rsidRPr="001F52A8">
        <w:rPr>
          <w:lang w:bidi="he-IL"/>
        </w:rPr>
        <w:t>The victories do not imply a recognition of David’s faithfulness; Yahweh was often delivering Israel in Judges.</w:t>
      </w:r>
      <w:r w:rsidR="00DC1312" w:rsidRPr="001F52A8">
        <w:rPr>
          <w:rStyle w:val="FootnoteReference"/>
          <w:lang w:bidi="he-IL"/>
        </w:rPr>
        <w:footnoteReference w:id="348"/>
      </w:r>
      <w:r w:rsidR="00DC1312">
        <w:rPr>
          <w:lang w:bidi="he-IL"/>
        </w:rPr>
        <w:t xml:space="preserve"> But o</w:t>
      </w:r>
      <w:r w:rsidR="00872900" w:rsidRPr="001F52A8">
        <w:rPr>
          <w:lang w:bidi="he-IL"/>
        </w:rPr>
        <w:t xml:space="preserve">nce again, there is a synergy of human activity and divine activity in what happens. The achievements would not come about without David’s activity; they would not come about without Yahweh’s activity. They resemble the conceiving and birthing of a child. </w:t>
      </w:r>
    </w:p>
    <w:p w14:paraId="06892A80" w14:textId="15051522" w:rsidR="0017645D" w:rsidRPr="001F52A8" w:rsidRDefault="0017645D" w:rsidP="00190E04">
      <w:pPr>
        <w:rPr>
          <w:lang w:bidi="he-IL"/>
        </w:rPr>
      </w:pPr>
      <w:r w:rsidRPr="001F52A8">
        <w:rPr>
          <w:lang w:bidi="he-IL"/>
        </w:rPr>
        <w:t xml:space="preserve">Modern readers of </w:t>
      </w:r>
      <w:r w:rsidR="004714A1" w:rsidRPr="001F52A8">
        <w:rPr>
          <w:lang w:bidi="he-IL"/>
        </w:rPr>
        <w:t>the David story may be inclined to contrast his military acti</w:t>
      </w:r>
      <w:r w:rsidR="00A01695" w:rsidRPr="001F52A8">
        <w:rPr>
          <w:lang w:bidi="he-IL"/>
        </w:rPr>
        <w:t xml:space="preserve">vity with the </w:t>
      </w:r>
      <w:r w:rsidR="000164B4" w:rsidRPr="001F52A8">
        <w:rPr>
          <w:lang w:bidi="he-IL"/>
        </w:rPr>
        <w:t>imperative to love one’s enem</w:t>
      </w:r>
      <w:r w:rsidR="00D455B1">
        <w:rPr>
          <w:lang w:bidi="he-IL"/>
        </w:rPr>
        <w:t>ies</w:t>
      </w:r>
      <w:r w:rsidR="000164B4" w:rsidRPr="001F52A8">
        <w:rPr>
          <w:lang w:bidi="he-IL"/>
        </w:rPr>
        <w:t xml:space="preserve">, but theological reflection </w:t>
      </w:r>
      <w:r w:rsidR="00147E3C" w:rsidRPr="001F52A8">
        <w:rPr>
          <w:lang w:bidi="he-IL"/>
        </w:rPr>
        <w:t>can</w:t>
      </w:r>
      <w:r w:rsidR="008029FC" w:rsidRPr="001F52A8">
        <w:rPr>
          <w:lang w:bidi="he-IL"/>
        </w:rPr>
        <w:t>not</w:t>
      </w:r>
      <w:r w:rsidR="00147E3C" w:rsidRPr="001F52A8">
        <w:rPr>
          <w:lang w:bidi="he-IL"/>
        </w:rPr>
        <w:t xml:space="preserve"> stop there</w:t>
      </w:r>
      <w:r w:rsidR="008029FC" w:rsidRPr="001F52A8">
        <w:rPr>
          <w:lang w:bidi="he-IL"/>
        </w:rPr>
        <w:t>, or even start there</w:t>
      </w:r>
      <w:r w:rsidR="00147E3C" w:rsidRPr="001F52A8">
        <w:rPr>
          <w:lang w:bidi="he-IL"/>
        </w:rPr>
        <w:t xml:space="preserve">. David </w:t>
      </w:r>
      <w:r w:rsidR="000D26A2">
        <w:rPr>
          <w:lang w:bidi="he-IL"/>
        </w:rPr>
        <w:t>recognizes</w:t>
      </w:r>
      <w:r w:rsidR="00147E3C" w:rsidRPr="001F52A8">
        <w:rPr>
          <w:lang w:bidi="he-IL"/>
        </w:rPr>
        <w:t xml:space="preserve"> the obligation to love one’s enem</w:t>
      </w:r>
      <w:r w:rsidR="00D455B1">
        <w:rPr>
          <w:lang w:bidi="he-IL"/>
        </w:rPr>
        <w:t>ies</w:t>
      </w:r>
      <w:r w:rsidR="00E303A8" w:rsidRPr="001F52A8">
        <w:rPr>
          <w:lang w:bidi="he-IL"/>
        </w:rPr>
        <w:t xml:space="preserve">; he does so in relation to Saul </w:t>
      </w:r>
      <w:r w:rsidR="00FA750C" w:rsidRPr="001F52A8">
        <w:rPr>
          <w:lang w:bidi="he-IL"/>
        </w:rPr>
        <w:t>and to Shimei (</w:t>
      </w:r>
      <w:r w:rsidR="00FF4294" w:rsidRPr="001F52A8">
        <w:rPr>
          <w:lang w:bidi="he-IL"/>
        </w:rPr>
        <w:t>16:5-</w:t>
      </w:r>
      <w:r w:rsidR="00291DAC" w:rsidRPr="001F52A8">
        <w:rPr>
          <w:lang w:bidi="he-IL"/>
        </w:rPr>
        <w:t>14).</w:t>
      </w:r>
      <w:r w:rsidR="00FF1D6E" w:rsidRPr="001F52A8">
        <w:rPr>
          <w:lang w:bidi="he-IL"/>
        </w:rPr>
        <w:t xml:space="preserve"> Conversely, the Jesus who tells people to love their enem</w:t>
      </w:r>
      <w:r w:rsidR="00D455B1">
        <w:rPr>
          <w:lang w:bidi="he-IL"/>
        </w:rPr>
        <w:t>ies</w:t>
      </w:r>
      <w:r w:rsidR="00D0021B" w:rsidRPr="001F52A8">
        <w:rPr>
          <w:lang w:bidi="he-IL"/>
        </w:rPr>
        <w:t xml:space="preserve"> (Matt</w:t>
      </w:r>
      <w:r w:rsidR="00CF4F0C" w:rsidRPr="001F52A8">
        <w:rPr>
          <w:lang w:bidi="he-IL"/>
        </w:rPr>
        <w:t xml:space="preserve"> </w:t>
      </w:r>
      <w:r w:rsidR="00BB259E" w:rsidRPr="001F52A8">
        <w:rPr>
          <w:lang w:bidi="he-IL"/>
        </w:rPr>
        <w:t>5:44)</w:t>
      </w:r>
      <w:r w:rsidR="00FF1D6E" w:rsidRPr="001F52A8">
        <w:rPr>
          <w:lang w:bidi="he-IL"/>
        </w:rPr>
        <w:t xml:space="preserve"> also </w:t>
      </w:r>
      <w:r w:rsidR="00D0021B" w:rsidRPr="001F52A8">
        <w:rPr>
          <w:lang w:bidi="he-IL"/>
        </w:rPr>
        <w:t xml:space="preserve">looks forward to repaying everyone for what they have done </w:t>
      </w:r>
      <w:r w:rsidR="00BB259E" w:rsidRPr="001F52A8">
        <w:rPr>
          <w:lang w:bidi="he-IL"/>
        </w:rPr>
        <w:t>(</w:t>
      </w:r>
      <w:r w:rsidR="00CA11AF" w:rsidRPr="001F52A8">
        <w:rPr>
          <w:lang w:bidi="he-IL"/>
        </w:rPr>
        <w:t>Matt 16:27</w:t>
      </w:r>
      <w:r w:rsidR="005A7D14" w:rsidRPr="001F52A8">
        <w:rPr>
          <w:lang w:bidi="he-IL"/>
        </w:rPr>
        <w:t>; cf. Rom 2:</w:t>
      </w:r>
      <w:r w:rsidR="00B176AC" w:rsidRPr="001F52A8">
        <w:rPr>
          <w:lang w:bidi="he-IL"/>
        </w:rPr>
        <w:t>6-11</w:t>
      </w:r>
      <w:r w:rsidR="00936AC6" w:rsidRPr="001F52A8">
        <w:rPr>
          <w:lang w:bidi="he-IL"/>
        </w:rPr>
        <w:t>; Rev 22:12)</w:t>
      </w:r>
      <w:r w:rsidR="00675B2B" w:rsidRPr="001F52A8">
        <w:rPr>
          <w:lang w:bidi="he-IL"/>
        </w:rPr>
        <w:t xml:space="preserve"> a</w:t>
      </w:r>
      <w:r w:rsidR="000D26A2">
        <w:rPr>
          <w:lang w:bidi="he-IL"/>
        </w:rPr>
        <w:t>s well as</w:t>
      </w:r>
      <w:r w:rsidR="00675B2B" w:rsidRPr="001F52A8">
        <w:rPr>
          <w:lang w:bidi="he-IL"/>
        </w:rPr>
        <w:t xml:space="preserve"> to </w:t>
      </w:r>
      <w:r w:rsidR="00F5504F" w:rsidRPr="001F52A8">
        <w:rPr>
          <w:lang w:bidi="he-IL"/>
        </w:rPr>
        <w:t xml:space="preserve">arranging </w:t>
      </w:r>
      <w:r w:rsidR="00753EBD" w:rsidRPr="001F52A8">
        <w:rPr>
          <w:lang w:bidi="he-IL"/>
        </w:rPr>
        <w:t xml:space="preserve">the </w:t>
      </w:r>
      <w:r w:rsidR="00F5504F" w:rsidRPr="001F52A8">
        <w:rPr>
          <w:lang w:bidi="he-IL"/>
        </w:rPr>
        <w:t>eternal punishment</w:t>
      </w:r>
      <w:r w:rsidR="00753EBD" w:rsidRPr="001F52A8">
        <w:rPr>
          <w:lang w:bidi="he-IL"/>
        </w:rPr>
        <w:t xml:space="preserve"> of people w</w:t>
      </w:r>
      <w:r w:rsidR="000D26A2">
        <w:rPr>
          <w:lang w:bidi="he-IL"/>
        </w:rPr>
        <w:t>h</w:t>
      </w:r>
      <w:r w:rsidR="00753EBD" w:rsidRPr="001F52A8">
        <w:rPr>
          <w:lang w:bidi="he-IL"/>
        </w:rPr>
        <w:t xml:space="preserve">o have not </w:t>
      </w:r>
      <w:r w:rsidR="00D94BE8" w:rsidRPr="001F52A8">
        <w:rPr>
          <w:lang w:bidi="he-IL"/>
        </w:rPr>
        <w:t>looked after his brothers and sisters (Matt 25:31-46)</w:t>
      </w:r>
      <w:r w:rsidR="00936AC6" w:rsidRPr="001F52A8">
        <w:rPr>
          <w:lang w:bidi="he-IL"/>
        </w:rPr>
        <w:t>.</w:t>
      </w:r>
      <w:r w:rsidR="00B50F6A" w:rsidRPr="001F52A8">
        <w:rPr>
          <w:lang w:bidi="he-IL"/>
        </w:rPr>
        <w:t xml:space="preserve"> </w:t>
      </w:r>
      <w:r w:rsidR="00B424C9" w:rsidRPr="001F52A8">
        <w:rPr>
          <w:lang w:bidi="he-IL"/>
        </w:rPr>
        <w:t>C</w:t>
      </w:r>
      <w:r w:rsidR="00C602A5" w:rsidRPr="001F52A8">
        <w:rPr>
          <w:lang w:bidi="he-IL"/>
        </w:rPr>
        <w:t xml:space="preserve">an we </w:t>
      </w:r>
      <w:r w:rsidR="00D455B1">
        <w:rPr>
          <w:lang w:bidi="he-IL"/>
        </w:rPr>
        <w:t>resolve</w:t>
      </w:r>
      <w:r w:rsidR="00C602A5" w:rsidRPr="001F52A8">
        <w:rPr>
          <w:lang w:bidi="he-IL"/>
        </w:rPr>
        <w:t xml:space="preserve"> the tension between these two stances?</w:t>
      </w:r>
    </w:p>
    <w:p w14:paraId="433223D4" w14:textId="18FF3402" w:rsidR="00C602A5" w:rsidRPr="001F52A8" w:rsidRDefault="006B1B67" w:rsidP="00D455B1">
      <w:pPr>
        <w:tabs>
          <w:tab w:val="left" w:pos="4680"/>
        </w:tabs>
        <w:rPr>
          <w:lang w:bidi="he-IL"/>
        </w:rPr>
      </w:pPr>
      <w:r w:rsidRPr="001F52A8">
        <w:rPr>
          <w:lang w:bidi="he-IL"/>
        </w:rPr>
        <w:t xml:space="preserve">One aspect of the teasing </w:t>
      </w:r>
      <w:r w:rsidR="000D26A2">
        <w:rPr>
          <w:lang w:bidi="he-IL"/>
        </w:rPr>
        <w:t xml:space="preserve">out </w:t>
      </w:r>
      <w:r w:rsidRPr="001F52A8">
        <w:rPr>
          <w:lang w:bidi="he-IL"/>
        </w:rPr>
        <w:t xml:space="preserve">lies in noting the difference between </w:t>
      </w:r>
      <w:r w:rsidR="006B4BAE" w:rsidRPr="001F52A8">
        <w:rPr>
          <w:lang w:bidi="he-IL"/>
        </w:rPr>
        <w:t>people who act with enmity to us and people who act wrongly</w:t>
      </w:r>
      <w:r w:rsidR="006D20D2" w:rsidRPr="001F52A8">
        <w:rPr>
          <w:lang w:bidi="he-IL"/>
        </w:rPr>
        <w:t xml:space="preserve"> towards other people, between enemies within our own family </w:t>
      </w:r>
      <w:r w:rsidR="00882139" w:rsidRPr="001F52A8">
        <w:rPr>
          <w:lang w:bidi="he-IL"/>
        </w:rPr>
        <w:t xml:space="preserve">or people </w:t>
      </w:r>
      <w:r w:rsidR="006D20D2" w:rsidRPr="001F52A8">
        <w:rPr>
          <w:lang w:bidi="he-IL"/>
        </w:rPr>
        <w:t xml:space="preserve">and </w:t>
      </w:r>
      <w:r w:rsidR="00882139" w:rsidRPr="001F52A8">
        <w:rPr>
          <w:lang w:bidi="he-IL"/>
        </w:rPr>
        <w:t>enemies</w:t>
      </w:r>
      <w:r w:rsidR="006D20D2" w:rsidRPr="001F52A8">
        <w:rPr>
          <w:lang w:bidi="he-IL"/>
        </w:rPr>
        <w:t xml:space="preserve"> </w:t>
      </w:r>
      <w:r w:rsidR="00882139" w:rsidRPr="001F52A8">
        <w:rPr>
          <w:lang w:bidi="he-IL"/>
        </w:rPr>
        <w:t>with</w:t>
      </w:r>
      <w:r w:rsidR="006D20D2" w:rsidRPr="001F52A8">
        <w:rPr>
          <w:lang w:bidi="he-IL"/>
        </w:rPr>
        <w:t>in other families</w:t>
      </w:r>
      <w:r w:rsidR="00882139" w:rsidRPr="001F52A8">
        <w:rPr>
          <w:lang w:bidi="he-IL"/>
        </w:rPr>
        <w:t xml:space="preserve"> or peoples</w:t>
      </w:r>
      <w:r w:rsidR="00D455B1">
        <w:rPr>
          <w:lang w:bidi="he-IL"/>
        </w:rPr>
        <w:t>,</w:t>
      </w:r>
      <w:r w:rsidR="00AE0827" w:rsidRPr="001F52A8">
        <w:rPr>
          <w:lang w:bidi="he-IL"/>
        </w:rPr>
        <w:t xml:space="preserve"> between personal enemies and national enemies, or between </w:t>
      </w:r>
      <w:r w:rsidR="0056456A" w:rsidRPr="001F52A8">
        <w:rPr>
          <w:lang w:bidi="he-IL"/>
        </w:rPr>
        <w:t>individuals and nations.</w:t>
      </w:r>
      <w:r w:rsidR="003B4780" w:rsidRPr="001F52A8">
        <w:rPr>
          <w:lang w:bidi="he-IL"/>
        </w:rPr>
        <w:t xml:space="preserve"> Paul speaks of </w:t>
      </w:r>
      <w:r w:rsidR="0061129F" w:rsidRPr="001F52A8">
        <w:rPr>
          <w:lang w:bidi="he-IL"/>
        </w:rPr>
        <w:t xml:space="preserve">not taking redress from one’s </w:t>
      </w:r>
      <w:r w:rsidR="00872210" w:rsidRPr="001F52A8">
        <w:rPr>
          <w:lang w:bidi="he-IL"/>
        </w:rPr>
        <w:t xml:space="preserve">enemies </w:t>
      </w:r>
      <w:r w:rsidR="00B424C9" w:rsidRPr="001F52A8">
        <w:rPr>
          <w:lang w:bidi="he-IL"/>
        </w:rPr>
        <w:t xml:space="preserve">but </w:t>
      </w:r>
      <w:r w:rsidR="00872210" w:rsidRPr="001F52A8">
        <w:rPr>
          <w:lang w:bidi="he-IL"/>
        </w:rPr>
        <w:t xml:space="preserve">rather </w:t>
      </w:r>
      <w:r w:rsidR="00B424C9" w:rsidRPr="001F52A8">
        <w:rPr>
          <w:lang w:bidi="he-IL"/>
        </w:rPr>
        <w:t>feeding</w:t>
      </w:r>
      <w:r w:rsidR="00B4297F" w:rsidRPr="001F52A8">
        <w:rPr>
          <w:lang w:bidi="he-IL"/>
        </w:rPr>
        <w:t xml:space="preserve"> </w:t>
      </w:r>
      <w:r w:rsidR="00872210" w:rsidRPr="001F52A8">
        <w:rPr>
          <w:lang w:bidi="he-IL"/>
        </w:rPr>
        <w:t xml:space="preserve">them (Rom </w:t>
      </w:r>
      <w:r w:rsidR="00A714C9" w:rsidRPr="001F52A8">
        <w:rPr>
          <w:lang w:bidi="he-IL"/>
        </w:rPr>
        <w:t>12:19-20</w:t>
      </w:r>
      <w:r w:rsidR="0061129F" w:rsidRPr="001F52A8">
        <w:rPr>
          <w:lang w:bidi="he-IL"/>
        </w:rPr>
        <w:t xml:space="preserve">), picking </w:t>
      </w:r>
      <w:r w:rsidR="002A19E7" w:rsidRPr="001F52A8">
        <w:rPr>
          <w:lang w:bidi="he-IL"/>
        </w:rPr>
        <w:t xml:space="preserve">up </w:t>
      </w:r>
      <w:r w:rsidR="00326FB8" w:rsidRPr="001F52A8">
        <w:rPr>
          <w:lang w:bidi="he-IL"/>
        </w:rPr>
        <w:t xml:space="preserve">from </w:t>
      </w:r>
      <w:r w:rsidR="002A19E7" w:rsidRPr="001F52A8">
        <w:rPr>
          <w:lang w:bidi="he-IL"/>
        </w:rPr>
        <w:t xml:space="preserve">Proverbs </w:t>
      </w:r>
      <w:r w:rsidR="00326FB8" w:rsidRPr="001F52A8">
        <w:rPr>
          <w:lang w:bidi="he-IL"/>
        </w:rPr>
        <w:t>(</w:t>
      </w:r>
      <w:r w:rsidR="002A19E7" w:rsidRPr="001F52A8">
        <w:rPr>
          <w:lang w:bidi="he-IL"/>
        </w:rPr>
        <w:t>2</w:t>
      </w:r>
      <w:r w:rsidR="00326FB8" w:rsidRPr="001F52A8">
        <w:rPr>
          <w:lang w:bidi="he-IL"/>
        </w:rPr>
        <w:t>0</w:t>
      </w:r>
      <w:r w:rsidR="002A19E7" w:rsidRPr="001F52A8">
        <w:rPr>
          <w:lang w:bidi="he-IL"/>
        </w:rPr>
        <w:t>:22; 25:21-22</w:t>
      </w:r>
      <w:r w:rsidR="00326FB8" w:rsidRPr="001F52A8">
        <w:rPr>
          <w:lang w:bidi="he-IL"/>
        </w:rPr>
        <w:t>)</w:t>
      </w:r>
      <w:r w:rsidR="0013550B" w:rsidRPr="001F52A8">
        <w:rPr>
          <w:lang w:bidi="he-IL"/>
        </w:rPr>
        <w:t xml:space="preserve">, </w:t>
      </w:r>
      <w:r w:rsidR="00B424C9" w:rsidRPr="001F52A8">
        <w:rPr>
          <w:lang w:bidi="he-IL"/>
        </w:rPr>
        <w:t xml:space="preserve">but </w:t>
      </w:r>
      <w:r w:rsidR="0013550B" w:rsidRPr="001F52A8">
        <w:rPr>
          <w:lang w:bidi="he-IL"/>
        </w:rPr>
        <w:t xml:space="preserve">goes on to note that it is the </w:t>
      </w:r>
      <w:r w:rsidR="0025290C" w:rsidRPr="001F52A8">
        <w:rPr>
          <w:lang w:bidi="he-IL"/>
        </w:rPr>
        <w:t xml:space="preserve">imperial authorities’ job to </w:t>
      </w:r>
      <w:r w:rsidR="00652E9A" w:rsidRPr="001F52A8">
        <w:rPr>
          <w:lang w:bidi="he-IL"/>
        </w:rPr>
        <w:t>wield weapons that will execute wrath</w:t>
      </w:r>
      <w:r w:rsidR="006A26CF" w:rsidRPr="001F52A8">
        <w:rPr>
          <w:lang w:bidi="he-IL"/>
        </w:rPr>
        <w:t xml:space="preserve"> on wrongdoers (Rom 13:1-4)</w:t>
      </w:r>
      <w:r w:rsidR="00DA1DF7" w:rsidRPr="001F52A8">
        <w:rPr>
          <w:lang w:bidi="he-IL"/>
        </w:rPr>
        <w:t xml:space="preserve">. </w:t>
      </w:r>
      <w:r w:rsidR="0067129C" w:rsidRPr="001F52A8">
        <w:rPr>
          <w:lang w:bidi="he-IL"/>
        </w:rPr>
        <w:t xml:space="preserve">While it may </w:t>
      </w:r>
      <w:r w:rsidR="007C6F2C" w:rsidRPr="001F52A8">
        <w:rPr>
          <w:lang w:bidi="he-IL"/>
        </w:rPr>
        <w:t xml:space="preserve">require extravagant courage and hope to </w:t>
      </w:r>
      <w:r w:rsidR="0067129C" w:rsidRPr="001F52A8">
        <w:rPr>
          <w:lang w:bidi="he-IL"/>
        </w:rPr>
        <w:t>tell individuals to love their enemies</w:t>
      </w:r>
      <w:r w:rsidR="007C6F2C" w:rsidRPr="001F52A8">
        <w:rPr>
          <w:lang w:bidi="he-IL"/>
        </w:rPr>
        <w:t>, it m</w:t>
      </w:r>
      <w:r w:rsidR="004C655E">
        <w:rPr>
          <w:lang w:bidi="he-IL"/>
        </w:rPr>
        <w:t>ay</w:t>
      </w:r>
      <w:r w:rsidR="007C6F2C" w:rsidRPr="001F52A8">
        <w:rPr>
          <w:lang w:bidi="he-IL"/>
        </w:rPr>
        <w:t xml:space="preserve"> require </w:t>
      </w:r>
      <w:r w:rsidR="00CC79C9" w:rsidRPr="001F52A8">
        <w:rPr>
          <w:lang w:bidi="he-IL"/>
        </w:rPr>
        <w:t>even more unreasonable courage and hope to tell nations to do so.</w:t>
      </w:r>
      <w:r w:rsidR="004C655E">
        <w:rPr>
          <w:rStyle w:val="FootnoteReference"/>
          <w:lang w:bidi="he-IL"/>
        </w:rPr>
        <w:footnoteReference w:id="349"/>
      </w:r>
      <w:r w:rsidR="007D5B83" w:rsidRPr="001F52A8">
        <w:rPr>
          <w:lang w:bidi="he-IL"/>
        </w:rPr>
        <w:t xml:space="preserve"> </w:t>
      </w:r>
      <w:r w:rsidR="00D455B1">
        <w:rPr>
          <w:lang w:bidi="he-IL"/>
        </w:rPr>
        <w:t>T</w:t>
      </w:r>
      <w:r w:rsidR="007D5B83" w:rsidRPr="001F52A8">
        <w:rPr>
          <w:lang w:bidi="he-IL"/>
        </w:rPr>
        <w:t xml:space="preserve">hat consideration </w:t>
      </w:r>
      <w:r w:rsidR="00D455B1">
        <w:rPr>
          <w:lang w:bidi="he-IL"/>
        </w:rPr>
        <w:t xml:space="preserve">may </w:t>
      </w:r>
      <w:r w:rsidR="007D5B83" w:rsidRPr="001F52A8">
        <w:rPr>
          <w:lang w:bidi="he-IL"/>
        </w:rPr>
        <w:t>offer a clue to the difference in scriptural attitudes to questions about nation</w:t>
      </w:r>
      <w:r w:rsidR="003F5DD7" w:rsidRPr="001F52A8">
        <w:rPr>
          <w:lang w:bidi="he-IL"/>
        </w:rPr>
        <w:t>al violence</w:t>
      </w:r>
      <w:r w:rsidR="007D5B83" w:rsidRPr="001F52A8">
        <w:rPr>
          <w:lang w:bidi="he-IL"/>
        </w:rPr>
        <w:t xml:space="preserve"> and questions about individual</w:t>
      </w:r>
      <w:r w:rsidR="003F5DD7" w:rsidRPr="001F52A8">
        <w:rPr>
          <w:lang w:bidi="he-IL"/>
        </w:rPr>
        <w:t xml:space="preserve"> violence. Israel gets in trouble in Samuel </w:t>
      </w:r>
      <w:r w:rsidR="00312382" w:rsidRPr="001F52A8">
        <w:rPr>
          <w:lang w:bidi="he-IL"/>
        </w:rPr>
        <w:t>for wanting a central government</w:t>
      </w:r>
      <w:r w:rsidR="0009057B" w:rsidRPr="001F52A8">
        <w:rPr>
          <w:lang w:bidi="he-IL"/>
        </w:rPr>
        <w:t xml:space="preserve">, but one should be sympathetic to the dilemma they feel. </w:t>
      </w:r>
      <w:r w:rsidR="006B0CA2" w:rsidRPr="001F52A8">
        <w:rPr>
          <w:lang w:bidi="he-IL"/>
        </w:rPr>
        <w:t xml:space="preserve">Surviving and succeeding in their relationships with other nations worked fine </w:t>
      </w:r>
      <w:r w:rsidR="00D455B1">
        <w:rPr>
          <w:lang w:bidi="he-IL"/>
        </w:rPr>
        <w:t>when</w:t>
      </w:r>
      <w:r w:rsidR="006B0CA2" w:rsidRPr="001F52A8">
        <w:rPr>
          <w:lang w:bidi="he-IL"/>
        </w:rPr>
        <w:t xml:space="preserve"> Yahweh was </w:t>
      </w:r>
      <w:r w:rsidR="004F0972" w:rsidRPr="001F52A8">
        <w:rPr>
          <w:lang w:bidi="he-IL"/>
        </w:rPr>
        <w:t>killing Egyptian children, drowning the Egyptian army</w:t>
      </w:r>
      <w:r w:rsidR="003B5883" w:rsidRPr="001F52A8">
        <w:rPr>
          <w:lang w:bidi="he-IL"/>
        </w:rPr>
        <w:t xml:space="preserve">, and </w:t>
      </w:r>
      <w:r w:rsidR="00A25C91" w:rsidRPr="001F52A8">
        <w:rPr>
          <w:lang w:bidi="he-IL"/>
        </w:rPr>
        <w:t xml:space="preserve">making the walls of Jericho collapse, but </w:t>
      </w:r>
      <w:r w:rsidR="00447B99" w:rsidRPr="001F52A8">
        <w:rPr>
          <w:lang w:bidi="he-IL"/>
        </w:rPr>
        <w:t xml:space="preserve">such intervention was not Yahweh’s regular way of </w:t>
      </w:r>
      <w:r w:rsidR="00BE2822" w:rsidRPr="001F52A8">
        <w:rPr>
          <w:lang w:bidi="he-IL"/>
        </w:rPr>
        <w:t xml:space="preserve">operating. </w:t>
      </w:r>
      <w:r w:rsidR="00762088" w:rsidRPr="001F52A8">
        <w:rPr>
          <w:lang w:bidi="he-IL"/>
        </w:rPr>
        <w:lastRenderedPageBreak/>
        <w:t xml:space="preserve">More usually, they had to fight their battles. </w:t>
      </w:r>
      <w:r w:rsidR="00183E18" w:rsidRPr="001F52A8">
        <w:rPr>
          <w:lang w:bidi="he-IL"/>
        </w:rPr>
        <w:t xml:space="preserve">This difference looks like an aspect of a </w:t>
      </w:r>
      <w:r w:rsidR="00AC5C18" w:rsidRPr="001F52A8">
        <w:rPr>
          <w:lang w:bidi="he-IL"/>
        </w:rPr>
        <w:t xml:space="preserve">regular difference in the way God relates to the world and to humanity. </w:t>
      </w:r>
      <w:r w:rsidR="00B34427" w:rsidRPr="001F52A8">
        <w:rPr>
          <w:lang w:bidi="he-IL"/>
        </w:rPr>
        <w:t xml:space="preserve">Sometimes people pray and </w:t>
      </w:r>
      <w:r w:rsidR="009C47FB" w:rsidRPr="001F52A8">
        <w:rPr>
          <w:lang w:bidi="he-IL"/>
        </w:rPr>
        <w:t>God does something miraculous; sometimes he enables an infertile woman to get pregnant</w:t>
      </w:r>
      <w:r w:rsidR="00A9531F" w:rsidRPr="001F52A8">
        <w:rPr>
          <w:lang w:bidi="he-IL"/>
        </w:rPr>
        <w:t xml:space="preserve">; sometimes he resuscitates someone who has died. More often, </w:t>
      </w:r>
      <w:r w:rsidR="00BA5012" w:rsidRPr="001F52A8">
        <w:rPr>
          <w:lang w:bidi="he-IL"/>
        </w:rPr>
        <w:t xml:space="preserve">he lets matters in the world unfold on the basis of the dynamics he wrote into the world when creating it and </w:t>
      </w:r>
      <w:r w:rsidR="003E00B6" w:rsidRPr="001F52A8">
        <w:rPr>
          <w:lang w:bidi="he-IL"/>
        </w:rPr>
        <w:t>on the basis of his making humanity responsible for the world</w:t>
      </w:r>
      <w:r w:rsidR="000A25CD" w:rsidRPr="001F52A8">
        <w:rPr>
          <w:lang w:bidi="he-IL"/>
        </w:rPr>
        <w:t>. And the way nations relate to each other</w:t>
      </w:r>
      <w:r w:rsidR="009773AD" w:rsidRPr="001F52A8">
        <w:rPr>
          <w:lang w:bidi="he-IL"/>
        </w:rPr>
        <w:t xml:space="preserve"> is the way they do when someone like David is their leader. </w:t>
      </w:r>
      <w:r w:rsidR="00855998" w:rsidRPr="001F52A8">
        <w:rPr>
          <w:lang w:bidi="he-IL"/>
        </w:rPr>
        <w:t>Yahweh brings the Philistines from Caphtor and the Syrians from Qir; but they get there by fighting.</w:t>
      </w:r>
      <w:r w:rsidR="001744E8" w:rsidRPr="001F52A8">
        <w:rPr>
          <w:lang w:bidi="he-IL"/>
        </w:rPr>
        <w:t xml:space="preserve"> It is in the same way that the Israelites gain possession of Canaan.</w:t>
      </w:r>
    </w:p>
    <w:p w14:paraId="44C20554" w14:textId="7023CA61" w:rsidR="004C2B2C" w:rsidRPr="001F52A8" w:rsidRDefault="004C2B2C" w:rsidP="00190E04">
      <w:pPr>
        <w:rPr>
          <w:lang w:bidi="he-IL"/>
        </w:rPr>
      </w:pPr>
      <w:r w:rsidRPr="001F52A8">
        <w:rPr>
          <w:lang w:bidi="he-IL"/>
        </w:rPr>
        <w:t>Admittedly, the First Testament story</w:t>
      </w:r>
      <w:r w:rsidR="00A37C9B">
        <w:rPr>
          <w:lang w:bidi="he-IL"/>
        </w:rPr>
        <w:t xml:space="preserve"> recognizes that</w:t>
      </w:r>
      <w:r w:rsidRPr="001F52A8">
        <w:rPr>
          <w:lang w:bidi="he-IL"/>
        </w:rPr>
        <w:t xml:space="preserve"> this </w:t>
      </w:r>
      <w:r w:rsidR="009226BD" w:rsidRPr="001F52A8">
        <w:rPr>
          <w:lang w:bidi="he-IL"/>
        </w:rPr>
        <w:t xml:space="preserve">process </w:t>
      </w:r>
      <w:r w:rsidR="00A37C9B">
        <w:rPr>
          <w:lang w:bidi="he-IL"/>
        </w:rPr>
        <w:t xml:space="preserve">doesn’t </w:t>
      </w:r>
      <w:r w:rsidR="009226BD" w:rsidRPr="001F52A8">
        <w:rPr>
          <w:lang w:bidi="he-IL"/>
        </w:rPr>
        <w:t xml:space="preserve">work well. </w:t>
      </w:r>
      <w:r w:rsidR="009E3E5F" w:rsidRPr="001F52A8">
        <w:rPr>
          <w:lang w:bidi="he-IL"/>
        </w:rPr>
        <w:t xml:space="preserve">The story that reaches a high point in Samuel and in the opening chapters of Kings </w:t>
      </w:r>
      <w:r w:rsidR="00A32EBD" w:rsidRPr="001F52A8">
        <w:rPr>
          <w:lang w:bidi="he-IL"/>
        </w:rPr>
        <w:t>marc</w:t>
      </w:r>
      <w:r w:rsidR="008C1C62" w:rsidRPr="001F52A8">
        <w:rPr>
          <w:lang w:bidi="he-IL"/>
        </w:rPr>
        <w:t>h</w:t>
      </w:r>
      <w:r w:rsidR="00A32EBD" w:rsidRPr="001F52A8">
        <w:rPr>
          <w:lang w:bidi="he-IL"/>
        </w:rPr>
        <w:t>es steadily downhill</w:t>
      </w:r>
      <w:r w:rsidRPr="001F52A8">
        <w:rPr>
          <w:lang w:bidi="he-IL"/>
        </w:rPr>
        <w:t xml:space="preserve"> </w:t>
      </w:r>
      <w:r w:rsidR="008C1C62" w:rsidRPr="001F52A8">
        <w:rPr>
          <w:lang w:bidi="he-IL"/>
        </w:rPr>
        <w:t>until both Ish</w:t>
      </w:r>
      <w:r w:rsidR="0049520B" w:rsidRPr="001F52A8">
        <w:rPr>
          <w:lang w:bidi="he-IL"/>
        </w:rPr>
        <w:t>-bosheth</w:t>
      </w:r>
      <w:r w:rsidR="008C1C62" w:rsidRPr="001F52A8">
        <w:rPr>
          <w:lang w:bidi="he-IL"/>
        </w:rPr>
        <w:t xml:space="preserve">’s Israel and David’s Judah </w:t>
      </w:r>
      <w:r w:rsidR="00427405" w:rsidRPr="001F52A8">
        <w:rPr>
          <w:lang w:bidi="he-IL"/>
        </w:rPr>
        <w:t xml:space="preserve">lose their national existence and never regain it within the First Testament. </w:t>
      </w:r>
      <w:r w:rsidR="002100CB" w:rsidRPr="001F52A8">
        <w:rPr>
          <w:lang w:bidi="he-IL"/>
        </w:rPr>
        <w:t xml:space="preserve">Within the story in Kings, </w:t>
      </w:r>
      <w:r w:rsidR="009073AA" w:rsidRPr="001F52A8">
        <w:rPr>
          <w:lang w:bidi="he-IL"/>
        </w:rPr>
        <w:t>Israel and Judah come under the control of bigger empires</w:t>
      </w:r>
      <w:r w:rsidR="00276E70" w:rsidRPr="001F52A8">
        <w:rPr>
          <w:lang w:bidi="he-IL"/>
        </w:rPr>
        <w:t xml:space="preserve">, and stay that way. The visions in Daniel note how </w:t>
      </w:r>
      <w:r w:rsidR="00F3636B" w:rsidRPr="001F52A8">
        <w:rPr>
          <w:lang w:bidi="he-IL"/>
        </w:rPr>
        <w:t>directionless is the</w:t>
      </w:r>
      <w:r w:rsidR="00B424C9" w:rsidRPr="001F52A8">
        <w:rPr>
          <w:lang w:bidi="he-IL"/>
        </w:rPr>
        <w:t>se empires’</w:t>
      </w:r>
      <w:r w:rsidR="00F3636B" w:rsidRPr="001F52A8">
        <w:rPr>
          <w:lang w:bidi="he-IL"/>
        </w:rPr>
        <w:t xml:space="preserve"> history</w:t>
      </w:r>
      <w:r w:rsidR="004A3ECA" w:rsidRPr="001F52A8">
        <w:rPr>
          <w:lang w:bidi="he-IL"/>
        </w:rPr>
        <w:t>, and the New Testament doesn</w:t>
      </w:r>
      <w:r w:rsidR="00A37C9B">
        <w:rPr>
          <w:lang w:bidi="he-IL"/>
        </w:rPr>
        <w:t>’</w:t>
      </w:r>
      <w:r w:rsidR="004A3ECA" w:rsidRPr="001F52A8">
        <w:rPr>
          <w:lang w:bidi="he-IL"/>
        </w:rPr>
        <w:t>t give the impression that things change with the transition from the Assyrian, Babylonian, Persian, and Greek Empires to the Roman Empire</w:t>
      </w:r>
      <w:r w:rsidR="00B424C9" w:rsidRPr="001F52A8">
        <w:rPr>
          <w:lang w:bidi="he-IL"/>
        </w:rPr>
        <w:t>. N</w:t>
      </w:r>
      <w:r w:rsidR="004A3ECA" w:rsidRPr="001F52A8">
        <w:rPr>
          <w:lang w:bidi="he-IL"/>
        </w:rPr>
        <w:t xml:space="preserve">or have </w:t>
      </w:r>
      <w:r w:rsidR="004F5FCC" w:rsidRPr="001F52A8">
        <w:rPr>
          <w:lang w:bidi="he-IL"/>
        </w:rPr>
        <w:t>things progressed under succeeding imperial powers.</w:t>
      </w:r>
      <w:r w:rsidR="00783C40" w:rsidRPr="001F52A8">
        <w:rPr>
          <w:lang w:bidi="he-IL"/>
        </w:rPr>
        <w:t xml:space="preserve"> Working with the people of God as a nation turned out not to work in the First Testament</w:t>
      </w:r>
      <w:r w:rsidR="00A37C9B">
        <w:rPr>
          <w:lang w:bidi="he-IL"/>
        </w:rPr>
        <w:t>. T</w:t>
      </w:r>
      <w:r w:rsidR="00783C40" w:rsidRPr="001F52A8">
        <w:rPr>
          <w:lang w:bidi="he-IL"/>
        </w:rPr>
        <w:t xml:space="preserve">he New Testament shows few signs of </w:t>
      </w:r>
      <w:r w:rsidR="007677F3" w:rsidRPr="001F52A8">
        <w:rPr>
          <w:lang w:bidi="he-IL"/>
        </w:rPr>
        <w:t>a different perspective</w:t>
      </w:r>
      <w:r w:rsidR="00A37C9B">
        <w:rPr>
          <w:lang w:bidi="he-IL"/>
        </w:rPr>
        <w:t xml:space="preserve">, </w:t>
      </w:r>
      <w:r w:rsidR="00E7333C" w:rsidRPr="001F52A8">
        <w:rPr>
          <w:lang w:bidi="he-IL"/>
        </w:rPr>
        <w:t>notwithstanding Luke</w:t>
      </w:r>
      <w:r w:rsidR="008E201B" w:rsidRPr="001F52A8">
        <w:rPr>
          <w:lang w:bidi="he-IL"/>
        </w:rPr>
        <w:t xml:space="preserve"> 1:53-55</w:t>
      </w:r>
      <w:r w:rsidR="00270FBD" w:rsidRPr="001F52A8">
        <w:rPr>
          <w:lang w:bidi="he-IL"/>
        </w:rPr>
        <w:t>, 68-75</w:t>
      </w:r>
      <w:r w:rsidR="00F20A4B" w:rsidRPr="001F52A8">
        <w:rPr>
          <w:lang w:bidi="he-IL"/>
        </w:rPr>
        <w:t>; Acts 1:6-8</w:t>
      </w:r>
      <w:r w:rsidR="0073192C" w:rsidRPr="001F52A8">
        <w:rPr>
          <w:lang w:bidi="he-IL"/>
        </w:rPr>
        <w:t>, which prove the rule as they reaffirm some such hopes but giv</w:t>
      </w:r>
      <w:r w:rsidR="00A37C9B">
        <w:rPr>
          <w:lang w:bidi="he-IL"/>
        </w:rPr>
        <w:t>e</w:t>
      </w:r>
      <w:r w:rsidR="0073192C" w:rsidRPr="001F52A8">
        <w:rPr>
          <w:lang w:bidi="he-IL"/>
        </w:rPr>
        <w:t xml:space="preserve"> no indication that the</w:t>
      </w:r>
      <w:r w:rsidR="00B424C9" w:rsidRPr="001F52A8">
        <w:rPr>
          <w:lang w:bidi="he-IL"/>
        </w:rPr>
        <w:t xml:space="preserve"> hopes</w:t>
      </w:r>
      <w:r w:rsidR="0073192C" w:rsidRPr="001F52A8">
        <w:rPr>
          <w:lang w:bidi="he-IL"/>
        </w:rPr>
        <w:t xml:space="preserve"> lead anywhere.</w:t>
      </w:r>
      <w:r w:rsidR="00FD5674" w:rsidRPr="001F52A8">
        <w:rPr>
          <w:lang w:bidi="he-IL"/>
        </w:rPr>
        <w:t xml:space="preserve"> David is the highpoint of a</w:t>
      </w:r>
      <w:r w:rsidR="007A5D8C" w:rsidRPr="001F52A8">
        <w:rPr>
          <w:lang w:bidi="he-IL"/>
        </w:rPr>
        <w:t>n</w:t>
      </w:r>
      <w:r w:rsidR="00FD5674" w:rsidRPr="001F52A8">
        <w:rPr>
          <w:lang w:bidi="he-IL"/>
        </w:rPr>
        <w:t xml:space="preserve"> experiment </w:t>
      </w:r>
      <w:r w:rsidR="007A5D8C" w:rsidRPr="001F52A8">
        <w:rPr>
          <w:lang w:bidi="he-IL"/>
        </w:rPr>
        <w:t xml:space="preserve">whereby Yahweh engages in history with his usual energy that holds nothing back, and demonstrates that </w:t>
      </w:r>
      <w:r w:rsidR="00FD5674" w:rsidRPr="001F52A8">
        <w:rPr>
          <w:lang w:bidi="he-IL"/>
        </w:rPr>
        <w:t>th</w:t>
      </w:r>
      <w:r w:rsidR="007A5D8C" w:rsidRPr="001F52A8">
        <w:rPr>
          <w:lang w:bidi="he-IL"/>
        </w:rPr>
        <w:t>is experiment</w:t>
      </w:r>
      <w:r w:rsidR="00FD5674" w:rsidRPr="001F52A8">
        <w:rPr>
          <w:lang w:bidi="he-IL"/>
        </w:rPr>
        <w:t xml:space="preserve"> fails.</w:t>
      </w:r>
    </w:p>
    <w:p w14:paraId="45B9D939" w14:textId="31947D7E" w:rsidR="00FD5674" w:rsidRPr="001F52A8" w:rsidRDefault="00FD5674" w:rsidP="00190E04">
      <w:pPr>
        <w:rPr>
          <w:lang w:bidi="he-IL"/>
        </w:rPr>
      </w:pPr>
      <w:r w:rsidRPr="001F52A8">
        <w:rPr>
          <w:lang w:bidi="he-IL"/>
        </w:rPr>
        <w:t xml:space="preserve">And </w:t>
      </w:r>
      <w:r w:rsidR="00B424C9" w:rsidRPr="001F52A8">
        <w:rPr>
          <w:lang w:bidi="he-IL"/>
        </w:rPr>
        <w:t>David</w:t>
      </w:r>
      <w:r w:rsidRPr="001F52A8">
        <w:rPr>
          <w:lang w:bidi="he-IL"/>
        </w:rPr>
        <w:t xml:space="preserve"> </w:t>
      </w:r>
      <w:r w:rsidR="00B424C9" w:rsidRPr="001F52A8">
        <w:rPr>
          <w:lang w:bidi="he-IL"/>
        </w:rPr>
        <w:t xml:space="preserve">surely </w:t>
      </w:r>
      <w:r w:rsidRPr="001F52A8">
        <w:rPr>
          <w:lang w:bidi="he-IL"/>
        </w:rPr>
        <w:t>pays a price</w:t>
      </w:r>
      <w:r w:rsidR="007A5D8C" w:rsidRPr="001F52A8">
        <w:rPr>
          <w:lang w:bidi="he-IL"/>
        </w:rPr>
        <w:t xml:space="preserve"> for being used in this way</w:t>
      </w:r>
      <w:r w:rsidRPr="001F52A8">
        <w:rPr>
          <w:lang w:bidi="he-IL"/>
        </w:rPr>
        <w:t xml:space="preserve">. </w:t>
      </w:r>
      <w:r w:rsidR="008877CA" w:rsidRPr="001F52A8">
        <w:rPr>
          <w:lang w:bidi="he-IL"/>
        </w:rPr>
        <w:t xml:space="preserve">Given the job that he </w:t>
      </w:r>
      <w:r w:rsidR="00B424C9" w:rsidRPr="001F52A8">
        <w:rPr>
          <w:lang w:bidi="he-IL"/>
        </w:rPr>
        <w:t>want</w:t>
      </w:r>
      <w:r w:rsidR="008877CA" w:rsidRPr="001F52A8">
        <w:rPr>
          <w:lang w:bidi="he-IL"/>
        </w:rPr>
        <w:t xml:space="preserve">ed </w:t>
      </w:r>
      <w:r w:rsidR="00B424C9" w:rsidRPr="001F52A8">
        <w:rPr>
          <w:lang w:bidi="he-IL"/>
        </w:rPr>
        <w:t>undertaken</w:t>
      </w:r>
      <w:r w:rsidR="008877CA" w:rsidRPr="001F52A8">
        <w:rPr>
          <w:lang w:bidi="he-IL"/>
        </w:rPr>
        <w:t>, Yahweh knew what he was doing when he chose David</w:t>
      </w:r>
      <w:r w:rsidR="0082326C" w:rsidRPr="001F52A8">
        <w:rPr>
          <w:lang w:bidi="he-IL"/>
        </w:rPr>
        <w:t xml:space="preserve">. </w:t>
      </w:r>
      <w:r w:rsidR="007037EB" w:rsidRPr="001F52A8">
        <w:rPr>
          <w:lang w:bidi="he-IL"/>
        </w:rPr>
        <w:t xml:space="preserve">He chose someone with a </w:t>
      </w:r>
      <w:r w:rsidR="008175B8" w:rsidRPr="001F52A8">
        <w:rPr>
          <w:lang w:bidi="he-IL"/>
        </w:rPr>
        <w:t xml:space="preserve">trust in him and a </w:t>
      </w:r>
      <w:r w:rsidR="007037EB" w:rsidRPr="001F52A8">
        <w:rPr>
          <w:lang w:bidi="he-IL"/>
        </w:rPr>
        <w:t xml:space="preserve">killer instinct, </w:t>
      </w:r>
      <w:r w:rsidR="008175B8" w:rsidRPr="001F52A8">
        <w:rPr>
          <w:lang w:bidi="he-IL"/>
        </w:rPr>
        <w:t>a</w:t>
      </w:r>
      <w:r w:rsidR="007037EB" w:rsidRPr="001F52A8">
        <w:rPr>
          <w:lang w:bidi="he-IL"/>
        </w:rPr>
        <w:t xml:space="preserve"> person who would </w:t>
      </w:r>
      <w:r w:rsidR="008442A2" w:rsidRPr="001F52A8">
        <w:rPr>
          <w:lang w:bidi="he-IL"/>
        </w:rPr>
        <w:t xml:space="preserve">advocate for the </w:t>
      </w:r>
      <w:r w:rsidR="003F086F" w:rsidRPr="001F52A8">
        <w:rPr>
          <w:lang w:bidi="he-IL"/>
        </w:rPr>
        <w:t xml:space="preserve">saving power of the God of Israel and then </w:t>
      </w:r>
      <w:r w:rsidR="007037EB" w:rsidRPr="001F52A8">
        <w:rPr>
          <w:lang w:bidi="he-IL"/>
        </w:rPr>
        <w:t xml:space="preserve">not only </w:t>
      </w:r>
      <w:r w:rsidR="00407444" w:rsidRPr="001F52A8">
        <w:rPr>
          <w:lang w:bidi="he-IL"/>
        </w:rPr>
        <w:t>put</w:t>
      </w:r>
      <w:r w:rsidR="003E1511" w:rsidRPr="001F52A8">
        <w:rPr>
          <w:lang w:bidi="he-IL"/>
        </w:rPr>
        <w:t xml:space="preserve"> Goliath</w:t>
      </w:r>
      <w:r w:rsidR="00407444" w:rsidRPr="001F52A8">
        <w:rPr>
          <w:lang w:bidi="he-IL"/>
        </w:rPr>
        <w:t xml:space="preserve"> to death but cut his head off</w:t>
      </w:r>
      <w:r w:rsidR="000775BC" w:rsidRPr="001F52A8">
        <w:rPr>
          <w:lang w:bidi="he-IL"/>
        </w:rPr>
        <w:t xml:space="preserve"> and take it to Jerusalem</w:t>
      </w:r>
      <w:r w:rsidR="003E1511" w:rsidRPr="001F52A8">
        <w:rPr>
          <w:lang w:bidi="he-IL"/>
        </w:rPr>
        <w:t xml:space="preserve">. What David advertised himself to be as a </w:t>
      </w:r>
      <w:r w:rsidR="007D75B3">
        <w:rPr>
          <w:lang w:bidi="he-IL"/>
        </w:rPr>
        <w:t>child soldier</w:t>
      </w:r>
      <w:r w:rsidR="007D75B3">
        <w:rPr>
          <w:rStyle w:val="FootnoteReference"/>
          <w:lang w:bidi="he-IL"/>
        </w:rPr>
        <w:footnoteReference w:id="350"/>
      </w:r>
      <w:r w:rsidR="003E1511" w:rsidRPr="001F52A8">
        <w:rPr>
          <w:lang w:bidi="he-IL"/>
        </w:rPr>
        <w:t xml:space="preserve"> </w:t>
      </w:r>
      <w:r w:rsidR="00C4385B" w:rsidRPr="001F52A8">
        <w:rPr>
          <w:lang w:bidi="he-IL"/>
        </w:rPr>
        <w:t>continued to be his way of operating and being</w:t>
      </w:r>
      <w:r w:rsidR="00B424C9" w:rsidRPr="001F52A8">
        <w:rPr>
          <w:lang w:bidi="he-IL"/>
        </w:rPr>
        <w:t>,</w:t>
      </w:r>
      <w:r w:rsidR="00C4385B" w:rsidRPr="001F52A8">
        <w:rPr>
          <w:lang w:bidi="he-IL"/>
        </w:rPr>
        <w:t xml:space="preserve"> over</w:t>
      </w:r>
      <w:r w:rsidR="00FF72CE" w:rsidRPr="001F52A8">
        <w:rPr>
          <w:lang w:bidi="he-IL"/>
        </w:rPr>
        <w:t xml:space="preserve"> </w:t>
      </w:r>
      <w:r w:rsidR="00C4385B" w:rsidRPr="001F52A8">
        <w:rPr>
          <w:lang w:bidi="he-IL"/>
        </w:rPr>
        <w:t>a</w:t>
      </w:r>
      <w:r w:rsidR="00ED4F7B">
        <w:rPr>
          <w:lang w:bidi="he-IL"/>
        </w:rPr>
        <w:t xml:space="preserve"> </w:t>
      </w:r>
      <w:r w:rsidR="00C4385B" w:rsidRPr="001F52A8">
        <w:rPr>
          <w:lang w:bidi="he-IL"/>
        </w:rPr>
        <w:t>decade or two</w:t>
      </w:r>
      <w:r w:rsidR="00FF72CE" w:rsidRPr="001F52A8">
        <w:rPr>
          <w:lang w:bidi="he-IL"/>
        </w:rPr>
        <w:t xml:space="preserve"> or three. </w:t>
      </w:r>
      <w:r w:rsidR="00A37C9B">
        <w:rPr>
          <w:lang w:bidi="he-IL"/>
        </w:rPr>
        <w:t>H</w:t>
      </w:r>
      <w:r w:rsidR="00FF72CE" w:rsidRPr="001F52A8">
        <w:rPr>
          <w:lang w:bidi="he-IL"/>
        </w:rPr>
        <w:t xml:space="preserve">e </w:t>
      </w:r>
      <w:r w:rsidR="00B424C9" w:rsidRPr="001F52A8">
        <w:rPr>
          <w:lang w:bidi="he-IL"/>
        </w:rPr>
        <w:t xml:space="preserve">surely </w:t>
      </w:r>
      <w:r w:rsidR="00FF72CE" w:rsidRPr="001F52A8">
        <w:rPr>
          <w:lang w:bidi="he-IL"/>
        </w:rPr>
        <w:t xml:space="preserve">paid a price. </w:t>
      </w:r>
      <w:r w:rsidR="00292D3D" w:rsidRPr="001F52A8">
        <w:rPr>
          <w:lang w:bidi="he-IL"/>
        </w:rPr>
        <w:t xml:space="preserve">It is possible that Saul was </w:t>
      </w:r>
      <w:r w:rsidR="000F7480" w:rsidRPr="001F52A8">
        <w:rPr>
          <w:lang w:bidi="he-IL"/>
        </w:rPr>
        <w:t xml:space="preserve">a morally injured </w:t>
      </w:r>
      <w:r w:rsidR="00444759" w:rsidRPr="001F52A8">
        <w:rPr>
          <w:lang w:bidi="he-IL"/>
        </w:rPr>
        <w:t xml:space="preserve">and traumatized </w:t>
      </w:r>
      <w:r w:rsidR="000F7480" w:rsidRPr="001F52A8">
        <w:rPr>
          <w:lang w:bidi="he-IL"/>
        </w:rPr>
        <w:t>person</w:t>
      </w:r>
      <w:r w:rsidR="00323BDB" w:rsidRPr="001F52A8">
        <w:rPr>
          <w:lang w:bidi="he-IL"/>
        </w:rPr>
        <w:t>.</w:t>
      </w:r>
      <w:r w:rsidR="000F7480" w:rsidRPr="001F52A8">
        <w:rPr>
          <w:rStyle w:val="FootnoteReference"/>
          <w:lang w:bidi="he-IL"/>
        </w:rPr>
        <w:footnoteReference w:id="351"/>
      </w:r>
      <w:r w:rsidR="00323BDB" w:rsidRPr="001F52A8">
        <w:rPr>
          <w:lang w:bidi="he-IL"/>
        </w:rPr>
        <w:t xml:space="preserve"> It </w:t>
      </w:r>
      <w:r w:rsidR="008F3A55" w:rsidRPr="001F52A8">
        <w:rPr>
          <w:lang w:bidi="he-IL"/>
        </w:rPr>
        <w:t xml:space="preserve">must be the case </w:t>
      </w:r>
      <w:r w:rsidR="002505C6" w:rsidRPr="001F52A8">
        <w:rPr>
          <w:lang w:bidi="he-IL"/>
        </w:rPr>
        <w:t xml:space="preserve">that David would be. People come </w:t>
      </w:r>
      <w:r w:rsidR="00A40FEA" w:rsidRPr="001F52A8">
        <w:rPr>
          <w:lang w:bidi="he-IL"/>
        </w:rPr>
        <w:t>back from battle traumatized</w:t>
      </w:r>
      <w:r w:rsidR="00FF4A1C" w:rsidRPr="001F52A8">
        <w:rPr>
          <w:lang w:bidi="he-IL"/>
        </w:rPr>
        <w:t xml:space="preserve">, and David has more battle experience </w:t>
      </w:r>
      <w:r w:rsidR="00915BCC" w:rsidRPr="001F52A8">
        <w:rPr>
          <w:lang w:bidi="he-IL"/>
        </w:rPr>
        <w:t xml:space="preserve">than most. How could he not be injured by what he has done? </w:t>
      </w:r>
      <w:r w:rsidR="00B424C9" w:rsidRPr="001F52A8">
        <w:rPr>
          <w:lang w:bidi="he-IL"/>
        </w:rPr>
        <w:t xml:space="preserve">Is it significant that he now gives up leading Israel into war (11:1; 12:26-31)? </w:t>
      </w:r>
      <w:r w:rsidR="000C7600" w:rsidRPr="001F52A8">
        <w:rPr>
          <w:lang w:bidi="he-IL"/>
        </w:rPr>
        <w:t xml:space="preserve">It is hardly surprising that the highpoint of his story </w:t>
      </w:r>
      <w:r w:rsidR="00E651A3" w:rsidRPr="001F52A8">
        <w:rPr>
          <w:lang w:bidi="he-IL"/>
        </w:rPr>
        <w:t xml:space="preserve">as king </w:t>
      </w:r>
      <w:r w:rsidR="000C7600" w:rsidRPr="001F52A8">
        <w:rPr>
          <w:lang w:bidi="he-IL"/>
        </w:rPr>
        <w:t>is also</w:t>
      </w:r>
      <w:r w:rsidR="00E651A3" w:rsidRPr="001F52A8">
        <w:rPr>
          <w:lang w:bidi="he-IL"/>
        </w:rPr>
        <w:t xml:space="preserve"> the beginning of the story of his own </w:t>
      </w:r>
      <w:r w:rsidR="00F27BFC" w:rsidRPr="001F52A8">
        <w:rPr>
          <w:lang w:bidi="he-IL"/>
        </w:rPr>
        <w:t>moral folly as he not only commits adul</w:t>
      </w:r>
      <w:r w:rsidR="008E333C" w:rsidRPr="001F52A8">
        <w:rPr>
          <w:lang w:bidi="he-IL"/>
        </w:rPr>
        <w:t>tery</w:t>
      </w:r>
      <w:r w:rsidR="00F34DBD">
        <w:rPr>
          <w:lang w:bidi="he-IL"/>
        </w:rPr>
        <w:t xml:space="preserve">, </w:t>
      </w:r>
      <w:r w:rsidR="008E333C" w:rsidRPr="001F52A8">
        <w:rPr>
          <w:lang w:bidi="he-IL"/>
        </w:rPr>
        <w:t>as many leaders do</w:t>
      </w:r>
      <w:r w:rsidR="00F34DBD">
        <w:rPr>
          <w:lang w:bidi="he-IL"/>
        </w:rPr>
        <w:t>,</w:t>
      </w:r>
      <w:r w:rsidR="008E333C" w:rsidRPr="001F52A8">
        <w:rPr>
          <w:lang w:bidi="he-IL"/>
        </w:rPr>
        <w:t xml:space="preserve"> but arranges for Uriah’s killing</w:t>
      </w:r>
      <w:r w:rsidR="00EA348E">
        <w:rPr>
          <w:lang w:bidi="he-IL"/>
        </w:rPr>
        <w:t xml:space="preserve">, </w:t>
      </w:r>
      <w:r w:rsidR="008E333C" w:rsidRPr="001F52A8">
        <w:rPr>
          <w:lang w:bidi="he-IL"/>
        </w:rPr>
        <w:t xml:space="preserve">as </w:t>
      </w:r>
      <w:r w:rsidR="00784807">
        <w:rPr>
          <w:lang w:bidi="he-IL"/>
        </w:rPr>
        <w:t>they</w:t>
      </w:r>
      <w:r w:rsidR="008E333C" w:rsidRPr="001F52A8">
        <w:rPr>
          <w:lang w:bidi="he-IL"/>
        </w:rPr>
        <w:t xml:space="preserve"> </w:t>
      </w:r>
      <w:r w:rsidR="00DC7F31">
        <w:rPr>
          <w:lang w:bidi="he-IL"/>
        </w:rPr>
        <w:t xml:space="preserve">may also </w:t>
      </w:r>
      <w:r w:rsidR="008E333C" w:rsidRPr="001F52A8">
        <w:rPr>
          <w:lang w:bidi="he-IL"/>
        </w:rPr>
        <w:t>do</w:t>
      </w:r>
      <w:r w:rsidR="00EA348E">
        <w:rPr>
          <w:lang w:bidi="he-IL"/>
        </w:rPr>
        <w:t xml:space="preserve"> (“history books </w:t>
      </w:r>
      <w:r w:rsidR="00784807">
        <w:rPr>
          <w:lang w:bidi="he-IL"/>
        </w:rPr>
        <w:t>are full of many other murderous adulterers”</w:t>
      </w:r>
      <w:r w:rsidR="008E333C" w:rsidRPr="001F52A8">
        <w:rPr>
          <w:lang w:bidi="he-IL"/>
        </w:rPr>
        <w:t>).</w:t>
      </w:r>
      <w:r w:rsidR="00383F7C">
        <w:rPr>
          <w:rStyle w:val="FootnoteReference"/>
          <w:lang w:bidi="he-IL"/>
        </w:rPr>
        <w:footnoteReference w:id="352"/>
      </w:r>
      <w:r w:rsidR="000C7600" w:rsidRPr="001F52A8">
        <w:rPr>
          <w:lang w:bidi="he-IL"/>
        </w:rPr>
        <w:t xml:space="preserve"> </w:t>
      </w:r>
      <w:r w:rsidR="00AA7FB2">
        <w:rPr>
          <w:lang w:bidi="he-IL"/>
        </w:rPr>
        <w:t xml:space="preserve">His heroic masculinity </w:t>
      </w:r>
      <w:r w:rsidR="00785E96">
        <w:rPr>
          <w:lang w:bidi="he-IL"/>
        </w:rPr>
        <w:t>unravels.</w:t>
      </w:r>
      <w:r w:rsidR="00785E96">
        <w:rPr>
          <w:rStyle w:val="FootnoteReference"/>
          <w:lang w:bidi="he-IL"/>
        </w:rPr>
        <w:footnoteReference w:id="353"/>
      </w:r>
    </w:p>
    <w:p w14:paraId="2D1C0DC8" w14:textId="139D65D2" w:rsidR="004714A1" w:rsidRPr="001F52A8" w:rsidRDefault="00162604" w:rsidP="007A5D8C">
      <w:pPr>
        <w:rPr>
          <w:lang w:bidi="he-IL"/>
        </w:rPr>
      </w:pPr>
      <w:r w:rsidRPr="001F52A8">
        <w:rPr>
          <w:lang w:bidi="he-IL"/>
        </w:rPr>
        <w:t>The story of David’s war</w:t>
      </w:r>
      <w:r w:rsidR="004B32A6" w:rsidRPr="001F52A8">
        <w:rPr>
          <w:lang w:bidi="he-IL"/>
        </w:rPr>
        <w:t>-</w:t>
      </w:r>
      <w:r w:rsidRPr="001F52A8">
        <w:rPr>
          <w:lang w:bidi="he-IL"/>
        </w:rPr>
        <w:t xml:space="preserve">making </w:t>
      </w:r>
      <w:r w:rsidR="00CF5FB1" w:rsidRPr="001F52A8">
        <w:rPr>
          <w:lang w:bidi="he-IL"/>
        </w:rPr>
        <w:t xml:space="preserve">is the highpoint of his story </w:t>
      </w:r>
      <w:r w:rsidR="004B32A6" w:rsidRPr="001F52A8">
        <w:rPr>
          <w:lang w:bidi="he-IL"/>
        </w:rPr>
        <w:t xml:space="preserve">as a leader </w:t>
      </w:r>
      <w:r w:rsidR="00CF5FB1" w:rsidRPr="001F52A8">
        <w:rPr>
          <w:lang w:bidi="he-IL"/>
        </w:rPr>
        <w:t>and of Israel’s story as a nation</w:t>
      </w:r>
      <w:r w:rsidR="004B32A6" w:rsidRPr="001F52A8">
        <w:rPr>
          <w:lang w:bidi="he-IL"/>
        </w:rPr>
        <w:t xml:space="preserve">, and </w:t>
      </w:r>
      <w:r w:rsidR="00DA278B" w:rsidRPr="001F52A8">
        <w:rPr>
          <w:lang w:bidi="he-IL"/>
        </w:rPr>
        <w:t xml:space="preserve">marks </w:t>
      </w:r>
      <w:r w:rsidR="004B32A6" w:rsidRPr="001F52A8">
        <w:rPr>
          <w:lang w:bidi="he-IL"/>
        </w:rPr>
        <w:t>the beginning of the downfall of both.</w:t>
      </w:r>
      <w:r w:rsidR="00DA278B" w:rsidRPr="001F52A8">
        <w:rPr>
          <w:lang w:bidi="he-IL"/>
        </w:rPr>
        <w:t xml:space="preserve"> </w:t>
      </w:r>
      <w:r w:rsidR="003419A5" w:rsidRPr="001F52A8">
        <w:rPr>
          <w:lang w:bidi="he-IL"/>
        </w:rPr>
        <w:t xml:space="preserve">If there are “lessons” for the twenty-first century, they concern </w:t>
      </w:r>
      <w:r w:rsidR="005B1633" w:rsidRPr="001F52A8">
        <w:rPr>
          <w:lang w:bidi="he-IL"/>
        </w:rPr>
        <w:t xml:space="preserve">a </w:t>
      </w:r>
      <w:r w:rsidR="003419A5" w:rsidRPr="001F52A8">
        <w:rPr>
          <w:lang w:bidi="he-IL"/>
        </w:rPr>
        <w:t>realism about our national lives and our war-making</w:t>
      </w:r>
      <w:r w:rsidR="007A5D8C" w:rsidRPr="001F52A8">
        <w:rPr>
          <w:lang w:bidi="he-IL"/>
        </w:rPr>
        <w:t xml:space="preserve">, about the wars from which we have prospered. Britain and the United States enjoy the life that we do because we created empires </w:t>
      </w:r>
      <w:r w:rsidR="007A5D8C" w:rsidRPr="001F52A8">
        <w:rPr>
          <w:lang w:bidi="he-IL"/>
        </w:rPr>
        <w:lastRenderedPageBreak/>
        <w:t>and annihilated native peoples. The lessons might also include a more serious acceptance of</w:t>
      </w:r>
      <w:r w:rsidR="001D2F16" w:rsidRPr="001F52A8">
        <w:rPr>
          <w:lang w:bidi="he-IL"/>
        </w:rPr>
        <w:t xml:space="preserve"> obligation to </w:t>
      </w:r>
      <w:r w:rsidR="00425322" w:rsidRPr="001F52A8">
        <w:rPr>
          <w:lang w:bidi="he-IL"/>
        </w:rPr>
        <w:t>give resources to the healing of the trauma of the people who fight for us.</w:t>
      </w:r>
      <w:r w:rsidR="003B5228">
        <w:rPr>
          <w:rStyle w:val="FootnoteReference"/>
          <w:lang w:bidi="he-IL"/>
        </w:rPr>
        <w:footnoteReference w:id="354"/>
      </w:r>
    </w:p>
    <w:p w14:paraId="46A2A0AB" w14:textId="44EBA43A" w:rsidR="008D19AD" w:rsidRPr="001F52A8" w:rsidRDefault="008D6930" w:rsidP="000B0A0F">
      <w:pPr>
        <w:pStyle w:val="Heading2"/>
        <w:rPr>
          <w:lang w:bidi="he-IL"/>
        </w:rPr>
      </w:pPr>
      <w:r w:rsidRPr="001F52A8">
        <w:rPr>
          <w:lang w:bidi="he-IL"/>
        </w:rPr>
        <w:t>Sanctuary</w:t>
      </w:r>
      <w:r w:rsidR="001C67A9" w:rsidRPr="001F52A8">
        <w:rPr>
          <w:lang w:bidi="he-IL"/>
        </w:rPr>
        <w:t xml:space="preserve">: </w:t>
      </w:r>
      <w:r w:rsidR="0062072D" w:rsidRPr="001F52A8">
        <w:rPr>
          <w:lang w:bidi="he-IL"/>
        </w:rPr>
        <w:t>David’s</w:t>
      </w:r>
      <w:r w:rsidR="00E12D0E" w:rsidRPr="001F52A8">
        <w:rPr>
          <w:lang w:bidi="he-IL"/>
        </w:rPr>
        <w:t xml:space="preserve"> Temple</w:t>
      </w:r>
    </w:p>
    <w:p w14:paraId="4889F624" w14:textId="72632F47" w:rsidR="00127453" w:rsidRPr="001F52A8" w:rsidRDefault="007A5D8C" w:rsidP="007A5D8C">
      <w:pPr>
        <w:rPr>
          <w:rFonts w:cstheme="minorHAnsi"/>
        </w:rPr>
      </w:pPr>
      <w:r w:rsidRPr="001F52A8">
        <w:rPr>
          <w:rFonts w:cstheme="minorHAnsi"/>
        </w:rPr>
        <w:t>W</w:t>
      </w:r>
      <w:r w:rsidR="000D3A6B" w:rsidRPr="001F52A8">
        <w:rPr>
          <w:rFonts w:cstheme="minorHAnsi"/>
        </w:rPr>
        <w:t xml:space="preserve">hereas </w:t>
      </w:r>
      <w:r w:rsidR="00ED4F7B">
        <w:rPr>
          <w:rFonts w:cstheme="minorHAnsi"/>
        </w:rPr>
        <w:t>Saul had</w:t>
      </w:r>
      <w:r w:rsidR="000D3A6B" w:rsidRPr="001F52A8">
        <w:rPr>
          <w:rFonts w:cstheme="minorHAnsi"/>
        </w:rPr>
        <w:t xml:space="preserve"> apparently not </w:t>
      </w:r>
      <w:r w:rsidR="00ED4F7B">
        <w:rPr>
          <w:rFonts w:cstheme="minorHAnsi"/>
        </w:rPr>
        <w:t>thought of</w:t>
      </w:r>
      <w:r w:rsidRPr="001F52A8">
        <w:rPr>
          <w:rFonts w:cstheme="minorHAnsi"/>
        </w:rPr>
        <w:t xml:space="preserve"> </w:t>
      </w:r>
      <w:r w:rsidR="000D3A6B" w:rsidRPr="001F52A8">
        <w:rPr>
          <w:rFonts w:cstheme="minorHAnsi"/>
        </w:rPr>
        <w:t>bring</w:t>
      </w:r>
      <w:r w:rsidR="00ED4F7B">
        <w:rPr>
          <w:rFonts w:cstheme="minorHAnsi"/>
        </w:rPr>
        <w:t>ing</w:t>
      </w:r>
      <w:r w:rsidR="000D3A6B" w:rsidRPr="001F52A8">
        <w:rPr>
          <w:rFonts w:cstheme="minorHAnsi"/>
        </w:rPr>
        <w:t xml:space="preserve"> the meeting tent the covenant chest </w:t>
      </w:r>
      <w:r w:rsidRPr="001F52A8">
        <w:rPr>
          <w:rFonts w:cstheme="minorHAnsi"/>
        </w:rPr>
        <w:t>to Gibeah to consolidate its position as the nation’s center</w:t>
      </w:r>
      <w:r w:rsidR="000D3A6B" w:rsidRPr="001F52A8">
        <w:rPr>
          <w:rFonts w:cstheme="minorHAnsi"/>
        </w:rPr>
        <w:t xml:space="preserve">, David </w:t>
      </w:r>
      <w:r w:rsidR="00ED4F7B">
        <w:rPr>
          <w:rFonts w:cstheme="minorHAnsi"/>
        </w:rPr>
        <w:t>does</w:t>
      </w:r>
      <w:r w:rsidR="000D3A6B" w:rsidRPr="001F52A8">
        <w:rPr>
          <w:rFonts w:cstheme="minorHAnsi"/>
        </w:rPr>
        <w:t xml:space="preserve"> make </w:t>
      </w:r>
      <w:r w:rsidR="00ED4F7B">
        <w:rPr>
          <w:rFonts w:cstheme="minorHAnsi"/>
        </w:rPr>
        <w:t>this</w:t>
      </w:r>
      <w:r w:rsidR="000D3A6B" w:rsidRPr="001F52A8">
        <w:rPr>
          <w:rFonts w:cstheme="minorHAnsi"/>
        </w:rPr>
        <w:t xml:space="preserve"> move.</w:t>
      </w:r>
      <w:r w:rsidRPr="001F52A8">
        <w:rPr>
          <w:rFonts w:cstheme="minorHAnsi"/>
        </w:rPr>
        <w:t xml:space="preserve"> </w:t>
      </w:r>
      <w:r w:rsidR="0019713D" w:rsidRPr="001F52A8">
        <w:rPr>
          <w:lang w:bidi="he-IL"/>
        </w:rPr>
        <w:t xml:space="preserve">The account of </w:t>
      </w:r>
      <w:r w:rsidR="00ED4F7B">
        <w:rPr>
          <w:lang w:bidi="he-IL"/>
        </w:rPr>
        <w:t>his</w:t>
      </w:r>
      <w:r w:rsidR="009335DD" w:rsidRPr="001F52A8">
        <w:rPr>
          <w:lang w:bidi="he-IL"/>
        </w:rPr>
        <w:t xml:space="preserve"> establishment as king </w:t>
      </w:r>
      <w:r w:rsidR="00C86FF5" w:rsidRPr="001F52A8">
        <w:rPr>
          <w:lang w:bidi="he-IL"/>
        </w:rPr>
        <w:t xml:space="preserve">reaches its highpoint with the interrelated </w:t>
      </w:r>
      <w:r w:rsidR="00DB14F5" w:rsidRPr="001F52A8">
        <w:rPr>
          <w:lang w:bidi="he-IL"/>
        </w:rPr>
        <w:t xml:space="preserve">narratives of his bringing the covenant chest to Jerusalem and his </w:t>
      </w:r>
      <w:r w:rsidR="006D7DD1" w:rsidRPr="001F52A8">
        <w:rPr>
          <w:lang w:bidi="he-IL"/>
        </w:rPr>
        <w:t xml:space="preserve">proposition concerning the building of a temple there. </w:t>
      </w:r>
      <w:r w:rsidR="0011317F" w:rsidRPr="001F52A8">
        <w:rPr>
          <w:lang w:bidi="he-IL"/>
        </w:rPr>
        <w:t>Wh</w:t>
      </w:r>
      <w:r w:rsidR="00397CD3" w:rsidRPr="001F52A8">
        <w:rPr>
          <w:lang w:bidi="he-IL"/>
        </w:rPr>
        <w:t>ile b</w:t>
      </w:r>
      <w:r w:rsidR="00DD75F6" w:rsidRPr="001F52A8">
        <w:rPr>
          <w:lang w:bidi="he-IL"/>
        </w:rPr>
        <w:t xml:space="preserve">oth initiatives </w:t>
      </w:r>
      <w:r w:rsidRPr="001F52A8">
        <w:rPr>
          <w:lang w:bidi="he-IL"/>
        </w:rPr>
        <w:t xml:space="preserve">may </w:t>
      </w:r>
      <w:r w:rsidR="00DD75F6" w:rsidRPr="001F52A8">
        <w:rPr>
          <w:lang w:bidi="he-IL"/>
        </w:rPr>
        <w:t>have a political side</w:t>
      </w:r>
      <w:r w:rsidRPr="001F52A8">
        <w:rPr>
          <w:lang w:bidi="he-IL"/>
        </w:rPr>
        <w:t xml:space="preserve">, like everything he does, </w:t>
      </w:r>
      <w:r w:rsidR="00DF6F71" w:rsidRPr="001F52A8">
        <w:rPr>
          <w:lang w:bidi="he-IL"/>
        </w:rPr>
        <w:t xml:space="preserve">and </w:t>
      </w:r>
      <w:r w:rsidRPr="001F52A8">
        <w:rPr>
          <w:lang w:bidi="he-IL"/>
        </w:rPr>
        <w:t xml:space="preserve">while </w:t>
      </w:r>
      <w:r w:rsidR="00DF6F71" w:rsidRPr="001F52A8">
        <w:rPr>
          <w:lang w:bidi="he-IL"/>
        </w:rPr>
        <w:t xml:space="preserve">both </w:t>
      </w:r>
      <w:r w:rsidRPr="001F52A8">
        <w:rPr>
          <w:lang w:bidi="he-IL"/>
        </w:rPr>
        <w:t xml:space="preserve">initiatives </w:t>
      </w:r>
      <w:r w:rsidR="00DF6F71" w:rsidRPr="001F52A8">
        <w:rPr>
          <w:lang w:bidi="he-IL"/>
        </w:rPr>
        <w:t>relate to worship</w:t>
      </w:r>
      <w:r w:rsidR="00DD75F6" w:rsidRPr="001F52A8">
        <w:rPr>
          <w:lang w:bidi="he-IL"/>
        </w:rPr>
        <w:t xml:space="preserve">, both </w:t>
      </w:r>
      <w:r w:rsidRPr="001F52A8">
        <w:rPr>
          <w:lang w:bidi="he-IL"/>
        </w:rPr>
        <w:t xml:space="preserve">also </w:t>
      </w:r>
      <w:r w:rsidR="00A40CF2" w:rsidRPr="001F52A8">
        <w:rPr>
          <w:lang w:bidi="he-IL"/>
        </w:rPr>
        <w:t>move in the realm of symbolism</w:t>
      </w:r>
      <w:r w:rsidR="00A730CC" w:rsidRPr="001F52A8">
        <w:rPr>
          <w:lang w:bidi="he-IL"/>
        </w:rPr>
        <w:t xml:space="preserve"> and both </w:t>
      </w:r>
      <w:r w:rsidR="00397CD3" w:rsidRPr="001F52A8">
        <w:rPr>
          <w:lang w:bidi="he-IL"/>
        </w:rPr>
        <w:t>relate to the reality of Yahweh’s presence in the city.</w:t>
      </w:r>
      <w:r w:rsidRPr="001F52A8">
        <w:rPr>
          <w:lang w:bidi="he-IL"/>
        </w:rPr>
        <w:t xml:space="preserve"> </w:t>
      </w:r>
    </w:p>
    <w:p w14:paraId="4A992EAE" w14:textId="4628AEF9" w:rsidR="007A5D8C" w:rsidRPr="001F52A8" w:rsidRDefault="00627D21" w:rsidP="00D71BF7">
      <w:pPr>
        <w:rPr>
          <w:lang w:bidi="he-IL"/>
        </w:rPr>
      </w:pPr>
      <w:r w:rsidRPr="001F52A8">
        <w:rPr>
          <w:lang w:bidi="he-IL"/>
        </w:rPr>
        <w:t xml:space="preserve">“Presence” is a </w:t>
      </w:r>
      <w:r w:rsidR="0042672E" w:rsidRPr="001F52A8">
        <w:rPr>
          <w:lang w:bidi="he-IL"/>
        </w:rPr>
        <w:t>rich</w:t>
      </w:r>
      <w:r w:rsidR="00EF3DE9" w:rsidRPr="001F52A8">
        <w:rPr>
          <w:lang w:bidi="he-IL"/>
        </w:rPr>
        <w:t xml:space="preserve"> and complex idea. </w:t>
      </w:r>
      <w:r w:rsidR="00EF2A13" w:rsidRPr="001F52A8">
        <w:rPr>
          <w:lang w:bidi="he-IL"/>
        </w:rPr>
        <w:t>In English translations</w:t>
      </w:r>
      <w:r w:rsidR="003E1FEA" w:rsidRPr="001F52A8">
        <w:rPr>
          <w:lang w:bidi="he-IL"/>
        </w:rPr>
        <w:t xml:space="preserve">, </w:t>
      </w:r>
      <w:r w:rsidR="007A5D8C" w:rsidRPr="001F52A8">
        <w:rPr>
          <w:lang w:bidi="he-IL"/>
        </w:rPr>
        <w:t>“presence”</w:t>
      </w:r>
      <w:r w:rsidR="003E1FEA" w:rsidRPr="001F52A8">
        <w:rPr>
          <w:lang w:bidi="he-IL"/>
        </w:rPr>
        <w:t xml:space="preserve"> commonly translates the word for “face” (</w:t>
      </w:r>
      <w:r w:rsidR="003E1FEA" w:rsidRPr="001F52A8">
        <w:rPr>
          <w:i/>
          <w:iCs/>
          <w:lang w:bidi="he-IL"/>
        </w:rPr>
        <w:t>p</w:t>
      </w:r>
      <w:r w:rsidR="003E1FEA" w:rsidRPr="001F52A8">
        <w:rPr>
          <w:rFonts w:cstheme="minorHAnsi"/>
          <w:i/>
          <w:iCs/>
          <w:lang w:bidi="he-IL"/>
        </w:rPr>
        <w:t>ā</w:t>
      </w:r>
      <w:r w:rsidR="009434FD" w:rsidRPr="001F52A8">
        <w:rPr>
          <w:rFonts w:cstheme="minorHAnsi"/>
          <w:i/>
          <w:iCs/>
          <w:lang w:bidi="he-IL"/>
        </w:rPr>
        <w:t>n</w:t>
      </w:r>
      <w:r w:rsidR="003E1FEA" w:rsidRPr="001F52A8">
        <w:rPr>
          <w:rFonts w:cstheme="minorHAnsi"/>
          <w:i/>
          <w:iCs/>
          <w:lang w:bidi="he-IL"/>
        </w:rPr>
        <w:t>î</w:t>
      </w:r>
      <w:r w:rsidR="009434FD" w:rsidRPr="001F52A8">
        <w:rPr>
          <w:i/>
          <w:iCs/>
          <w:lang w:bidi="he-IL"/>
        </w:rPr>
        <w:t>m</w:t>
      </w:r>
      <w:r w:rsidR="00F00079" w:rsidRPr="001F52A8">
        <w:rPr>
          <w:lang w:bidi="he-IL"/>
        </w:rPr>
        <w:t>)</w:t>
      </w:r>
      <w:r w:rsidR="009434FD" w:rsidRPr="001F52A8">
        <w:rPr>
          <w:lang w:bidi="he-IL"/>
        </w:rPr>
        <w:t>: when you are in someone’s presence, you see their face</w:t>
      </w:r>
      <w:r w:rsidR="00F00079" w:rsidRPr="001F52A8">
        <w:rPr>
          <w:lang w:bidi="he-IL"/>
        </w:rPr>
        <w:t>.</w:t>
      </w:r>
      <w:r w:rsidR="004D603F" w:rsidRPr="001F52A8">
        <w:rPr>
          <w:lang w:bidi="he-IL"/>
        </w:rPr>
        <w:t xml:space="preserve"> </w:t>
      </w:r>
      <w:r w:rsidR="007A5D8C" w:rsidRPr="001F52A8">
        <w:rPr>
          <w:lang w:bidi="he-IL"/>
        </w:rPr>
        <w:t>Further,</w:t>
      </w:r>
      <w:r w:rsidR="00E63C64" w:rsidRPr="001F52A8">
        <w:rPr>
          <w:lang w:bidi="he-IL"/>
        </w:rPr>
        <w:t xml:space="preserve"> the English word “before” </w:t>
      </w:r>
      <w:r w:rsidR="00DC1639" w:rsidRPr="001F52A8">
        <w:rPr>
          <w:lang w:bidi="he-IL"/>
        </w:rPr>
        <w:t xml:space="preserve">more literally denotes “to the face of.” </w:t>
      </w:r>
      <w:r w:rsidR="00607AAF" w:rsidRPr="001F52A8">
        <w:rPr>
          <w:lang w:bidi="he-IL"/>
        </w:rPr>
        <w:t xml:space="preserve">So </w:t>
      </w:r>
      <w:r w:rsidR="008F0C57" w:rsidRPr="001F52A8">
        <w:rPr>
          <w:lang w:bidi="he-IL"/>
        </w:rPr>
        <w:t xml:space="preserve">at the sanctuary </w:t>
      </w:r>
      <w:r w:rsidR="00607AAF" w:rsidRPr="001F52A8">
        <w:rPr>
          <w:lang w:bidi="he-IL"/>
        </w:rPr>
        <w:t xml:space="preserve">Hannah was </w:t>
      </w:r>
      <w:r w:rsidR="00A767F2" w:rsidRPr="001F52A8">
        <w:rPr>
          <w:lang w:bidi="he-IL"/>
        </w:rPr>
        <w:t xml:space="preserve">praying </w:t>
      </w:r>
      <w:r w:rsidR="00DC1639" w:rsidRPr="001F52A8">
        <w:rPr>
          <w:lang w:bidi="he-IL"/>
        </w:rPr>
        <w:t>“</w:t>
      </w:r>
      <w:r w:rsidR="00A428F5" w:rsidRPr="001F52A8">
        <w:rPr>
          <w:lang w:bidi="he-IL"/>
        </w:rPr>
        <w:t xml:space="preserve">to the face/presence of Yahweh” </w:t>
      </w:r>
      <w:r w:rsidR="009230E2" w:rsidRPr="001F52A8">
        <w:rPr>
          <w:lang w:bidi="he-IL"/>
        </w:rPr>
        <w:t xml:space="preserve">and Samuel ministered there </w:t>
      </w:r>
      <w:r w:rsidR="007A5D8C" w:rsidRPr="001F52A8">
        <w:rPr>
          <w:lang w:bidi="he-IL"/>
        </w:rPr>
        <w:t xml:space="preserve">to his face/presence </w:t>
      </w:r>
      <w:r w:rsidR="00A428F5" w:rsidRPr="001F52A8">
        <w:rPr>
          <w:lang w:bidi="he-IL"/>
        </w:rPr>
        <w:t>(</w:t>
      </w:r>
      <w:r w:rsidR="009230E2" w:rsidRPr="001F52A8">
        <w:rPr>
          <w:lang w:bidi="he-IL"/>
        </w:rPr>
        <w:t xml:space="preserve">e.g., </w:t>
      </w:r>
      <w:r w:rsidR="00A428F5" w:rsidRPr="001F52A8">
        <w:rPr>
          <w:lang w:bidi="he-IL"/>
        </w:rPr>
        <w:t xml:space="preserve">1 Sam </w:t>
      </w:r>
      <w:r w:rsidR="009230E2" w:rsidRPr="001F52A8">
        <w:rPr>
          <w:lang w:bidi="he-IL"/>
        </w:rPr>
        <w:t xml:space="preserve">1:12, </w:t>
      </w:r>
      <w:r w:rsidR="00CB6DB9" w:rsidRPr="001F52A8">
        <w:rPr>
          <w:lang w:bidi="he-IL"/>
        </w:rPr>
        <w:t>15, 19, 22; 2:</w:t>
      </w:r>
      <w:r w:rsidR="00CC48F8" w:rsidRPr="001F52A8">
        <w:rPr>
          <w:lang w:bidi="he-IL"/>
        </w:rPr>
        <w:t xml:space="preserve">11, </w:t>
      </w:r>
      <w:r w:rsidR="00CB6DB9" w:rsidRPr="001F52A8">
        <w:rPr>
          <w:lang w:bidi="he-IL"/>
        </w:rPr>
        <w:t>18</w:t>
      </w:r>
      <w:r w:rsidR="00AC575A" w:rsidRPr="001F52A8">
        <w:rPr>
          <w:lang w:bidi="he-IL"/>
        </w:rPr>
        <w:t>; 3:1</w:t>
      </w:r>
      <w:r w:rsidR="00C264DE" w:rsidRPr="001F52A8">
        <w:rPr>
          <w:lang w:bidi="he-IL"/>
        </w:rPr>
        <w:t xml:space="preserve">). </w:t>
      </w:r>
      <w:r w:rsidR="004A708F" w:rsidRPr="001F52A8">
        <w:rPr>
          <w:lang w:bidi="he-IL"/>
        </w:rPr>
        <w:t>T</w:t>
      </w:r>
      <w:r w:rsidR="003B3240" w:rsidRPr="001F52A8">
        <w:rPr>
          <w:lang w:bidi="he-IL"/>
        </w:rPr>
        <w:t>he same expression can be used of situations outside the sanctuary</w:t>
      </w:r>
      <w:r w:rsidR="00E267A0" w:rsidRPr="001F52A8">
        <w:rPr>
          <w:lang w:bidi="he-IL"/>
        </w:rPr>
        <w:t xml:space="preserve">: Abraham stood </w:t>
      </w:r>
      <w:r w:rsidR="00920364" w:rsidRPr="001F52A8">
        <w:rPr>
          <w:lang w:bidi="he-IL"/>
        </w:rPr>
        <w:t>to the face/presence</w:t>
      </w:r>
      <w:r w:rsidR="00EE4102" w:rsidRPr="001F52A8">
        <w:rPr>
          <w:lang w:bidi="he-IL"/>
        </w:rPr>
        <w:t xml:space="preserve"> of</w:t>
      </w:r>
      <w:r w:rsidR="00E267A0" w:rsidRPr="001F52A8">
        <w:rPr>
          <w:lang w:bidi="he-IL"/>
        </w:rPr>
        <w:t xml:space="preserve"> Yahweh </w:t>
      </w:r>
      <w:r w:rsidR="000675D9" w:rsidRPr="001F52A8">
        <w:rPr>
          <w:lang w:bidi="he-IL"/>
        </w:rPr>
        <w:t>at Mamre (Gen 18:22; 19:27</w:t>
      </w:r>
      <w:r w:rsidR="00F861CF" w:rsidRPr="001F52A8">
        <w:rPr>
          <w:lang w:bidi="he-IL"/>
        </w:rPr>
        <w:t>)</w:t>
      </w:r>
      <w:r w:rsidR="002919E4" w:rsidRPr="001F52A8">
        <w:rPr>
          <w:lang w:bidi="he-IL"/>
        </w:rPr>
        <w:t>,</w:t>
      </w:r>
      <w:r w:rsidR="00F861CF" w:rsidRPr="001F52A8">
        <w:rPr>
          <w:lang w:bidi="he-IL"/>
        </w:rPr>
        <w:t xml:space="preserve"> </w:t>
      </w:r>
      <w:r w:rsidR="007A546C" w:rsidRPr="001F52A8">
        <w:rPr>
          <w:lang w:bidi="he-IL"/>
        </w:rPr>
        <w:t xml:space="preserve">and </w:t>
      </w:r>
      <w:r w:rsidR="00F861CF" w:rsidRPr="001F52A8">
        <w:rPr>
          <w:lang w:bidi="he-IL"/>
        </w:rPr>
        <w:t xml:space="preserve">his servant bowed </w:t>
      </w:r>
      <w:r w:rsidR="007A5D8C" w:rsidRPr="001F52A8">
        <w:rPr>
          <w:lang w:bidi="he-IL"/>
        </w:rPr>
        <w:t>to his face/presence</w:t>
      </w:r>
      <w:r w:rsidR="00F861CF" w:rsidRPr="001F52A8">
        <w:rPr>
          <w:lang w:bidi="he-IL"/>
        </w:rPr>
        <w:t xml:space="preserve"> </w:t>
      </w:r>
      <w:r w:rsidR="00C36B4E" w:rsidRPr="001F52A8">
        <w:rPr>
          <w:lang w:bidi="he-IL"/>
        </w:rPr>
        <w:t>in Laban’s house</w:t>
      </w:r>
      <w:r w:rsidR="00F861CF" w:rsidRPr="001F52A8">
        <w:rPr>
          <w:lang w:bidi="he-IL"/>
        </w:rPr>
        <w:t xml:space="preserve"> (24:</w:t>
      </w:r>
      <w:r w:rsidR="00EE4102" w:rsidRPr="001F52A8">
        <w:rPr>
          <w:lang w:bidi="he-IL"/>
        </w:rPr>
        <w:t>52</w:t>
      </w:r>
      <w:r w:rsidR="00F861CF" w:rsidRPr="001F52A8">
        <w:rPr>
          <w:lang w:bidi="he-IL"/>
        </w:rPr>
        <w:t>)</w:t>
      </w:r>
      <w:r w:rsidR="007A546C" w:rsidRPr="001F52A8">
        <w:rPr>
          <w:lang w:bidi="he-IL"/>
        </w:rPr>
        <w:t xml:space="preserve">. </w:t>
      </w:r>
      <w:r w:rsidR="007A5D8C" w:rsidRPr="001F52A8">
        <w:rPr>
          <w:lang w:bidi="he-IL"/>
        </w:rPr>
        <w:t>S</w:t>
      </w:r>
      <w:r w:rsidR="008641B1" w:rsidRPr="001F52A8">
        <w:rPr>
          <w:lang w:bidi="he-IL"/>
        </w:rPr>
        <w:t xml:space="preserve">tatements about Yahweh being “with” David </w:t>
      </w:r>
      <w:r w:rsidR="007A5D8C" w:rsidRPr="001F52A8">
        <w:rPr>
          <w:lang w:bidi="he-IL"/>
        </w:rPr>
        <w:t xml:space="preserve">also </w:t>
      </w:r>
      <w:r w:rsidR="008641B1" w:rsidRPr="001F52A8">
        <w:rPr>
          <w:lang w:bidi="he-IL"/>
        </w:rPr>
        <w:t xml:space="preserve">indicate his </w:t>
      </w:r>
      <w:r w:rsidR="00045D5E" w:rsidRPr="001F52A8">
        <w:rPr>
          <w:lang w:bidi="he-IL"/>
        </w:rPr>
        <w:t xml:space="preserve">dynamic and active presence. </w:t>
      </w:r>
    </w:p>
    <w:p w14:paraId="0D2A8D33" w14:textId="1AC82E15" w:rsidR="000A266F" w:rsidRPr="001F52A8" w:rsidRDefault="00045D5E" w:rsidP="00D71BF7">
      <w:pPr>
        <w:rPr>
          <w:lang w:bidi="he-IL"/>
        </w:rPr>
      </w:pPr>
      <w:r w:rsidRPr="001F52A8">
        <w:rPr>
          <w:lang w:bidi="he-IL"/>
        </w:rPr>
        <w:t xml:space="preserve">But most references to Yahweh’s face or presence denote </w:t>
      </w:r>
      <w:r w:rsidR="00886CB3" w:rsidRPr="001F52A8">
        <w:rPr>
          <w:lang w:bidi="he-IL"/>
        </w:rPr>
        <w:t>the reality of his presence in the sanctuary</w:t>
      </w:r>
      <w:r w:rsidR="00F21C5A" w:rsidRPr="001F52A8">
        <w:rPr>
          <w:lang w:bidi="he-IL"/>
        </w:rPr>
        <w:t>;</w:t>
      </w:r>
      <w:r w:rsidR="00886CB3" w:rsidRPr="001F52A8">
        <w:rPr>
          <w:lang w:bidi="he-IL"/>
        </w:rPr>
        <w:t xml:space="preserve"> he has committ</w:t>
      </w:r>
      <w:r w:rsidR="00682F1B" w:rsidRPr="001F52A8">
        <w:rPr>
          <w:lang w:bidi="he-IL"/>
        </w:rPr>
        <w:t xml:space="preserve">ed himself to being there. </w:t>
      </w:r>
      <w:r w:rsidR="00D71BF7" w:rsidRPr="001F52A8">
        <w:rPr>
          <w:lang w:bidi="he-IL"/>
        </w:rPr>
        <w:t xml:space="preserve">David dancing “before” Yahweh </w:t>
      </w:r>
      <w:r w:rsidR="00AA0CF6" w:rsidRPr="001F52A8">
        <w:rPr>
          <w:lang w:bidi="he-IL"/>
        </w:rPr>
        <w:t>(</w:t>
      </w:r>
      <w:r w:rsidR="009F787F" w:rsidRPr="001F52A8">
        <w:rPr>
          <w:lang w:bidi="he-IL"/>
        </w:rPr>
        <w:t xml:space="preserve">2 Sam 6:5, </w:t>
      </w:r>
      <w:r w:rsidR="00443F96" w:rsidRPr="001F52A8">
        <w:rPr>
          <w:lang w:bidi="he-IL"/>
        </w:rPr>
        <w:t xml:space="preserve">14, 16, </w:t>
      </w:r>
      <w:r w:rsidR="009E6A7C" w:rsidRPr="001F52A8">
        <w:rPr>
          <w:lang w:bidi="he-IL"/>
        </w:rPr>
        <w:t xml:space="preserve">21) </w:t>
      </w:r>
      <w:r w:rsidR="00D71BF7" w:rsidRPr="001F52A8">
        <w:rPr>
          <w:lang w:bidi="he-IL"/>
        </w:rPr>
        <w:t>prove</w:t>
      </w:r>
      <w:r w:rsidR="00ED4F7B">
        <w:rPr>
          <w:lang w:bidi="he-IL"/>
        </w:rPr>
        <w:t>s</w:t>
      </w:r>
      <w:r w:rsidR="00D71BF7" w:rsidRPr="001F52A8">
        <w:rPr>
          <w:lang w:bidi="he-IL"/>
        </w:rPr>
        <w:t xml:space="preserve"> the rule</w:t>
      </w:r>
      <w:r w:rsidR="00AA0CF6" w:rsidRPr="001F52A8">
        <w:rPr>
          <w:lang w:bidi="he-IL"/>
        </w:rPr>
        <w:t>; wh</w:t>
      </w:r>
      <w:r w:rsidR="00ED4F7B">
        <w:rPr>
          <w:lang w:bidi="he-IL"/>
        </w:rPr>
        <w:t>ereas</w:t>
      </w:r>
      <w:r w:rsidR="00AA0CF6" w:rsidRPr="001F52A8">
        <w:rPr>
          <w:lang w:bidi="he-IL"/>
        </w:rPr>
        <w:t xml:space="preserve"> he is not in the sanctuary, he </w:t>
      </w:r>
      <w:r w:rsidR="00D71BF7" w:rsidRPr="001F52A8">
        <w:rPr>
          <w:lang w:bidi="he-IL"/>
        </w:rPr>
        <w:t>is dancing before the covenant chest</w:t>
      </w:r>
      <w:r w:rsidR="009E6A7C" w:rsidRPr="001F52A8">
        <w:rPr>
          <w:lang w:bidi="he-IL"/>
        </w:rPr>
        <w:t xml:space="preserve">. People </w:t>
      </w:r>
      <w:r w:rsidR="00682F1B" w:rsidRPr="001F52A8">
        <w:rPr>
          <w:lang w:bidi="he-IL"/>
        </w:rPr>
        <w:t xml:space="preserve">know </w:t>
      </w:r>
      <w:r w:rsidR="009E6A7C" w:rsidRPr="001F52A8">
        <w:rPr>
          <w:lang w:bidi="he-IL"/>
        </w:rPr>
        <w:t xml:space="preserve">that they </w:t>
      </w:r>
      <w:r w:rsidR="00BE78DA" w:rsidRPr="001F52A8">
        <w:rPr>
          <w:lang w:bidi="he-IL"/>
        </w:rPr>
        <w:t xml:space="preserve">can </w:t>
      </w:r>
      <w:r w:rsidR="00682F1B" w:rsidRPr="001F52A8">
        <w:rPr>
          <w:lang w:bidi="he-IL"/>
        </w:rPr>
        <w:t xml:space="preserve">go and see </w:t>
      </w:r>
      <w:r w:rsidR="00F21C5A" w:rsidRPr="001F52A8">
        <w:rPr>
          <w:lang w:bidi="he-IL"/>
        </w:rPr>
        <w:t>Yahweh</w:t>
      </w:r>
      <w:r w:rsidR="00682F1B" w:rsidRPr="001F52A8">
        <w:rPr>
          <w:lang w:bidi="he-IL"/>
        </w:rPr>
        <w:t xml:space="preserve"> </w:t>
      </w:r>
      <w:r w:rsidR="00BE78DA" w:rsidRPr="001F52A8">
        <w:rPr>
          <w:lang w:bidi="he-IL"/>
        </w:rPr>
        <w:t>in the sanctuary</w:t>
      </w:r>
      <w:r w:rsidR="00682F1B" w:rsidRPr="001F52A8">
        <w:rPr>
          <w:lang w:bidi="he-IL"/>
        </w:rPr>
        <w:t xml:space="preserve">, ask him things, </w:t>
      </w:r>
      <w:r w:rsidR="0024599C" w:rsidRPr="001F52A8">
        <w:rPr>
          <w:lang w:bidi="he-IL"/>
        </w:rPr>
        <w:t>thank him for things, and honor him</w:t>
      </w:r>
      <w:r w:rsidR="00F21C5A" w:rsidRPr="001F52A8">
        <w:rPr>
          <w:lang w:bidi="he-IL"/>
        </w:rPr>
        <w:t xml:space="preserve"> there</w:t>
      </w:r>
      <w:r w:rsidR="0024599C" w:rsidRPr="001F52A8">
        <w:rPr>
          <w:lang w:bidi="he-IL"/>
        </w:rPr>
        <w:t>.</w:t>
      </w:r>
      <w:r w:rsidR="00C56B36" w:rsidRPr="001F52A8">
        <w:rPr>
          <w:lang w:bidi="he-IL"/>
        </w:rPr>
        <w:t xml:space="preserve"> </w:t>
      </w:r>
      <w:r w:rsidR="00D5015F" w:rsidRPr="001F52A8">
        <w:rPr>
          <w:lang w:bidi="he-IL"/>
        </w:rPr>
        <w:t xml:space="preserve">In a </w:t>
      </w:r>
      <w:r w:rsidR="00F21C5A" w:rsidRPr="001F52A8">
        <w:rPr>
          <w:lang w:bidi="he-IL"/>
        </w:rPr>
        <w:t>sense</w:t>
      </w:r>
      <w:r w:rsidR="00D5015F" w:rsidRPr="001F52A8">
        <w:rPr>
          <w:lang w:bidi="he-IL"/>
        </w:rPr>
        <w:t xml:space="preserve"> it’s odd to speak of the face and presence of Yahweh in this way; the language more literally fits a deity </w:t>
      </w:r>
      <w:r w:rsidR="00C87A4C" w:rsidRPr="001F52A8">
        <w:rPr>
          <w:lang w:bidi="he-IL"/>
        </w:rPr>
        <w:t>who has an image</w:t>
      </w:r>
      <w:r w:rsidR="00E92E52">
        <w:rPr>
          <w:lang w:bidi="he-IL"/>
        </w:rPr>
        <w:t>, with</w:t>
      </w:r>
      <w:r w:rsidR="00C87A4C" w:rsidRPr="001F52A8">
        <w:rPr>
          <w:lang w:bidi="he-IL"/>
        </w:rPr>
        <w:t xml:space="preserve"> a face that one can see</w:t>
      </w:r>
      <w:r w:rsidR="002A10C2" w:rsidRPr="001F52A8">
        <w:rPr>
          <w:lang w:bidi="he-IL"/>
        </w:rPr>
        <w:t xml:space="preserve">. But Israel knows that Yahweh </w:t>
      </w:r>
      <w:r w:rsidR="00C26DB2" w:rsidRPr="001F52A8">
        <w:rPr>
          <w:lang w:bidi="he-IL"/>
        </w:rPr>
        <w:t>metaphorically but really has a face that looks at people and smiles at them, as he m</w:t>
      </w:r>
      <w:r w:rsidR="00F42778" w:rsidRPr="001F52A8">
        <w:rPr>
          <w:lang w:bidi="he-IL"/>
        </w:rPr>
        <w:t>e</w:t>
      </w:r>
      <w:r w:rsidR="00C26DB2" w:rsidRPr="001F52A8">
        <w:rPr>
          <w:lang w:bidi="he-IL"/>
        </w:rPr>
        <w:t>t</w:t>
      </w:r>
      <w:r w:rsidR="00F42778" w:rsidRPr="001F52A8">
        <w:rPr>
          <w:lang w:bidi="he-IL"/>
        </w:rPr>
        <w:t>ap</w:t>
      </w:r>
      <w:r w:rsidR="00C26DB2" w:rsidRPr="001F52A8">
        <w:rPr>
          <w:lang w:bidi="he-IL"/>
        </w:rPr>
        <w:t>h</w:t>
      </w:r>
      <w:r w:rsidR="00F42778" w:rsidRPr="001F52A8">
        <w:rPr>
          <w:lang w:bidi="he-IL"/>
        </w:rPr>
        <w:t>o</w:t>
      </w:r>
      <w:r w:rsidR="00C26DB2" w:rsidRPr="001F52A8">
        <w:rPr>
          <w:lang w:bidi="he-IL"/>
        </w:rPr>
        <w:t xml:space="preserve">rically but really has eyes, ears, </w:t>
      </w:r>
      <w:r w:rsidR="00F42778" w:rsidRPr="001F52A8">
        <w:rPr>
          <w:lang w:bidi="he-IL"/>
        </w:rPr>
        <w:t>mouths</w:t>
      </w:r>
      <w:r w:rsidR="00D41C73" w:rsidRPr="001F52A8">
        <w:rPr>
          <w:lang w:bidi="he-IL"/>
        </w:rPr>
        <w:t>, noses, hands, and feet</w:t>
      </w:r>
      <w:r w:rsidR="008941E6">
        <w:rPr>
          <w:lang w:bidi="he-IL"/>
        </w:rPr>
        <w:t xml:space="preserve"> that</w:t>
      </w:r>
      <w:r w:rsidR="00F42778" w:rsidRPr="001F52A8">
        <w:rPr>
          <w:lang w:bidi="he-IL"/>
        </w:rPr>
        <w:t xml:space="preserve"> work</w:t>
      </w:r>
      <w:r w:rsidR="008941E6">
        <w:rPr>
          <w:lang w:bidi="he-IL"/>
        </w:rPr>
        <w:t>, as</w:t>
      </w:r>
      <w:r w:rsidR="005618E4" w:rsidRPr="001F52A8">
        <w:rPr>
          <w:lang w:bidi="he-IL"/>
        </w:rPr>
        <w:t xml:space="preserve"> those of other so-called deities do not </w:t>
      </w:r>
      <w:r w:rsidR="00F42778" w:rsidRPr="001F52A8">
        <w:rPr>
          <w:lang w:bidi="he-IL"/>
        </w:rPr>
        <w:t>(Pss 115:</w:t>
      </w:r>
      <w:r w:rsidR="00E65E57" w:rsidRPr="001F52A8">
        <w:rPr>
          <w:lang w:bidi="he-IL"/>
        </w:rPr>
        <w:t>5-7;</w:t>
      </w:r>
      <w:r w:rsidR="00F42778" w:rsidRPr="001F52A8">
        <w:rPr>
          <w:lang w:bidi="he-IL"/>
        </w:rPr>
        <w:t xml:space="preserve"> 135:</w:t>
      </w:r>
      <w:r w:rsidR="00D41C73" w:rsidRPr="001F52A8">
        <w:rPr>
          <w:lang w:bidi="he-IL"/>
        </w:rPr>
        <w:t>16-17</w:t>
      </w:r>
      <w:r w:rsidR="00E65E57" w:rsidRPr="001F52A8">
        <w:rPr>
          <w:lang w:bidi="he-IL"/>
        </w:rPr>
        <w:t xml:space="preserve">). </w:t>
      </w:r>
      <w:r w:rsidR="00C56B36" w:rsidRPr="001F52A8">
        <w:rPr>
          <w:lang w:bidi="he-IL"/>
        </w:rPr>
        <w:t>In English we c</w:t>
      </w:r>
      <w:r w:rsidR="00F21C5A" w:rsidRPr="001F52A8">
        <w:rPr>
          <w:lang w:bidi="he-IL"/>
        </w:rPr>
        <w:t>an</w:t>
      </w:r>
      <w:r w:rsidR="00C56B36" w:rsidRPr="001F52A8">
        <w:rPr>
          <w:lang w:bidi="he-IL"/>
        </w:rPr>
        <w:t xml:space="preserve"> speak of a blind person going to “see” someone</w:t>
      </w:r>
      <w:r w:rsidR="00BB050E" w:rsidRPr="001F52A8">
        <w:rPr>
          <w:lang w:bidi="he-IL"/>
        </w:rPr>
        <w:t>; “sight</w:t>
      </w:r>
      <w:r w:rsidR="00F21C5A" w:rsidRPr="001F52A8">
        <w:rPr>
          <w:lang w:bidi="he-IL"/>
        </w:rPr>
        <w:t>”</w:t>
      </w:r>
      <w:r w:rsidR="00BB050E" w:rsidRPr="001F52A8">
        <w:rPr>
          <w:lang w:bidi="he-IL"/>
        </w:rPr>
        <w:t xml:space="preserve"> become</w:t>
      </w:r>
      <w:r w:rsidR="00E92E52">
        <w:rPr>
          <w:lang w:bidi="he-IL"/>
        </w:rPr>
        <w:t>s</w:t>
      </w:r>
      <w:r w:rsidR="00BB050E" w:rsidRPr="001F52A8">
        <w:rPr>
          <w:lang w:bidi="he-IL"/>
        </w:rPr>
        <w:t xml:space="preserve"> a metaphor, but it denotes </w:t>
      </w:r>
      <w:r w:rsidR="008941E6">
        <w:rPr>
          <w:lang w:bidi="he-IL"/>
        </w:rPr>
        <w:t>a</w:t>
      </w:r>
      <w:r w:rsidR="00BB050E" w:rsidRPr="001F52A8">
        <w:rPr>
          <w:lang w:bidi="he-IL"/>
        </w:rPr>
        <w:t xml:space="preserve"> reality of being in the person’s presence.</w:t>
      </w:r>
    </w:p>
    <w:p w14:paraId="2B920039" w14:textId="0571DDCE" w:rsidR="00FF4DA8" w:rsidRPr="001F52A8" w:rsidRDefault="0033215D" w:rsidP="00FF4DA8">
      <w:pPr>
        <w:rPr>
          <w:lang w:bidi="he-IL"/>
        </w:rPr>
      </w:pPr>
      <w:r w:rsidRPr="001F52A8">
        <w:rPr>
          <w:lang w:bidi="he-IL"/>
        </w:rPr>
        <w:t xml:space="preserve">The question of the origin and history of </w:t>
      </w:r>
      <w:r w:rsidR="00F21C5A" w:rsidRPr="001F52A8">
        <w:rPr>
          <w:lang w:bidi="he-IL"/>
        </w:rPr>
        <w:t>the</w:t>
      </w:r>
      <w:r w:rsidRPr="001F52A8">
        <w:rPr>
          <w:lang w:bidi="he-IL"/>
        </w:rPr>
        <w:t xml:space="preserve"> sanctuary</w:t>
      </w:r>
      <w:r w:rsidR="006D6F78" w:rsidRPr="001F52A8">
        <w:rPr>
          <w:lang w:bidi="he-IL"/>
        </w:rPr>
        <w:t xml:space="preserve"> where the covenant chest </w:t>
      </w:r>
      <w:r w:rsidR="00F413CC" w:rsidRPr="001F52A8">
        <w:rPr>
          <w:lang w:bidi="he-IL"/>
        </w:rPr>
        <w:t>reside</w:t>
      </w:r>
      <w:r w:rsidR="008941E6">
        <w:rPr>
          <w:lang w:bidi="he-IL"/>
        </w:rPr>
        <w:t>d</w:t>
      </w:r>
      <w:r w:rsidRPr="001F52A8">
        <w:rPr>
          <w:lang w:bidi="he-IL"/>
        </w:rPr>
        <w:t xml:space="preserve"> is convoluted, </w:t>
      </w:r>
      <w:r w:rsidR="00F413CC" w:rsidRPr="001F52A8">
        <w:rPr>
          <w:lang w:bidi="he-IL"/>
        </w:rPr>
        <w:t>but Samuel simply presupposes that</w:t>
      </w:r>
      <w:r w:rsidR="001507E8" w:rsidRPr="001F52A8">
        <w:rPr>
          <w:lang w:bidi="he-IL"/>
        </w:rPr>
        <w:t xml:space="preserve"> Yahweh had commissioned </w:t>
      </w:r>
      <w:r w:rsidR="00F413CC" w:rsidRPr="001F52A8">
        <w:rPr>
          <w:lang w:bidi="he-IL"/>
        </w:rPr>
        <w:t>its</w:t>
      </w:r>
      <w:r w:rsidR="001507E8" w:rsidRPr="001F52A8">
        <w:rPr>
          <w:lang w:bidi="he-IL"/>
        </w:rPr>
        <w:t xml:space="preserve"> construction</w:t>
      </w:r>
      <w:r w:rsidR="00117E4A" w:rsidRPr="001F52A8">
        <w:rPr>
          <w:lang w:bidi="he-IL"/>
        </w:rPr>
        <w:t xml:space="preserve"> and</w:t>
      </w:r>
      <w:r w:rsidR="00F21C5A" w:rsidRPr="001F52A8">
        <w:rPr>
          <w:lang w:bidi="he-IL"/>
        </w:rPr>
        <w:t xml:space="preserve"> </w:t>
      </w:r>
      <w:r w:rsidR="00F413CC" w:rsidRPr="001F52A8">
        <w:rPr>
          <w:lang w:bidi="he-IL"/>
        </w:rPr>
        <w:t>undertaken to</w:t>
      </w:r>
      <w:r w:rsidR="00117E4A" w:rsidRPr="001F52A8">
        <w:rPr>
          <w:lang w:bidi="he-IL"/>
        </w:rPr>
        <w:t xml:space="preserve"> be invisibly but really present above the chest, </w:t>
      </w:r>
      <w:r w:rsidR="004C6A87" w:rsidRPr="001F52A8">
        <w:rPr>
          <w:lang w:bidi="he-IL"/>
        </w:rPr>
        <w:t>between or above the sphinxes</w:t>
      </w:r>
      <w:r w:rsidR="00F413CC" w:rsidRPr="001F52A8">
        <w:rPr>
          <w:lang w:bidi="he-IL"/>
        </w:rPr>
        <w:t xml:space="preserve">. </w:t>
      </w:r>
      <w:r w:rsidR="009B4DEF" w:rsidRPr="001F52A8">
        <w:rPr>
          <w:lang w:bidi="he-IL"/>
        </w:rPr>
        <w:t xml:space="preserve">While </w:t>
      </w:r>
      <w:r w:rsidR="00E54EA0" w:rsidRPr="001F52A8">
        <w:rPr>
          <w:lang w:bidi="he-IL"/>
        </w:rPr>
        <w:t xml:space="preserve">Samuel mostly refrains from </w:t>
      </w:r>
      <w:r w:rsidR="00F21C5A" w:rsidRPr="001F52A8">
        <w:rPr>
          <w:lang w:bidi="he-IL"/>
        </w:rPr>
        <w:t xml:space="preserve">using the image of covenant to </w:t>
      </w:r>
      <w:r w:rsidR="00E54EA0" w:rsidRPr="001F52A8">
        <w:rPr>
          <w:lang w:bidi="he-IL"/>
        </w:rPr>
        <w:t>describ</w:t>
      </w:r>
      <w:r w:rsidR="00F21C5A" w:rsidRPr="001F52A8">
        <w:rPr>
          <w:lang w:bidi="he-IL"/>
        </w:rPr>
        <w:t>e</w:t>
      </w:r>
      <w:r w:rsidR="00E54EA0" w:rsidRPr="001F52A8">
        <w:rPr>
          <w:lang w:bidi="he-IL"/>
        </w:rPr>
        <w:t xml:space="preserve"> the relationship of Yahweh and Israel</w:t>
      </w:r>
      <w:r w:rsidR="0079423C" w:rsidRPr="001F52A8">
        <w:rPr>
          <w:lang w:bidi="he-IL"/>
        </w:rPr>
        <w:t>, it frequently refers to “the covenant chest</w:t>
      </w:r>
      <w:r w:rsidR="008941E6">
        <w:rPr>
          <w:lang w:bidi="he-IL"/>
        </w:rPr>
        <w:t>.</w:t>
      </w:r>
      <w:r w:rsidR="005F003D" w:rsidRPr="001F52A8">
        <w:rPr>
          <w:lang w:bidi="he-IL"/>
        </w:rPr>
        <w:t>” The chest contain</w:t>
      </w:r>
      <w:r w:rsidR="008941E6">
        <w:rPr>
          <w:lang w:bidi="he-IL"/>
        </w:rPr>
        <w:t>s</w:t>
      </w:r>
      <w:r w:rsidR="005F003D" w:rsidRPr="001F52A8">
        <w:rPr>
          <w:lang w:bidi="he-IL"/>
        </w:rPr>
        <w:t xml:space="preserve"> the </w:t>
      </w:r>
      <w:r w:rsidR="000E551E" w:rsidRPr="001F52A8">
        <w:rPr>
          <w:lang w:bidi="he-IL"/>
        </w:rPr>
        <w:t xml:space="preserve">stone tablets inscribed with the </w:t>
      </w:r>
      <w:r w:rsidR="00A36DCF">
        <w:rPr>
          <w:lang w:bidi="he-IL"/>
        </w:rPr>
        <w:t>Decalogue</w:t>
      </w:r>
      <w:r w:rsidR="000E551E" w:rsidRPr="001F52A8">
        <w:rPr>
          <w:lang w:bidi="he-IL"/>
        </w:rPr>
        <w:t xml:space="preserve">, </w:t>
      </w:r>
      <w:r w:rsidR="001A2B1A" w:rsidRPr="001F52A8">
        <w:rPr>
          <w:lang w:bidi="he-IL"/>
        </w:rPr>
        <w:t xml:space="preserve">the basic </w:t>
      </w:r>
      <w:r w:rsidR="008941E6">
        <w:rPr>
          <w:lang w:bidi="he-IL"/>
        </w:rPr>
        <w:t xml:space="preserve">covenant </w:t>
      </w:r>
      <w:r w:rsidR="001A2B1A" w:rsidRPr="001F52A8">
        <w:rPr>
          <w:lang w:bidi="he-IL"/>
        </w:rPr>
        <w:t>obligation that Yahweh laid upon</w:t>
      </w:r>
      <w:r w:rsidR="00834ADE" w:rsidRPr="001F52A8">
        <w:rPr>
          <w:lang w:bidi="he-IL"/>
        </w:rPr>
        <w:t xml:space="preserve"> Israel</w:t>
      </w:r>
      <w:r w:rsidR="001A2B1A" w:rsidRPr="001F52A8">
        <w:rPr>
          <w:lang w:bidi="he-IL"/>
        </w:rPr>
        <w:t xml:space="preserve"> at Sinai </w:t>
      </w:r>
      <w:r w:rsidR="00BC1AC1" w:rsidRPr="001F52A8">
        <w:rPr>
          <w:lang w:bidi="he-IL"/>
        </w:rPr>
        <w:t>in light of his deliverance of the people from servitude to Egypt</w:t>
      </w:r>
      <w:r w:rsidR="000D41BD" w:rsidRPr="001F52A8">
        <w:rPr>
          <w:lang w:bidi="he-IL"/>
        </w:rPr>
        <w:t xml:space="preserve"> </w:t>
      </w:r>
      <w:r w:rsidR="00F21C5A" w:rsidRPr="001F52A8">
        <w:rPr>
          <w:lang w:bidi="he-IL"/>
        </w:rPr>
        <w:t xml:space="preserve">(cf. </w:t>
      </w:r>
      <w:r w:rsidR="00FF4DA8" w:rsidRPr="001F52A8">
        <w:rPr>
          <w:rFonts w:cstheme="minorHAnsi"/>
          <w:lang w:bidi="he-IL"/>
        </w:rPr>
        <w:t>1 Kgs 8:21</w:t>
      </w:r>
      <w:r w:rsidR="00F21C5A" w:rsidRPr="001F52A8">
        <w:rPr>
          <w:rFonts w:cstheme="minorHAnsi"/>
          <w:lang w:bidi="he-IL"/>
        </w:rPr>
        <w:t>).</w:t>
      </w:r>
    </w:p>
    <w:p w14:paraId="4DB60CFF" w14:textId="2A00704A" w:rsidR="00F21C5A" w:rsidRPr="001F52A8" w:rsidRDefault="00CD7F2E" w:rsidP="000C3FFF">
      <w:pPr>
        <w:rPr>
          <w:lang w:bidi="he-IL"/>
        </w:rPr>
      </w:pPr>
      <w:r w:rsidRPr="001F52A8">
        <w:rPr>
          <w:lang w:bidi="he-IL"/>
        </w:rPr>
        <w:t xml:space="preserve">Israel had managed without </w:t>
      </w:r>
      <w:r w:rsidR="00F21C5A" w:rsidRPr="001F52A8">
        <w:rPr>
          <w:lang w:bidi="he-IL"/>
        </w:rPr>
        <w:t>the chest</w:t>
      </w:r>
      <w:r w:rsidRPr="001F52A8">
        <w:rPr>
          <w:lang w:bidi="he-IL"/>
        </w:rPr>
        <w:t xml:space="preserve"> </w:t>
      </w:r>
      <w:r w:rsidR="0089693C" w:rsidRPr="001F52A8">
        <w:rPr>
          <w:lang w:bidi="he-IL"/>
        </w:rPr>
        <w:t>for a decade or tw</w:t>
      </w:r>
      <w:r w:rsidR="007F7182" w:rsidRPr="001F52A8">
        <w:rPr>
          <w:lang w:bidi="he-IL"/>
        </w:rPr>
        <w:t>o</w:t>
      </w:r>
      <w:r w:rsidR="0089693C" w:rsidRPr="001F52A8">
        <w:rPr>
          <w:lang w:bidi="he-IL"/>
        </w:rPr>
        <w:t xml:space="preserve"> or three since its </w:t>
      </w:r>
      <w:r w:rsidR="007F7182" w:rsidRPr="001F52A8">
        <w:rPr>
          <w:lang w:bidi="he-IL"/>
        </w:rPr>
        <w:t>deposit</w:t>
      </w:r>
      <w:r w:rsidR="00F75BBC" w:rsidRPr="001F52A8">
        <w:rPr>
          <w:lang w:bidi="he-IL"/>
        </w:rPr>
        <w:t>ing</w:t>
      </w:r>
      <w:r w:rsidR="007F7182" w:rsidRPr="001F52A8">
        <w:rPr>
          <w:lang w:bidi="he-IL"/>
        </w:rPr>
        <w:t xml:space="preserve"> at </w:t>
      </w:r>
      <w:r w:rsidR="007F7182" w:rsidRPr="001F52A8">
        <w:t>Qiryat-ye‘arim</w:t>
      </w:r>
      <w:r w:rsidR="00FB6110" w:rsidRPr="001F52A8">
        <w:t>/Ba‘al</w:t>
      </w:r>
      <w:r w:rsidR="00906522" w:rsidRPr="001F52A8">
        <w:rPr>
          <w:rFonts w:cstheme="minorHAnsi"/>
        </w:rPr>
        <w:t>ê</w:t>
      </w:r>
      <w:r w:rsidR="00906522" w:rsidRPr="001F52A8">
        <w:t xml:space="preserve"> </w:t>
      </w:r>
      <w:r w:rsidR="001E066D" w:rsidRPr="001F52A8">
        <w:t>y</w:t>
      </w:r>
      <w:r w:rsidR="001E066D" w:rsidRPr="001F52A8">
        <w:rPr>
          <w:rFonts w:cstheme="minorHAnsi"/>
        </w:rPr>
        <w:t>əhûdâ</w:t>
      </w:r>
      <w:r w:rsidR="00846B0B" w:rsidRPr="001F52A8">
        <w:t>; the</w:t>
      </w:r>
      <w:r w:rsidR="00F21C5A" w:rsidRPr="001F52A8">
        <w:t xml:space="preserve"> people</w:t>
      </w:r>
      <w:r w:rsidR="00846B0B" w:rsidRPr="001F52A8">
        <w:t xml:space="preserve"> had been able to gather “in the presence of Yahweh” in </w:t>
      </w:r>
      <w:r w:rsidR="002401D1" w:rsidRPr="001F52A8">
        <w:t xml:space="preserve">sanctuaries other than Shiloh (e.g., </w:t>
      </w:r>
      <w:r w:rsidR="00F01313" w:rsidRPr="001F52A8">
        <w:t xml:space="preserve">1 Sam 7:5-6; </w:t>
      </w:r>
      <w:r w:rsidR="00B14DB0" w:rsidRPr="001F52A8">
        <w:t>10:17-</w:t>
      </w:r>
      <w:r w:rsidR="00C25A0C" w:rsidRPr="001F52A8">
        <w:t>25</w:t>
      </w:r>
      <w:r w:rsidR="00E04B92" w:rsidRPr="001F52A8">
        <w:t>; 11:14-15</w:t>
      </w:r>
      <w:r w:rsidR="003D4800" w:rsidRPr="001F52A8">
        <w:t>; 12:7</w:t>
      </w:r>
      <w:r w:rsidR="00C1365F" w:rsidRPr="001F52A8">
        <w:t>)</w:t>
      </w:r>
      <w:r w:rsidR="00C23E07" w:rsidRPr="001F52A8">
        <w:t xml:space="preserve">. </w:t>
      </w:r>
      <w:r w:rsidR="008941E6">
        <w:t>M</w:t>
      </w:r>
      <w:r w:rsidR="00C23E07" w:rsidRPr="001F52A8">
        <w:t xml:space="preserve">aybe the </w:t>
      </w:r>
      <w:r w:rsidR="00E87046" w:rsidRPr="001F52A8">
        <w:t>dominance of the Philistines</w:t>
      </w:r>
      <w:r w:rsidR="00F21C5A" w:rsidRPr="001F52A8">
        <w:t>,</w:t>
      </w:r>
      <w:r w:rsidR="00F21C5A" w:rsidRPr="001F52A8">
        <w:rPr>
          <w:lang w:bidi="he-IL"/>
        </w:rPr>
        <w:t xml:space="preserve"> control</w:t>
      </w:r>
      <w:r w:rsidR="008941E6">
        <w:rPr>
          <w:lang w:bidi="he-IL"/>
        </w:rPr>
        <w:t>ling</w:t>
      </w:r>
      <w:r w:rsidR="00F21C5A" w:rsidRPr="001F52A8">
        <w:rPr>
          <w:lang w:bidi="he-IL"/>
        </w:rPr>
        <w:t xml:space="preserve"> the Geba/Gibeon area (</w:t>
      </w:r>
      <w:r w:rsidR="008941E6">
        <w:rPr>
          <w:lang w:bidi="he-IL"/>
        </w:rPr>
        <w:t xml:space="preserve">2 Sam </w:t>
      </w:r>
      <w:r w:rsidR="00F21C5A" w:rsidRPr="001F52A8">
        <w:rPr>
          <w:lang w:bidi="he-IL"/>
        </w:rPr>
        <w:t xml:space="preserve">5:22-25), </w:t>
      </w:r>
      <w:r w:rsidR="007E5E4D" w:rsidRPr="001F52A8">
        <w:t xml:space="preserve">would have </w:t>
      </w:r>
      <w:r w:rsidR="00E87046" w:rsidRPr="001F52A8">
        <w:t xml:space="preserve">made </w:t>
      </w:r>
      <w:r w:rsidR="007E5E4D" w:rsidRPr="001F52A8">
        <w:t xml:space="preserve">retrieving </w:t>
      </w:r>
      <w:r w:rsidR="00E87046" w:rsidRPr="001F52A8">
        <w:t xml:space="preserve">it </w:t>
      </w:r>
      <w:r w:rsidR="004C4E07">
        <w:t>problematic</w:t>
      </w:r>
      <w:r w:rsidR="00CC7599" w:rsidRPr="001F52A8">
        <w:t xml:space="preserve"> (</w:t>
      </w:r>
      <w:r w:rsidR="007A43CC" w:rsidRPr="001F52A8">
        <w:t>6:11 n</w:t>
      </w:r>
      <w:r w:rsidR="000C3FFF" w:rsidRPr="001F52A8">
        <w:t>o</w:t>
      </w:r>
      <w:r w:rsidR="007A43CC" w:rsidRPr="001F52A8">
        <w:t xml:space="preserve">tes that </w:t>
      </w:r>
      <w:r w:rsidR="007A43CC" w:rsidRPr="001F52A8">
        <w:rPr>
          <w:lang w:bidi="he-IL"/>
        </w:rPr>
        <w:t>Obed-edom from Gat</w:t>
      </w:r>
      <w:r w:rsidR="004C4E07">
        <w:rPr>
          <w:lang w:bidi="he-IL"/>
        </w:rPr>
        <w:t>, who</w:t>
      </w:r>
      <w:r w:rsidR="00F21C5A" w:rsidRPr="001F52A8">
        <w:rPr>
          <w:lang w:bidi="he-IL"/>
        </w:rPr>
        <w:t xml:space="preserve"> is presumably therefore </w:t>
      </w:r>
      <w:r w:rsidR="004C4E07">
        <w:rPr>
          <w:lang w:bidi="he-IL"/>
        </w:rPr>
        <w:t xml:space="preserve">a </w:t>
      </w:r>
      <w:r w:rsidR="00F21C5A" w:rsidRPr="001F52A8">
        <w:rPr>
          <w:lang w:bidi="he-IL"/>
        </w:rPr>
        <w:t>Philistine</w:t>
      </w:r>
      <w:r w:rsidR="004C4E07">
        <w:rPr>
          <w:lang w:bidi="he-IL"/>
        </w:rPr>
        <w:t>,</w:t>
      </w:r>
      <w:r w:rsidR="00F21C5A" w:rsidRPr="001F52A8">
        <w:rPr>
          <w:lang w:bidi="he-IL"/>
        </w:rPr>
        <w:t xml:space="preserve"> </w:t>
      </w:r>
      <w:r w:rsidR="007A43CC" w:rsidRPr="001F52A8">
        <w:rPr>
          <w:lang w:bidi="he-IL"/>
        </w:rPr>
        <w:t>is still the</w:t>
      </w:r>
      <w:r w:rsidR="000C3FFF" w:rsidRPr="001F52A8">
        <w:rPr>
          <w:lang w:bidi="he-IL"/>
        </w:rPr>
        <w:t>re)</w:t>
      </w:r>
      <w:r w:rsidR="007E5E4D" w:rsidRPr="001F52A8">
        <w:t>.</w:t>
      </w:r>
      <w:r w:rsidR="007E5E4D" w:rsidRPr="001F52A8">
        <w:rPr>
          <w:lang w:bidi="he-IL"/>
        </w:rPr>
        <w:t xml:space="preserve"> </w:t>
      </w:r>
      <w:r w:rsidR="00DB6089" w:rsidRPr="001F52A8">
        <w:rPr>
          <w:lang w:bidi="he-IL"/>
        </w:rPr>
        <w:t xml:space="preserve">The vivid poetic </w:t>
      </w:r>
      <w:r w:rsidR="00DB6089" w:rsidRPr="001F52A8">
        <w:rPr>
          <w:lang w:bidi="he-IL"/>
        </w:rPr>
        <w:lastRenderedPageBreak/>
        <w:t xml:space="preserve">account of </w:t>
      </w:r>
      <w:r w:rsidR="00F21C5A" w:rsidRPr="001F52A8">
        <w:rPr>
          <w:lang w:bidi="he-IL"/>
        </w:rPr>
        <w:t>the chest’s</w:t>
      </w:r>
      <w:r w:rsidR="00DB6089" w:rsidRPr="001F52A8">
        <w:rPr>
          <w:lang w:bidi="he-IL"/>
        </w:rPr>
        <w:t xml:space="preserve"> retrieval in Psalm 132 </w:t>
      </w:r>
      <w:r w:rsidR="009E5B4E" w:rsidRPr="001F52A8">
        <w:rPr>
          <w:lang w:bidi="he-IL"/>
        </w:rPr>
        <w:t>almost suggests that no one could remember where it was</w:t>
      </w:r>
      <w:r w:rsidR="00F21C5A" w:rsidRPr="001F52A8">
        <w:rPr>
          <w:lang w:bidi="he-IL"/>
        </w:rPr>
        <w:t>.</w:t>
      </w:r>
      <w:r w:rsidR="0095027D" w:rsidRPr="001F52A8">
        <w:rPr>
          <w:lang w:bidi="he-IL"/>
        </w:rPr>
        <w:t xml:space="preserve"> </w:t>
      </w:r>
      <w:r w:rsidR="00F21C5A" w:rsidRPr="001F52A8">
        <w:rPr>
          <w:lang w:bidi="he-IL"/>
        </w:rPr>
        <w:t>T</w:t>
      </w:r>
      <w:r w:rsidR="0095027D" w:rsidRPr="001F52A8">
        <w:rPr>
          <w:lang w:bidi="he-IL"/>
        </w:rPr>
        <w:t>he psalm</w:t>
      </w:r>
      <w:r w:rsidR="00F21C5A" w:rsidRPr="001F52A8">
        <w:rPr>
          <w:lang w:bidi="he-IL"/>
        </w:rPr>
        <w:t xml:space="preserve"> may</w:t>
      </w:r>
      <w:r w:rsidR="0095027D" w:rsidRPr="001F52A8">
        <w:rPr>
          <w:lang w:bidi="he-IL"/>
        </w:rPr>
        <w:t xml:space="preserve"> </w:t>
      </w:r>
      <w:r w:rsidR="004B58E8" w:rsidRPr="001F52A8">
        <w:rPr>
          <w:lang w:bidi="he-IL"/>
        </w:rPr>
        <w:t>link with an annual celebration of</w:t>
      </w:r>
      <w:r w:rsidR="008941E6">
        <w:rPr>
          <w:lang w:bidi="he-IL"/>
        </w:rPr>
        <w:t xml:space="preserve"> the</w:t>
      </w:r>
      <w:r w:rsidR="00F21C5A" w:rsidRPr="001F52A8">
        <w:rPr>
          <w:lang w:bidi="he-IL"/>
        </w:rPr>
        <w:t xml:space="preserve"> retrieval</w:t>
      </w:r>
      <w:r w:rsidR="004B58E8" w:rsidRPr="001F52A8">
        <w:rPr>
          <w:lang w:bidi="he-IL"/>
        </w:rPr>
        <w:t xml:space="preserve">, and the story </w:t>
      </w:r>
      <w:r w:rsidR="00F21C5A" w:rsidRPr="001F52A8">
        <w:rPr>
          <w:lang w:bidi="he-IL"/>
        </w:rPr>
        <w:t xml:space="preserve">in 2 Samuel 6 </w:t>
      </w:r>
      <w:r w:rsidR="007E1388" w:rsidRPr="001F52A8">
        <w:rPr>
          <w:lang w:bidi="he-IL"/>
        </w:rPr>
        <w:t xml:space="preserve">might </w:t>
      </w:r>
      <w:r w:rsidR="004B58E8" w:rsidRPr="001F52A8">
        <w:rPr>
          <w:lang w:bidi="he-IL"/>
        </w:rPr>
        <w:t>link with it, too</w:t>
      </w:r>
      <w:r w:rsidR="009E5B4E" w:rsidRPr="001F52A8">
        <w:rPr>
          <w:lang w:bidi="he-IL"/>
        </w:rPr>
        <w:t>.</w:t>
      </w:r>
      <w:r w:rsidR="007E5E4D" w:rsidRPr="001F52A8">
        <w:rPr>
          <w:lang w:bidi="he-IL"/>
        </w:rPr>
        <w:t xml:space="preserve"> </w:t>
      </w:r>
      <w:r w:rsidR="00F21C5A" w:rsidRPr="001F52A8">
        <w:rPr>
          <w:lang w:bidi="he-IL"/>
        </w:rPr>
        <w:t>V</w:t>
      </w:r>
      <w:r w:rsidR="00544C62" w:rsidRPr="001F52A8">
        <w:rPr>
          <w:lang w:bidi="he-IL"/>
        </w:rPr>
        <w:t>ictor</w:t>
      </w:r>
      <w:r w:rsidR="00F151EF" w:rsidRPr="001F52A8">
        <w:rPr>
          <w:lang w:bidi="he-IL"/>
        </w:rPr>
        <w:t>y</w:t>
      </w:r>
      <w:r w:rsidR="00544C62" w:rsidRPr="001F52A8">
        <w:rPr>
          <w:lang w:bidi="he-IL"/>
        </w:rPr>
        <w:t xml:space="preserve"> over the Philistines</w:t>
      </w:r>
      <w:r w:rsidR="00F151EF" w:rsidRPr="001F52A8">
        <w:rPr>
          <w:lang w:bidi="he-IL"/>
        </w:rPr>
        <w:t xml:space="preserve"> </w:t>
      </w:r>
      <w:r w:rsidR="00FB513C" w:rsidRPr="001F52A8">
        <w:rPr>
          <w:lang w:bidi="he-IL"/>
        </w:rPr>
        <w:t>perhaps</w:t>
      </w:r>
      <w:r w:rsidR="00361A4F" w:rsidRPr="001F52A8">
        <w:rPr>
          <w:lang w:bidi="he-IL"/>
        </w:rPr>
        <w:t xml:space="preserve"> </w:t>
      </w:r>
      <w:r w:rsidR="00C32058" w:rsidRPr="001F52A8">
        <w:rPr>
          <w:lang w:bidi="he-IL"/>
        </w:rPr>
        <w:t xml:space="preserve">now </w:t>
      </w:r>
      <w:r w:rsidR="00361A4F" w:rsidRPr="001F52A8">
        <w:rPr>
          <w:lang w:bidi="he-IL"/>
        </w:rPr>
        <w:t>open</w:t>
      </w:r>
      <w:r w:rsidR="008941E6">
        <w:rPr>
          <w:lang w:bidi="he-IL"/>
        </w:rPr>
        <w:t>s</w:t>
      </w:r>
      <w:r w:rsidR="00361A4F" w:rsidRPr="001F52A8">
        <w:rPr>
          <w:lang w:bidi="he-IL"/>
        </w:rPr>
        <w:t xml:space="preserve"> up the possibility of </w:t>
      </w:r>
      <w:r w:rsidR="00FB513C" w:rsidRPr="001F52A8">
        <w:rPr>
          <w:lang w:bidi="he-IL"/>
        </w:rPr>
        <w:t>retriev</w:t>
      </w:r>
      <w:r w:rsidR="008941E6">
        <w:rPr>
          <w:lang w:bidi="he-IL"/>
        </w:rPr>
        <w:t>al,</w:t>
      </w:r>
      <w:r w:rsidR="00361A4F" w:rsidRPr="001F52A8">
        <w:rPr>
          <w:rStyle w:val="FootnoteReference"/>
          <w:lang w:bidi="he-IL"/>
        </w:rPr>
        <w:footnoteReference w:id="355"/>
      </w:r>
      <w:r w:rsidR="00D32E91" w:rsidRPr="001F52A8">
        <w:rPr>
          <w:lang w:bidi="he-IL"/>
        </w:rPr>
        <w:t xml:space="preserve"> </w:t>
      </w:r>
      <w:r w:rsidR="008941E6">
        <w:rPr>
          <w:lang w:bidi="he-IL"/>
        </w:rPr>
        <w:t>a</w:t>
      </w:r>
      <w:r w:rsidR="00EE6DEA" w:rsidRPr="001F52A8">
        <w:rPr>
          <w:lang w:bidi="he-IL"/>
        </w:rPr>
        <w:t xml:space="preserve">nd the new context </w:t>
      </w:r>
      <w:r w:rsidR="00F21C5A" w:rsidRPr="001F52A8">
        <w:rPr>
          <w:lang w:bidi="he-IL"/>
        </w:rPr>
        <w:t xml:space="preserve">of David’s settling in Jerusalem </w:t>
      </w:r>
      <w:r w:rsidR="00EE6DEA" w:rsidRPr="001F52A8">
        <w:rPr>
          <w:lang w:bidi="he-IL"/>
        </w:rPr>
        <w:t xml:space="preserve">makes it desirable. </w:t>
      </w:r>
      <w:r w:rsidR="00D32E91" w:rsidRPr="001F52A8">
        <w:rPr>
          <w:lang w:bidi="he-IL"/>
        </w:rPr>
        <w:t xml:space="preserve">Recovering </w:t>
      </w:r>
      <w:r w:rsidR="008941E6">
        <w:rPr>
          <w:lang w:bidi="he-IL"/>
        </w:rPr>
        <w:t>it</w:t>
      </w:r>
      <w:r w:rsidR="00D32E91" w:rsidRPr="001F52A8">
        <w:rPr>
          <w:lang w:bidi="he-IL"/>
        </w:rPr>
        <w:t xml:space="preserve"> </w:t>
      </w:r>
      <w:r w:rsidR="008941E6">
        <w:rPr>
          <w:lang w:bidi="he-IL"/>
        </w:rPr>
        <w:t xml:space="preserve">will </w:t>
      </w:r>
      <w:r w:rsidR="00D32E91" w:rsidRPr="001F52A8">
        <w:rPr>
          <w:lang w:bidi="he-IL"/>
        </w:rPr>
        <w:t xml:space="preserve">establish a link between exodus, Sinai, Jerusalem, and (in due course) temple. It </w:t>
      </w:r>
      <w:r w:rsidR="008941E6">
        <w:rPr>
          <w:lang w:bidi="he-IL"/>
        </w:rPr>
        <w:t>will be</w:t>
      </w:r>
      <w:r w:rsidR="00D32E91" w:rsidRPr="001F52A8">
        <w:rPr>
          <w:lang w:bidi="he-IL"/>
        </w:rPr>
        <w:t xml:space="preserve"> a political act, a religious act, and a theological act. Whereas the city is something new, the covenant chest </w:t>
      </w:r>
      <w:r w:rsidR="008941E6">
        <w:rPr>
          <w:lang w:bidi="he-IL"/>
        </w:rPr>
        <w:t xml:space="preserve">will </w:t>
      </w:r>
      <w:r w:rsidR="004C4E07">
        <w:rPr>
          <w:lang w:bidi="he-IL"/>
        </w:rPr>
        <w:t>give it</w:t>
      </w:r>
      <w:r w:rsidR="00D32E91" w:rsidRPr="001F52A8">
        <w:rPr>
          <w:lang w:bidi="he-IL"/>
        </w:rPr>
        <w:t xml:space="preserve"> a link with the old.</w:t>
      </w:r>
      <w:r w:rsidR="00934D34" w:rsidRPr="001F52A8">
        <w:rPr>
          <w:lang w:bidi="he-IL"/>
        </w:rPr>
        <w:t xml:space="preserve"> </w:t>
      </w:r>
      <w:r w:rsidR="00884B5E" w:rsidRPr="001F52A8">
        <w:rPr>
          <w:lang w:bidi="he-IL"/>
        </w:rPr>
        <w:t xml:space="preserve">Jerusalem </w:t>
      </w:r>
      <w:r w:rsidR="008941E6">
        <w:rPr>
          <w:lang w:bidi="he-IL"/>
        </w:rPr>
        <w:t>will succeed</w:t>
      </w:r>
      <w:r w:rsidR="004877D8" w:rsidRPr="001F52A8">
        <w:rPr>
          <w:lang w:bidi="he-IL"/>
        </w:rPr>
        <w:t xml:space="preserve"> Shiloh</w:t>
      </w:r>
      <w:r w:rsidR="008941E6">
        <w:rPr>
          <w:lang w:bidi="he-IL"/>
        </w:rPr>
        <w:t>, though it</w:t>
      </w:r>
      <w:r w:rsidR="004877D8" w:rsidRPr="001F52A8">
        <w:rPr>
          <w:lang w:bidi="he-IL"/>
        </w:rPr>
        <w:t xml:space="preserve"> will </w:t>
      </w:r>
      <w:r w:rsidR="00896E56" w:rsidRPr="001F52A8">
        <w:rPr>
          <w:lang w:bidi="he-IL"/>
        </w:rPr>
        <w:t>not become the only legitimate sanctuary</w:t>
      </w:r>
      <w:r w:rsidR="00753716" w:rsidRPr="001F52A8">
        <w:rPr>
          <w:lang w:bidi="he-IL"/>
        </w:rPr>
        <w:t xml:space="preserve">; </w:t>
      </w:r>
      <w:r w:rsidR="00896E56" w:rsidRPr="001F52A8">
        <w:rPr>
          <w:lang w:bidi="he-IL"/>
        </w:rPr>
        <w:t xml:space="preserve">Solomon will go to </w:t>
      </w:r>
      <w:r w:rsidR="00753716" w:rsidRPr="001F52A8">
        <w:rPr>
          <w:lang w:bidi="he-IL"/>
        </w:rPr>
        <w:t xml:space="preserve">Gibeon, described as </w:t>
      </w:r>
      <w:r w:rsidR="007F0153" w:rsidRPr="001F52A8">
        <w:rPr>
          <w:lang w:bidi="he-IL"/>
        </w:rPr>
        <w:t xml:space="preserve">“the biggest shrine” </w:t>
      </w:r>
      <w:r w:rsidR="00DA45E7" w:rsidRPr="001F52A8">
        <w:rPr>
          <w:lang w:bidi="he-IL"/>
        </w:rPr>
        <w:t>(1 Kgs 3:</w:t>
      </w:r>
      <w:r w:rsidR="006E11BA" w:rsidRPr="001F52A8">
        <w:rPr>
          <w:lang w:bidi="he-IL"/>
        </w:rPr>
        <w:t>4</w:t>
      </w:r>
      <w:r w:rsidR="00DA45E7" w:rsidRPr="001F52A8">
        <w:rPr>
          <w:lang w:bidi="he-IL"/>
        </w:rPr>
        <w:t>)</w:t>
      </w:r>
      <w:r w:rsidR="00884B5E" w:rsidRPr="001F52A8">
        <w:rPr>
          <w:lang w:bidi="he-IL"/>
        </w:rPr>
        <w:t xml:space="preserve">. </w:t>
      </w:r>
    </w:p>
    <w:p w14:paraId="5494F315" w14:textId="21E7C73E" w:rsidR="00F059D1" w:rsidRPr="001F52A8" w:rsidRDefault="00884B5E" w:rsidP="000C3FFF">
      <w:pPr>
        <w:rPr>
          <w:i/>
          <w:iCs/>
          <w:lang w:bidi="he-IL"/>
        </w:rPr>
      </w:pPr>
      <w:r w:rsidRPr="001F52A8">
        <w:rPr>
          <w:lang w:bidi="he-IL"/>
        </w:rPr>
        <w:t>David has a tent ready</w:t>
      </w:r>
      <w:r w:rsidR="004877D8" w:rsidRPr="001F52A8">
        <w:rPr>
          <w:lang w:bidi="he-IL"/>
        </w:rPr>
        <w:t xml:space="preserve"> for </w:t>
      </w:r>
      <w:r w:rsidR="00F21C5A" w:rsidRPr="001F52A8">
        <w:rPr>
          <w:lang w:bidi="he-IL"/>
        </w:rPr>
        <w:t>the chest</w:t>
      </w:r>
      <w:r w:rsidR="004877D8" w:rsidRPr="001F52A8">
        <w:rPr>
          <w:lang w:bidi="he-IL"/>
        </w:rPr>
        <w:t xml:space="preserve"> (2 Sam 6:</w:t>
      </w:r>
      <w:r w:rsidR="009D27C9" w:rsidRPr="001F52A8">
        <w:rPr>
          <w:lang w:bidi="he-IL"/>
        </w:rPr>
        <w:t>17</w:t>
      </w:r>
      <w:r w:rsidR="00022478" w:rsidRPr="001F52A8">
        <w:rPr>
          <w:lang w:bidi="he-IL"/>
        </w:rPr>
        <w:t>)</w:t>
      </w:r>
      <w:r w:rsidR="00161F4B" w:rsidRPr="001F52A8">
        <w:rPr>
          <w:lang w:bidi="he-IL"/>
        </w:rPr>
        <w:t xml:space="preserve">: it’s the first </w:t>
      </w:r>
      <w:r w:rsidR="00F21C5A" w:rsidRPr="001F52A8">
        <w:rPr>
          <w:lang w:bidi="he-IL"/>
        </w:rPr>
        <w:t>allusion</w:t>
      </w:r>
      <w:r w:rsidR="00161F4B" w:rsidRPr="001F52A8">
        <w:rPr>
          <w:lang w:bidi="he-IL"/>
        </w:rPr>
        <w:t xml:space="preserve"> to a sanctuary tent since </w:t>
      </w:r>
      <w:r w:rsidR="00D35BFB" w:rsidRPr="001F52A8">
        <w:rPr>
          <w:lang w:bidi="he-IL"/>
        </w:rPr>
        <w:t>reference to Shiloh (</w:t>
      </w:r>
      <w:r w:rsidR="00161F4B" w:rsidRPr="001F52A8">
        <w:rPr>
          <w:lang w:bidi="he-IL"/>
        </w:rPr>
        <w:t>1 Sam 2:22</w:t>
      </w:r>
      <w:r w:rsidR="009D27C9" w:rsidRPr="001F52A8">
        <w:rPr>
          <w:lang w:bidi="he-IL"/>
        </w:rPr>
        <w:t>)</w:t>
      </w:r>
      <w:r w:rsidR="00D717C6" w:rsidRPr="001F52A8">
        <w:rPr>
          <w:lang w:bidi="he-IL"/>
        </w:rPr>
        <w:t>.</w:t>
      </w:r>
      <w:r w:rsidR="001C5352" w:rsidRPr="001F52A8">
        <w:rPr>
          <w:lang w:bidi="he-IL"/>
        </w:rPr>
        <w:t xml:space="preserve"> </w:t>
      </w:r>
      <w:r w:rsidR="008941E6" w:rsidRPr="001F52A8">
        <w:rPr>
          <w:lang w:bidi="he-IL"/>
        </w:rPr>
        <w:t xml:space="preserve">It’s not clear whether </w:t>
      </w:r>
      <w:r w:rsidR="008941E6">
        <w:rPr>
          <w:lang w:bidi="he-IL"/>
        </w:rPr>
        <w:t xml:space="preserve">it </w:t>
      </w:r>
      <w:r w:rsidR="008941E6" w:rsidRPr="001F52A8">
        <w:rPr>
          <w:lang w:bidi="he-IL"/>
        </w:rPr>
        <w:t xml:space="preserve">counts as “the meeting tent” (see 1 Kgs 1:39; 2:28-30; 8:4; 2 Chr 1:3-6, 13; 5:5). </w:t>
      </w:r>
      <w:r w:rsidR="00903AE9" w:rsidRPr="001F52A8">
        <w:rPr>
          <w:lang w:bidi="he-IL"/>
        </w:rPr>
        <w:t xml:space="preserve">The title “Yahweh [of] Armies” (2 Sam 6:2) also makes the </w:t>
      </w:r>
      <w:r w:rsidR="008941E6">
        <w:rPr>
          <w:lang w:bidi="he-IL"/>
        </w:rPr>
        <w:t>connection</w:t>
      </w:r>
      <w:r w:rsidR="00903AE9" w:rsidRPr="001F52A8">
        <w:rPr>
          <w:lang w:bidi="he-IL"/>
        </w:rPr>
        <w:t xml:space="preserve"> with the covenant chest and Shiloh (1 Sam 1:3, 11; 4:4). </w:t>
      </w:r>
      <w:r w:rsidR="00631830" w:rsidRPr="001F52A8">
        <w:rPr>
          <w:lang w:bidi="he-IL"/>
        </w:rPr>
        <w:t>David</w:t>
      </w:r>
      <w:r w:rsidR="00205A5E" w:rsidRPr="001F52A8">
        <w:rPr>
          <w:lang w:bidi="he-IL"/>
        </w:rPr>
        <w:t>’s</w:t>
      </w:r>
      <w:r w:rsidR="00631830" w:rsidRPr="001F52A8">
        <w:rPr>
          <w:lang w:bidi="he-IL"/>
        </w:rPr>
        <w:t xml:space="preserve"> lead</w:t>
      </w:r>
      <w:r w:rsidR="00205A5E" w:rsidRPr="001F52A8">
        <w:rPr>
          <w:lang w:bidi="he-IL"/>
        </w:rPr>
        <w:t>ing</w:t>
      </w:r>
      <w:r w:rsidR="00631830" w:rsidRPr="001F52A8">
        <w:rPr>
          <w:lang w:bidi="he-IL"/>
        </w:rPr>
        <w:t xml:space="preserve"> the procession dressed in a linen chasuble</w:t>
      </w:r>
      <w:r w:rsidR="0044273A" w:rsidRPr="001F52A8">
        <w:rPr>
          <w:lang w:bidi="he-IL"/>
        </w:rPr>
        <w:t xml:space="preserve"> makes another link with Shiloh; it is what Samuel wore there (1 Sam </w:t>
      </w:r>
      <w:r w:rsidR="00F15394" w:rsidRPr="001F52A8">
        <w:rPr>
          <w:lang w:bidi="he-IL"/>
        </w:rPr>
        <w:t>2:18</w:t>
      </w:r>
      <w:r w:rsidR="002D4E9C" w:rsidRPr="001F52A8">
        <w:rPr>
          <w:lang w:bidi="he-IL"/>
        </w:rPr>
        <w:t xml:space="preserve">; cf. 22:18). </w:t>
      </w:r>
      <w:r w:rsidR="003F06C6" w:rsidRPr="001F52A8">
        <w:rPr>
          <w:lang w:bidi="he-IL"/>
        </w:rPr>
        <w:t>It was common Israelite practice to take over Canaanite sanctuaries</w:t>
      </w:r>
      <w:r w:rsidR="000E7B8C" w:rsidRPr="001F52A8">
        <w:rPr>
          <w:lang w:bidi="he-IL"/>
        </w:rPr>
        <w:t xml:space="preserve"> and </w:t>
      </w:r>
      <w:r w:rsidR="000345DE">
        <w:rPr>
          <w:lang w:bidi="he-IL"/>
        </w:rPr>
        <w:t>transfer</w:t>
      </w:r>
      <w:r w:rsidR="000E7B8C" w:rsidRPr="001F52A8">
        <w:rPr>
          <w:lang w:bidi="he-IL"/>
        </w:rPr>
        <w:t xml:space="preserve"> them to </w:t>
      </w:r>
      <w:r w:rsidR="000345DE">
        <w:rPr>
          <w:lang w:bidi="he-IL"/>
        </w:rPr>
        <w:t>Yahweh’s</w:t>
      </w:r>
      <w:r w:rsidR="000E7B8C" w:rsidRPr="001F52A8">
        <w:rPr>
          <w:lang w:bidi="he-IL"/>
        </w:rPr>
        <w:t xml:space="preserve"> service</w:t>
      </w:r>
      <w:r w:rsidR="00205A5E" w:rsidRPr="001F52A8">
        <w:rPr>
          <w:lang w:bidi="he-IL"/>
        </w:rPr>
        <w:t>; it happened to sanctuaries such as Bethel. S</w:t>
      </w:r>
      <w:r w:rsidR="000E7B8C" w:rsidRPr="001F52A8">
        <w:rPr>
          <w:lang w:bidi="he-IL"/>
        </w:rPr>
        <w:t xml:space="preserve">o it would make sense if the place where </w:t>
      </w:r>
      <w:r w:rsidR="00FD5EE4" w:rsidRPr="001F52A8">
        <w:rPr>
          <w:lang w:bidi="he-IL"/>
        </w:rPr>
        <w:t>David put</w:t>
      </w:r>
      <w:r w:rsidR="00205A5E" w:rsidRPr="001F52A8">
        <w:rPr>
          <w:lang w:bidi="he-IL"/>
        </w:rPr>
        <w:t>s</w:t>
      </w:r>
      <w:r w:rsidR="00FD5EE4" w:rsidRPr="001F52A8">
        <w:rPr>
          <w:lang w:bidi="he-IL"/>
        </w:rPr>
        <w:t xml:space="preserve"> the tent for the chest is the site of the Jebusite sanctuary </w:t>
      </w:r>
      <w:r w:rsidR="008A739D" w:rsidRPr="001F52A8">
        <w:rPr>
          <w:lang w:bidi="he-IL"/>
        </w:rPr>
        <w:t xml:space="preserve">in whose context David would be </w:t>
      </w:r>
      <w:r w:rsidR="003E6032" w:rsidRPr="001F52A8">
        <w:rPr>
          <w:lang w:bidi="he-IL"/>
        </w:rPr>
        <w:t>priest-king “after the manner of Melchizedek” (Ps 110:4)</w:t>
      </w:r>
      <w:r w:rsidR="0057449A" w:rsidRPr="001F52A8">
        <w:rPr>
          <w:lang w:bidi="he-IL"/>
        </w:rPr>
        <w:t>.</w:t>
      </w:r>
      <w:r w:rsidR="00BF6E4A">
        <w:rPr>
          <w:rStyle w:val="FootnoteReference"/>
          <w:lang w:bidi="he-IL"/>
        </w:rPr>
        <w:footnoteReference w:id="356"/>
      </w:r>
    </w:p>
    <w:p w14:paraId="69226F60" w14:textId="4CC1BD76" w:rsidR="003E58B8" w:rsidRPr="001F52A8" w:rsidRDefault="00CC7599" w:rsidP="00395598">
      <w:pPr>
        <w:rPr>
          <w:rFonts w:cstheme="minorHAnsi"/>
          <w:lang w:bidi="he-IL"/>
        </w:rPr>
      </w:pPr>
      <w:r w:rsidRPr="001F52A8">
        <w:rPr>
          <w:rFonts w:ascii="Calibri" w:hAnsi="Calibri" w:cs="Calibri"/>
        </w:rPr>
        <w:t xml:space="preserve">There is some overlap </w:t>
      </w:r>
      <w:r w:rsidR="000C3FFF" w:rsidRPr="001F52A8">
        <w:rPr>
          <w:rFonts w:ascii="Calibri" w:hAnsi="Calibri" w:cs="Calibri"/>
        </w:rPr>
        <w:t xml:space="preserve">between </w:t>
      </w:r>
      <w:r w:rsidR="00195E98" w:rsidRPr="001F52A8">
        <w:rPr>
          <w:rFonts w:ascii="Calibri" w:hAnsi="Calibri" w:cs="Calibri"/>
        </w:rPr>
        <w:t xml:space="preserve">the </w:t>
      </w:r>
      <w:r w:rsidR="005543F9" w:rsidRPr="001F52A8">
        <w:rPr>
          <w:rFonts w:ascii="Calibri" w:hAnsi="Calibri" w:cs="Calibri"/>
        </w:rPr>
        <w:t xml:space="preserve">celebratory liturgical </w:t>
      </w:r>
      <w:r w:rsidR="00195E98" w:rsidRPr="001F52A8">
        <w:rPr>
          <w:rFonts w:ascii="Calibri" w:hAnsi="Calibri" w:cs="Calibri"/>
        </w:rPr>
        <w:t xml:space="preserve">bringing in of the chest and </w:t>
      </w:r>
      <w:r w:rsidRPr="001F52A8">
        <w:rPr>
          <w:rFonts w:ascii="Calibri" w:hAnsi="Calibri" w:cs="Calibri"/>
        </w:rPr>
        <w:t>the ritual for inaugurating temples, palaces, and cities</w:t>
      </w:r>
      <w:r w:rsidR="000345DE">
        <w:rPr>
          <w:rFonts w:ascii="Calibri" w:hAnsi="Calibri" w:cs="Calibri"/>
        </w:rPr>
        <w:t>,</w:t>
      </w:r>
      <w:r w:rsidRPr="001F52A8">
        <w:rPr>
          <w:rFonts w:ascii="Calibri" w:hAnsi="Calibri" w:cs="Calibri"/>
        </w:rPr>
        <w:t xml:space="preserve"> recorded in some Assyrian inscriptions from the time of kings such as Sargon II, Sennacherib, and Esarhaddon.</w:t>
      </w:r>
      <w:r w:rsidRPr="001F52A8">
        <w:rPr>
          <w:rStyle w:val="FootnoteReference"/>
          <w:rFonts w:ascii="Calibri" w:hAnsi="Calibri" w:cs="Calibri"/>
        </w:rPr>
        <w:footnoteReference w:id="357"/>
      </w:r>
      <w:r w:rsidR="00615603" w:rsidRPr="001F52A8">
        <w:rPr>
          <w:rFonts w:ascii="Calibri" w:hAnsi="Calibri" w:cs="Calibri"/>
        </w:rPr>
        <w:t xml:space="preserve"> </w:t>
      </w:r>
      <w:r w:rsidR="000345DE">
        <w:rPr>
          <w:rFonts w:ascii="Calibri" w:hAnsi="Calibri" w:cs="Calibri"/>
        </w:rPr>
        <w:t>T</w:t>
      </w:r>
      <w:r w:rsidR="00615603" w:rsidRPr="001F52A8">
        <w:rPr>
          <w:rFonts w:ascii="Calibri" w:hAnsi="Calibri" w:cs="Calibri"/>
        </w:rPr>
        <w:t>hi</w:t>
      </w:r>
      <w:r w:rsidR="000345DE">
        <w:rPr>
          <w:rFonts w:ascii="Calibri" w:hAnsi="Calibri" w:cs="Calibri"/>
        </w:rPr>
        <w:t>ngs</w:t>
      </w:r>
      <w:r w:rsidR="00615603" w:rsidRPr="001F52A8">
        <w:rPr>
          <w:rFonts w:ascii="Calibri" w:hAnsi="Calibri" w:cs="Calibri"/>
        </w:rPr>
        <w:t xml:space="preserve"> go wrong when </w:t>
      </w:r>
      <w:r w:rsidR="002B25E2" w:rsidRPr="001F52A8">
        <w:rPr>
          <w:rFonts w:ascii="Calibri" w:hAnsi="Calibri" w:cs="Calibri"/>
        </w:rPr>
        <w:t xml:space="preserve">the </w:t>
      </w:r>
      <w:r w:rsidR="005A6F33" w:rsidRPr="001F52A8">
        <w:rPr>
          <w:rFonts w:ascii="Calibri" w:hAnsi="Calibri" w:cs="Calibri"/>
        </w:rPr>
        <w:t xml:space="preserve">chest threatens to fall off its </w:t>
      </w:r>
      <w:r w:rsidR="00B310AB" w:rsidRPr="001F52A8">
        <w:rPr>
          <w:rFonts w:ascii="Calibri" w:hAnsi="Calibri" w:cs="Calibri"/>
        </w:rPr>
        <w:t xml:space="preserve">wagon, Uzzah reaches out to steady it, </w:t>
      </w:r>
      <w:r w:rsidR="002B44B5" w:rsidRPr="001F52A8">
        <w:rPr>
          <w:rFonts w:ascii="Calibri" w:hAnsi="Calibri" w:cs="Calibri"/>
        </w:rPr>
        <w:t xml:space="preserve">and </w:t>
      </w:r>
      <w:r w:rsidR="00B310AB" w:rsidRPr="001F52A8">
        <w:rPr>
          <w:rFonts w:ascii="Calibri" w:hAnsi="Calibri" w:cs="Calibri"/>
        </w:rPr>
        <w:t xml:space="preserve">Yahweh </w:t>
      </w:r>
      <w:r w:rsidR="00205A5E" w:rsidRPr="001F52A8">
        <w:rPr>
          <w:rFonts w:ascii="Calibri" w:hAnsi="Calibri" w:cs="Calibri"/>
        </w:rPr>
        <w:t xml:space="preserve">angrily </w:t>
      </w:r>
      <w:r w:rsidR="002B44B5" w:rsidRPr="001F52A8">
        <w:rPr>
          <w:rFonts w:ascii="Calibri" w:hAnsi="Calibri" w:cs="Calibri"/>
        </w:rPr>
        <w:t xml:space="preserve">strikes him dead. </w:t>
      </w:r>
      <w:r w:rsidR="008A3C4E" w:rsidRPr="001F52A8">
        <w:rPr>
          <w:rFonts w:ascii="Calibri" w:hAnsi="Calibri" w:cs="Calibri"/>
        </w:rPr>
        <w:t xml:space="preserve">The narrative offers no explanation </w:t>
      </w:r>
      <w:r w:rsidR="00753496" w:rsidRPr="001F52A8">
        <w:rPr>
          <w:rFonts w:ascii="Calibri" w:hAnsi="Calibri" w:cs="Calibri"/>
        </w:rPr>
        <w:t>for this event mak</w:t>
      </w:r>
      <w:r w:rsidR="000345DE">
        <w:rPr>
          <w:rFonts w:ascii="Calibri" w:hAnsi="Calibri" w:cs="Calibri"/>
        </w:rPr>
        <w:t>ing</w:t>
      </w:r>
      <w:r w:rsidR="00753496" w:rsidRPr="001F52A8">
        <w:rPr>
          <w:rFonts w:ascii="Calibri" w:hAnsi="Calibri" w:cs="Calibri"/>
        </w:rPr>
        <w:t xml:space="preserve"> Yahweh </w:t>
      </w:r>
      <w:r w:rsidR="00BC6F0D" w:rsidRPr="001F52A8">
        <w:rPr>
          <w:rFonts w:ascii="Calibri" w:hAnsi="Calibri" w:cs="Calibri"/>
        </w:rPr>
        <w:t>ang</w:t>
      </w:r>
      <w:r w:rsidR="00A81B81" w:rsidRPr="001F52A8">
        <w:rPr>
          <w:rFonts w:ascii="Calibri" w:hAnsi="Calibri" w:cs="Calibri"/>
        </w:rPr>
        <w:t>ry</w:t>
      </w:r>
      <w:r w:rsidR="005B15C5" w:rsidRPr="001F52A8">
        <w:rPr>
          <w:rFonts w:ascii="Calibri" w:hAnsi="Calibri" w:cs="Calibri"/>
        </w:rPr>
        <w:t xml:space="preserve">. </w:t>
      </w:r>
      <w:r w:rsidR="00B16A3A" w:rsidRPr="001F52A8">
        <w:rPr>
          <w:rFonts w:ascii="Calibri" w:hAnsi="Calibri" w:cs="Calibri"/>
        </w:rPr>
        <w:t xml:space="preserve">As Qohelet emphasizes, sometimes we don’t know why Yahweh </w:t>
      </w:r>
      <w:r w:rsidR="00964664" w:rsidRPr="001F52A8">
        <w:rPr>
          <w:rFonts w:ascii="Calibri" w:hAnsi="Calibri" w:cs="Calibri"/>
        </w:rPr>
        <w:t xml:space="preserve">brings disaster to people. </w:t>
      </w:r>
      <w:r w:rsidR="005B15C5" w:rsidRPr="001F52A8">
        <w:rPr>
          <w:rFonts w:ascii="Calibri" w:hAnsi="Calibri" w:cs="Calibri"/>
        </w:rPr>
        <w:t xml:space="preserve">The event does recall the </w:t>
      </w:r>
      <w:r w:rsidR="00BF5613" w:rsidRPr="001F52A8">
        <w:rPr>
          <w:rFonts w:ascii="Calibri" w:hAnsi="Calibri" w:cs="Calibri"/>
        </w:rPr>
        <w:t>calamity the chest brought at Bet-shemesh</w:t>
      </w:r>
      <w:r w:rsidR="00205A5E" w:rsidRPr="001F52A8">
        <w:rPr>
          <w:rFonts w:ascii="Calibri" w:hAnsi="Calibri" w:cs="Calibri"/>
        </w:rPr>
        <w:t>,</w:t>
      </w:r>
      <w:r w:rsidR="00BF5613" w:rsidRPr="001F52A8">
        <w:rPr>
          <w:rFonts w:ascii="Calibri" w:hAnsi="Calibri" w:cs="Calibri"/>
        </w:rPr>
        <w:t xml:space="preserve"> </w:t>
      </w:r>
      <w:r w:rsidR="00292AB4" w:rsidRPr="001F52A8">
        <w:rPr>
          <w:rFonts w:ascii="Calibri" w:hAnsi="Calibri" w:cs="Calibri"/>
        </w:rPr>
        <w:t>as well as among the Philistines</w:t>
      </w:r>
      <w:r w:rsidR="004C4E07">
        <w:rPr>
          <w:rFonts w:ascii="Calibri" w:hAnsi="Calibri" w:cs="Calibri"/>
        </w:rPr>
        <w:t>.</w:t>
      </w:r>
      <w:r w:rsidR="008C61CD" w:rsidRPr="001F52A8">
        <w:rPr>
          <w:lang w:bidi="he-IL"/>
        </w:rPr>
        <w:t xml:space="preserve"> </w:t>
      </w:r>
      <w:r w:rsidR="008C61CD" w:rsidRPr="001F52A8">
        <w:rPr>
          <w:rFonts w:ascii="Calibri" w:hAnsi="Calibri" w:cs="Calibri"/>
        </w:rPr>
        <w:t>It</w:t>
      </w:r>
      <w:r w:rsidR="00292AB4" w:rsidRPr="001F52A8">
        <w:rPr>
          <w:rFonts w:ascii="Calibri" w:hAnsi="Calibri" w:cs="Calibri"/>
        </w:rPr>
        <w:t xml:space="preserve"> </w:t>
      </w:r>
      <w:r w:rsidR="00205A5E" w:rsidRPr="001F52A8">
        <w:rPr>
          <w:rFonts w:ascii="Calibri" w:hAnsi="Calibri" w:cs="Calibri"/>
        </w:rPr>
        <w:t>implie</w:t>
      </w:r>
      <w:r w:rsidR="006A631B" w:rsidRPr="001F52A8">
        <w:rPr>
          <w:rFonts w:ascii="Calibri" w:hAnsi="Calibri" w:cs="Calibri"/>
        </w:rPr>
        <w:t>s</w:t>
      </w:r>
      <w:r w:rsidR="00292AB4" w:rsidRPr="001F52A8">
        <w:rPr>
          <w:rFonts w:ascii="Calibri" w:hAnsi="Calibri" w:cs="Calibri"/>
        </w:rPr>
        <w:t xml:space="preserve"> a warning about the </w:t>
      </w:r>
      <w:r w:rsidR="00205A5E" w:rsidRPr="001F52A8">
        <w:rPr>
          <w:rFonts w:ascii="Calibri" w:hAnsi="Calibri" w:cs="Calibri"/>
        </w:rPr>
        <w:t xml:space="preserve">chest’s </w:t>
      </w:r>
      <w:r w:rsidR="00292AB4" w:rsidRPr="001F52A8">
        <w:rPr>
          <w:rFonts w:ascii="Calibri" w:hAnsi="Calibri" w:cs="Calibri"/>
        </w:rPr>
        <w:t>dangerous nature</w:t>
      </w:r>
      <w:r w:rsidR="008C61CD" w:rsidRPr="001F52A8">
        <w:rPr>
          <w:rFonts w:ascii="Calibri" w:hAnsi="Calibri" w:cs="Calibri"/>
        </w:rPr>
        <w:t>; o</w:t>
      </w:r>
      <w:r w:rsidR="00FD12F4" w:rsidRPr="001F52A8">
        <w:rPr>
          <w:lang w:bidi="he-IL"/>
        </w:rPr>
        <w:t xml:space="preserve">ne might take </w:t>
      </w:r>
      <w:r w:rsidR="008400B6" w:rsidRPr="001F52A8">
        <w:rPr>
          <w:lang w:bidi="he-IL"/>
        </w:rPr>
        <w:t xml:space="preserve">Exod 19:21-24 </w:t>
      </w:r>
      <w:r w:rsidR="00FD12F4" w:rsidRPr="001F52A8">
        <w:rPr>
          <w:lang w:bidi="he-IL"/>
        </w:rPr>
        <w:t>a</w:t>
      </w:r>
      <w:r w:rsidR="008400B6" w:rsidRPr="001F52A8">
        <w:rPr>
          <w:lang w:bidi="he-IL"/>
        </w:rPr>
        <w:t xml:space="preserve">s an anticipatory commentary </w:t>
      </w:r>
      <w:r w:rsidR="008C61CD" w:rsidRPr="001F52A8">
        <w:rPr>
          <w:lang w:bidi="he-IL"/>
        </w:rPr>
        <w:t>on the event</w:t>
      </w:r>
      <w:r w:rsidR="000345DE">
        <w:rPr>
          <w:lang w:bidi="he-IL"/>
        </w:rPr>
        <w:t>. It</w:t>
      </w:r>
      <w:r w:rsidR="008C61CD" w:rsidRPr="001F52A8">
        <w:rPr>
          <w:lang w:bidi="he-IL"/>
        </w:rPr>
        <w:t xml:space="preserve"> reminds people </w:t>
      </w:r>
      <w:r w:rsidR="006F29BD" w:rsidRPr="001F52A8">
        <w:rPr>
          <w:lang w:bidi="he-IL"/>
        </w:rPr>
        <w:t xml:space="preserve">how (as the New Testament puts it) </w:t>
      </w:r>
      <w:r w:rsidR="00B95461" w:rsidRPr="001F52A8">
        <w:rPr>
          <w:lang w:bidi="he-IL"/>
        </w:rPr>
        <w:t>falling</w:t>
      </w:r>
      <w:r w:rsidR="00FD12F4" w:rsidRPr="001F52A8">
        <w:rPr>
          <w:rFonts w:ascii="Calibri" w:hAnsi="Calibri" w:cs="Calibri"/>
        </w:rPr>
        <w:t xml:space="preserve"> into the living God’s hands </w:t>
      </w:r>
      <w:r w:rsidR="000345DE">
        <w:rPr>
          <w:rFonts w:ascii="Calibri" w:hAnsi="Calibri" w:cs="Calibri"/>
        </w:rPr>
        <w:t>is</w:t>
      </w:r>
      <w:r w:rsidR="00FD12F4" w:rsidRPr="001F52A8">
        <w:rPr>
          <w:rFonts w:ascii="Calibri" w:hAnsi="Calibri" w:cs="Calibri"/>
        </w:rPr>
        <w:t xml:space="preserve"> dangerous (</w:t>
      </w:r>
      <w:r w:rsidR="00FD12F4" w:rsidRPr="001F52A8">
        <w:rPr>
          <w:lang w:bidi="he-IL"/>
        </w:rPr>
        <w:t>Heb 10:31)</w:t>
      </w:r>
      <w:r w:rsidR="006F29BD" w:rsidRPr="001F52A8">
        <w:rPr>
          <w:lang w:bidi="he-IL"/>
        </w:rPr>
        <w:t xml:space="preserve">. </w:t>
      </w:r>
      <w:r w:rsidR="006A631B" w:rsidRPr="001F52A8">
        <w:rPr>
          <w:rFonts w:ascii="Calibri" w:hAnsi="Calibri" w:cs="Calibri"/>
        </w:rPr>
        <w:t>But t</w:t>
      </w:r>
      <w:r w:rsidR="00292AB4" w:rsidRPr="001F52A8">
        <w:rPr>
          <w:rFonts w:ascii="Calibri" w:hAnsi="Calibri" w:cs="Calibri"/>
        </w:rPr>
        <w:t xml:space="preserve">he narrative focuses </w:t>
      </w:r>
      <w:r w:rsidR="00205A5E" w:rsidRPr="001F52A8">
        <w:rPr>
          <w:rFonts w:ascii="Calibri" w:hAnsi="Calibri" w:cs="Calibri"/>
        </w:rPr>
        <w:t xml:space="preserve">more </w:t>
      </w:r>
      <w:r w:rsidR="00292AB4" w:rsidRPr="001F52A8">
        <w:rPr>
          <w:rFonts w:ascii="Calibri" w:hAnsi="Calibri" w:cs="Calibri"/>
        </w:rPr>
        <w:t>on David’s respon</w:t>
      </w:r>
      <w:r w:rsidR="009D7FD2" w:rsidRPr="001F52A8">
        <w:rPr>
          <w:rFonts w:ascii="Calibri" w:hAnsi="Calibri" w:cs="Calibri"/>
        </w:rPr>
        <w:t>sive anger</w:t>
      </w:r>
      <w:r w:rsidR="00BC6F0D" w:rsidRPr="001F52A8">
        <w:rPr>
          <w:rFonts w:ascii="Calibri" w:hAnsi="Calibri" w:cs="Calibri"/>
        </w:rPr>
        <w:t xml:space="preserve"> (it uses the same expression of him as of Yahweh</w:t>
      </w:r>
      <w:r w:rsidR="00E02147" w:rsidRPr="001F52A8">
        <w:rPr>
          <w:rFonts w:ascii="Calibri" w:hAnsi="Calibri" w:cs="Calibri"/>
        </w:rPr>
        <w:t xml:space="preserve">, but </w:t>
      </w:r>
      <w:r w:rsidR="00205A5E" w:rsidRPr="001F52A8">
        <w:rPr>
          <w:rFonts w:ascii="Calibri" w:hAnsi="Calibri" w:cs="Calibri"/>
        </w:rPr>
        <w:t xml:space="preserve">it </w:t>
      </w:r>
      <w:r w:rsidR="00E02147" w:rsidRPr="001F52A8">
        <w:rPr>
          <w:rFonts w:ascii="Calibri" w:hAnsi="Calibri" w:cs="Calibri"/>
        </w:rPr>
        <w:t>does not indicate the object of his anger</w:t>
      </w:r>
      <w:r w:rsidR="00BC6F0D" w:rsidRPr="001F52A8">
        <w:rPr>
          <w:rFonts w:ascii="Calibri" w:hAnsi="Calibri" w:cs="Calibri"/>
        </w:rPr>
        <w:t>)</w:t>
      </w:r>
      <w:r w:rsidR="00592A18" w:rsidRPr="001F52A8">
        <w:rPr>
          <w:rFonts w:ascii="Calibri" w:hAnsi="Calibri" w:cs="Calibri"/>
        </w:rPr>
        <w:t>,</w:t>
      </w:r>
      <w:r w:rsidR="009D7FD2" w:rsidRPr="001F52A8">
        <w:rPr>
          <w:rFonts w:ascii="Calibri" w:hAnsi="Calibri" w:cs="Calibri"/>
        </w:rPr>
        <w:t xml:space="preserve"> </w:t>
      </w:r>
      <w:r w:rsidR="00BC6F0D" w:rsidRPr="001F52A8">
        <w:rPr>
          <w:rFonts w:ascii="Calibri" w:hAnsi="Calibri" w:cs="Calibri"/>
        </w:rPr>
        <w:t>his</w:t>
      </w:r>
      <w:r w:rsidR="00592A18" w:rsidRPr="001F52A8">
        <w:rPr>
          <w:rFonts w:ascii="Calibri" w:hAnsi="Calibri" w:cs="Calibri"/>
        </w:rPr>
        <w:t xml:space="preserve"> responsive </w:t>
      </w:r>
      <w:r w:rsidR="009D7FD2" w:rsidRPr="001F52A8">
        <w:rPr>
          <w:rFonts w:ascii="Calibri" w:hAnsi="Calibri" w:cs="Calibri"/>
        </w:rPr>
        <w:t>fear</w:t>
      </w:r>
      <w:r w:rsidR="00592A18" w:rsidRPr="001F52A8">
        <w:rPr>
          <w:rFonts w:ascii="Calibri" w:hAnsi="Calibri" w:cs="Calibri"/>
        </w:rPr>
        <w:t xml:space="preserve"> or awe</w:t>
      </w:r>
      <w:r w:rsidR="00E02147" w:rsidRPr="001F52A8">
        <w:rPr>
          <w:rFonts w:ascii="Calibri" w:hAnsi="Calibri" w:cs="Calibri"/>
        </w:rPr>
        <w:t xml:space="preserve"> in relation to Yahweh</w:t>
      </w:r>
      <w:r w:rsidR="00D60E0F" w:rsidRPr="001F52A8">
        <w:rPr>
          <w:rFonts w:ascii="Calibri" w:hAnsi="Calibri" w:cs="Calibri"/>
        </w:rPr>
        <w:t xml:space="preserve">, and his decision to leave </w:t>
      </w:r>
      <w:r w:rsidR="00205A5E" w:rsidRPr="001F52A8">
        <w:rPr>
          <w:rFonts w:ascii="Calibri" w:hAnsi="Calibri" w:cs="Calibri"/>
        </w:rPr>
        <w:t>the chest</w:t>
      </w:r>
      <w:r w:rsidR="00D60E0F" w:rsidRPr="001F52A8">
        <w:rPr>
          <w:rFonts w:ascii="Calibri" w:hAnsi="Calibri" w:cs="Calibri"/>
        </w:rPr>
        <w:t xml:space="preserve"> where it is in the care of </w:t>
      </w:r>
      <w:r w:rsidR="00732565" w:rsidRPr="001F52A8">
        <w:rPr>
          <w:lang w:bidi="he-IL"/>
        </w:rPr>
        <w:t>Obed-edom</w:t>
      </w:r>
      <w:r w:rsidR="0082367F" w:rsidRPr="001F52A8">
        <w:rPr>
          <w:lang w:bidi="he-IL"/>
        </w:rPr>
        <w:t xml:space="preserve">. </w:t>
      </w:r>
      <w:r w:rsidR="00BB7BD4" w:rsidRPr="001F52A8">
        <w:rPr>
          <w:rFonts w:cstheme="minorHAnsi"/>
          <w:lang w:bidi="he-IL"/>
        </w:rPr>
        <w:t xml:space="preserve">“In view of the circumstances it is </w:t>
      </w:r>
      <w:r w:rsidR="003E0CD6" w:rsidRPr="001F52A8">
        <w:rPr>
          <w:rFonts w:cstheme="minorHAnsi"/>
          <w:lang w:bidi="he-IL"/>
        </w:rPr>
        <w:t>doubtful that Obe</w:t>
      </w:r>
      <w:r w:rsidR="000E35FA" w:rsidRPr="001F52A8">
        <w:rPr>
          <w:rFonts w:cstheme="minorHAnsi"/>
          <w:lang w:bidi="he-IL"/>
        </w:rPr>
        <w:t>d</w:t>
      </w:r>
      <w:r w:rsidR="0065475F" w:rsidRPr="001F52A8">
        <w:rPr>
          <w:rFonts w:cstheme="minorHAnsi"/>
          <w:lang w:bidi="he-IL"/>
        </w:rPr>
        <w:t>-</w:t>
      </w:r>
      <w:r w:rsidR="000E35FA" w:rsidRPr="001F52A8">
        <w:rPr>
          <w:rFonts w:cstheme="minorHAnsi"/>
          <w:lang w:bidi="he-IL"/>
        </w:rPr>
        <w:t>edom was overjoyed to</w:t>
      </w:r>
      <w:r w:rsidR="0065475F" w:rsidRPr="001F52A8">
        <w:rPr>
          <w:rFonts w:cstheme="minorHAnsi"/>
          <w:lang w:bidi="he-IL"/>
        </w:rPr>
        <w:t xml:space="preserve"> receive the custody of the awesome ark.”</w:t>
      </w:r>
      <w:r w:rsidR="00630AF6" w:rsidRPr="001F52A8">
        <w:rPr>
          <w:rStyle w:val="FootnoteReference"/>
          <w:rFonts w:cstheme="minorHAnsi"/>
          <w:lang w:bidi="he-IL"/>
        </w:rPr>
        <w:footnoteReference w:id="358"/>
      </w:r>
      <w:r w:rsidR="0082367F" w:rsidRPr="001F52A8">
        <w:rPr>
          <w:rFonts w:cstheme="minorHAnsi"/>
          <w:lang w:bidi="he-IL"/>
        </w:rPr>
        <w:t xml:space="preserve"> </w:t>
      </w:r>
    </w:p>
    <w:p w14:paraId="15E6DCA7" w14:textId="7EE30507" w:rsidR="00395598" w:rsidRPr="001F52A8" w:rsidRDefault="003E58B8" w:rsidP="00205A5E">
      <w:pPr>
        <w:rPr>
          <w:rFonts w:cstheme="minorHAnsi"/>
          <w:lang w:bidi="he-IL"/>
        </w:rPr>
      </w:pPr>
      <w:r w:rsidRPr="001F52A8">
        <w:rPr>
          <w:rFonts w:cstheme="minorHAnsi"/>
          <w:lang w:bidi="he-IL"/>
        </w:rPr>
        <w:t>Whereas</w:t>
      </w:r>
      <w:r w:rsidR="00E34C62" w:rsidRPr="001F52A8">
        <w:rPr>
          <w:rFonts w:cstheme="minorHAnsi"/>
          <w:lang w:bidi="he-IL"/>
        </w:rPr>
        <w:t xml:space="preserve"> the chest’s time with the Philistines </w:t>
      </w:r>
      <w:r w:rsidR="006F3E8B" w:rsidRPr="001F52A8">
        <w:rPr>
          <w:rFonts w:cstheme="minorHAnsi"/>
          <w:lang w:bidi="he-IL"/>
        </w:rPr>
        <w:t>brought trouble on them</w:t>
      </w:r>
      <w:r w:rsidRPr="001F52A8">
        <w:rPr>
          <w:rFonts w:cstheme="minorHAnsi"/>
          <w:lang w:bidi="he-IL"/>
        </w:rPr>
        <w:t xml:space="preserve"> </w:t>
      </w:r>
      <w:r w:rsidR="000345DE">
        <w:rPr>
          <w:rFonts w:cstheme="minorHAnsi"/>
          <w:lang w:bidi="he-IL"/>
        </w:rPr>
        <w:t xml:space="preserve">following </w:t>
      </w:r>
      <w:r w:rsidR="006F3E8B" w:rsidRPr="001F52A8">
        <w:rPr>
          <w:rFonts w:cstheme="minorHAnsi"/>
          <w:lang w:bidi="he-IL"/>
        </w:rPr>
        <w:t xml:space="preserve">their </w:t>
      </w:r>
      <w:r w:rsidR="006E30AF" w:rsidRPr="001F52A8">
        <w:rPr>
          <w:rFonts w:cstheme="minorHAnsi"/>
          <w:lang w:bidi="he-IL"/>
        </w:rPr>
        <w:t xml:space="preserve">desecration </w:t>
      </w:r>
      <w:r w:rsidR="006F3E8B" w:rsidRPr="001F52A8">
        <w:rPr>
          <w:rFonts w:cstheme="minorHAnsi"/>
          <w:lang w:bidi="he-IL"/>
        </w:rPr>
        <w:t>of it, here the chest</w:t>
      </w:r>
      <w:r w:rsidR="00117113" w:rsidRPr="001F52A8">
        <w:rPr>
          <w:rFonts w:cstheme="minorHAnsi"/>
          <w:lang w:bidi="he-IL"/>
        </w:rPr>
        <w:t xml:space="preserve">’s time with a Philistine </w:t>
      </w:r>
      <w:r w:rsidR="000345DE">
        <w:rPr>
          <w:rFonts w:cstheme="minorHAnsi"/>
          <w:lang w:bidi="he-IL"/>
        </w:rPr>
        <w:t>following</w:t>
      </w:r>
      <w:r w:rsidR="00117113" w:rsidRPr="001F52A8">
        <w:rPr>
          <w:rFonts w:cstheme="minorHAnsi"/>
          <w:lang w:bidi="he-IL"/>
        </w:rPr>
        <w:t xml:space="preserve"> the Israelites’ desecration of it brings blessing on him</w:t>
      </w:r>
      <w:r w:rsidR="004B3B00" w:rsidRPr="001F52A8">
        <w:rPr>
          <w:rFonts w:cstheme="minorHAnsi"/>
          <w:lang w:bidi="he-IL"/>
        </w:rPr>
        <w:t xml:space="preserve">, which encourages David to complete the project. </w:t>
      </w:r>
      <w:r w:rsidR="000345DE">
        <w:rPr>
          <w:rFonts w:cstheme="minorHAnsi"/>
          <w:lang w:bidi="he-IL"/>
        </w:rPr>
        <w:t>Further</w:t>
      </w:r>
      <w:r w:rsidR="00861C32" w:rsidRPr="001F52A8">
        <w:rPr>
          <w:rFonts w:cstheme="minorHAnsi"/>
          <w:lang w:bidi="he-IL"/>
        </w:rPr>
        <w:t xml:space="preserve"> dancing and rejoicing follow</w:t>
      </w:r>
      <w:r w:rsidR="0066489E" w:rsidRPr="001F52A8">
        <w:rPr>
          <w:rFonts w:cstheme="minorHAnsi"/>
          <w:lang w:bidi="he-IL"/>
        </w:rPr>
        <w:t>, more enthusiastic than the first time</w:t>
      </w:r>
      <w:r w:rsidR="00CB57AB" w:rsidRPr="001F52A8">
        <w:rPr>
          <w:rFonts w:cstheme="minorHAnsi"/>
          <w:lang w:bidi="he-IL"/>
        </w:rPr>
        <w:t>,</w:t>
      </w:r>
      <w:r w:rsidR="00861C32" w:rsidRPr="001F52A8">
        <w:rPr>
          <w:rFonts w:cstheme="minorHAnsi"/>
          <w:lang w:bidi="he-IL"/>
        </w:rPr>
        <w:t xml:space="preserve"> </w:t>
      </w:r>
      <w:r w:rsidR="008D1BB3" w:rsidRPr="001F52A8">
        <w:rPr>
          <w:rFonts w:cstheme="minorHAnsi"/>
          <w:lang w:bidi="he-IL"/>
        </w:rPr>
        <w:t xml:space="preserve">perhaps </w:t>
      </w:r>
      <w:r w:rsidR="00CB57AB" w:rsidRPr="001F52A8">
        <w:rPr>
          <w:rFonts w:cstheme="minorHAnsi"/>
          <w:lang w:bidi="he-IL"/>
        </w:rPr>
        <w:t>more like cartwheeling or acrobatics</w:t>
      </w:r>
      <w:r w:rsidR="008D1BB3" w:rsidRPr="001F52A8">
        <w:rPr>
          <w:rFonts w:cstheme="minorHAnsi"/>
          <w:lang w:bidi="he-IL"/>
        </w:rPr>
        <w:t>.</w:t>
      </w:r>
      <w:r w:rsidR="008D1BB3" w:rsidRPr="001F52A8">
        <w:rPr>
          <w:rStyle w:val="FootnoteReference"/>
          <w:rFonts w:cstheme="minorHAnsi"/>
          <w:lang w:bidi="he-IL"/>
        </w:rPr>
        <w:footnoteReference w:id="359"/>
      </w:r>
      <w:r w:rsidR="008D1BB3" w:rsidRPr="001F52A8">
        <w:rPr>
          <w:rFonts w:cstheme="minorHAnsi"/>
          <w:lang w:bidi="he-IL"/>
        </w:rPr>
        <w:t xml:space="preserve"> </w:t>
      </w:r>
      <w:r w:rsidR="00205A5E" w:rsidRPr="001F52A8">
        <w:rPr>
          <w:lang w:bidi="he-IL"/>
        </w:rPr>
        <w:t xml:space="preserve">People are dancing before the Ten </w:t>
      </w:r>
      <w:r w:rsidR="000345DE">
        <w:rPr>
          <w:lang w:bidi="he-IL"/>
        </w:rPr>
        <w:t>C</w:t>
      </w:r>
      <w:r w:rsidR="00205A5E" w:rsidRPr="001F52A8">
        <w:rPr>
          <w:lang w:bidi="he-IL"/>
        </w:rPr>
        <w:t>ommandments!</w:t>
      </w:r>
      <w:r w:rsidR="00205A5E" w:rsidRPr="001F52A8">
        <w:rPr>
          <w:rStyle w:val="FootnoteReference"/>
          <w:lang w:bidi="he-IL"/>
        </w:rPr>
        <w:footnoteReference w:id="360"/>
      </w:r>
      <w:r w:rsidR="00205A5E" w:rsidRPr="001F52A8">
        <w:rPr>
          <w:lang w:bidi="he-IL"/>
        </w:rPr>
        <w:t xml:space="preserve"> </w:t>
      </w:r>
      <w:r w:rsidR="00205A5E" w:rsidRPr="001F52A8">
        <w:rPr>
          <w:rFonts w:ascii="Calibri" w:hAnsi="Calibri" w:cs="Calibri"/>
        </w:rPr>
        <w:t xml:space="preserve">David in particular manifests himself full of life on this </w:t>
      </w:r>
      <w:r w:rsidR="00205A5E" w:rsidRPr="001F52A8">
        <w:rPr>
          <w:rFonts w:ascii="Calibri" w:hAnsi="Calibri" w:cs="Calibri"/>
        </w:rPr>
        <w:lastRenderedPageBreak/>
        <w:t>second attempt at the retrieval</w:t>
      </w:r>
      <w:r w:rsidR="00215081" w:rsidRPr="001F52A8">
        <w:rPr>
          <w:rFonts w:ascii="Calibri" w:hAnsi="Calibri" w:cs="Calibri"/>
        </w:rPr>
        <w:t xml:space="preserve"> (</w:t>
      </w:r>
      <w:r w:rsidR="00205A5E" w:rsidRPr="001F52A8">
        <w:rPr>
          <w:rFonts w:ascii="Calibri" w:hAnsi="Calibri" w:cs="Calibri"/>
        </w:rPr>
        <w:t>though his whirling is the lead in to the Michal scene</w:t>
      </w:r>
      <w:r w:rsidR="00215081" w:rsidRPr="001F52A8">
        <w:rPr>
          <w:rFonts w:ascii="Calibri" w:hAnsi="Calibri" w:cs="Calibri"/>
        </w:rPr>
        <w:t>)</w:t>
      </w:r>
      <w:r w:rsidR="00205A5E" w:rsidRPr="001F52A8">
        <w:rPr>
          <w:rFonts w:ascii="Calibri" w:hAnsi="Calibri" w:cs="Calibri"/>
        </w:rPr>
        <w:t>.</w:t>
      </w:r>
      <w:r w:rsidR="00205A5E" w:rsidRPr="001F52A8">
        <w:rPr>
          <w:rStyle w:val="FootnoteReference"/>
          <w:rFonts w:ascii="Calibri" w:hAnsi="Calibri" w:cs="Calibri"/>
        </w:rPr>
        <w:footnoteReference w:id="361"/>
      </w:r>
      <w:r w:rsidR="00205A5E" w:rsidRPr="001F52A8">
        <w:rPr>
          <w:lang w:bidi="he-IL"/>
        </w:rPr>
        <w:t xml:space="preserve"> </w:t>
      </w:r>
      <w:r w:rsidR="00215081" w:rsidRPr="001F52A8">
        <w:rPr>
          <w:lang w:bidi="he-IL"/>
        </w:rPr>
        <w:t>“</w:t>
      </w:r>
      <w:r w:rsidR="00215081" w:rsidRPr="001F52A8">
        <w:rPr>
          <w:rFonts w:cstheme="minorHAnsi"/>
        </w:rPr>
        <w:t>He was a</w:t>
      </w:r>
      <w:r w:rsidR="00215081" w:rsidRPr="001F52A8">
        <w:rPr>
          <w:lang w:bidi="he-IL"/>
        </w:rPr>
        <w:t xml:space="preserve"> </w:t>
      </w:r>
      <w:r w:rsidR="00215081" w:rsidRPr="001F52A8">
        <w:rPr>
          <w:rFonts w:cstheme="minorHAnsi"/>
        </w:rPr>
        <w:t>Palestinian, I confess, from a people that is more</w:t>
      </w:r>
      <w:r w:rsidR="00215081" w:rsidRPr="001F52A8">
        <w:rPr>
          <w:lang w:bidi="he-IL"/>
        </w:rPr>
        <w:t xml:space="preserve"> </w:t>
      </w:r>
      <w:r w:rsidR="00215081" w:rsidRPr="001F52A8">
        <w:rPr>
          <w:rFonts w:cstheme="minorHAnsi"/>
        </w:rPr>
        <w:t>emotional and unrestrained than our European</w:t>
      </w:r>
      <w:r w:rsidR="00215081" w:rsidRPr="001F52A8">
        <w:rPr>
          <w:lang w:bidi="he-IL"/>
        </w:rPr>
        <w:t xml:space="preserve"> </w:t>
      </w:r>
      <w:r w:rsidR="00215081" w:rsidRPr="001F52A8">
        <w:rPr>
          <w:rFonts w:cstheme="minorHAnsi"/>
        </w:rPr>
        <w:t>people.”</w:t>
      </w:r>
      <w:r w:rsidR="00215081" w:rsidRPr="001F52A8">
        <w:rPr>
          <w:rStyle w:val="FootnoteReference"/>
          <w:rFonts w:cstheme="minorHAnsi"/>
        </w:rPr>
        <w:footnoteReference w:id="362"/>
      </w:r>
      <w:r w:rsidR="00215081" w:rsidRPr="001F52A8">
        <w:rPr>
          <w:rFonts w:cstheme="minorHAnsi"/>
        </w:rPr>
        <w:t xml:space="preserve"> </w:t>
      </w:r>
      <w:r w:rsidR="00861C32" w:rsidRPr="001F52A8">
        <w:rPr>
          <w:rFonts w:cstheme="minorHAnsi"/>
          <w:lang w:bidi="he-IL"/>
        </w:rPr>
        <w:t xml:space="preserve">While </w:t>
      </w:r>
      <w:r w:rsidR="008E79B4" w:rsidRPr="001F52A8">
        <w:rPr>
          <w:rFonts w:ascii="Calibri" w:hAnsi="Calibri" w:cs="Calibri"/>
        </w:rPr>
        <w:t>Irenaeus did not quite say that “the glory of God is a human being fully alive,”</w:t>
      </w:r>
      <w:r w:rsidR="008E79B4" w:rsidRPr="001F52A8">
        <w:rPr>
          <w:rStyle w:val="FootnoteReference"/>
          <w:rFonts w:ascii="Calibri" w:hAnsi="Calibri" w:cs="Calibri"/>
        </w:rPr>
        <w:footnoteReference w:id="363"/>
      </w:r>
      <w:r w:rsidR="008E79B4" w:rsidRPr="001F52A8">
        <w:rPr>
          <w:rFonts w:ascii="Calibri" w:hAnsi="Calibri" w:cs="Calibri"/>
        </w:rPr>
        <w:t xml:space="preserve"> the story does enthuse over </w:t>
      </w:r>
      <w:r w:rsidR="000345DE">
        <w:rPr>
          <w:rFonts w:ascii="Calibri" w:hAnsi="Calibri" w:cs="Calibri"/>
        </w:rPr>
        <w:t>someone being</w:t>
      </w:r>
      <w:r w:rsidR="008E79B4" w:rsidRPr="001F52A8">
        <w:rPr>
          <w:rFonts w:ascii="Calibri" w:hAnsi="Calibri" w:cs="Calibri"/>
        </w:rPr>
        <w:t xml:space="preserve"> full of life in worshiping God</w:t>
      </w:r>
      <w:r w:rsidR="00205A5E" w:rsidRPr="001F52A8">
        <w:rPr>
          <w:rFonts w:ascii="Calibri" w:hAnsi="Calibri" w:cs="Calibri"/>
        </w:rPr>
        <w:t xml:space="preserve"> –</w:t>
      </w:r>
      <w:r w:rsidR="00C05FEC" w:rsidRPr="001F52A8">
        <w:rPr>
          <w:rFonts w:ascii="Calibri" w:hAnsi="Calibri" w:cs="Calibri"/>
        </w:rPr>
        <w:t xml:space="preserve"> n</w:t>
      </w:r>
      <w:r w:rsidR="008E79B4" w:rsidRPr="001F52A8">
        <w:rPr>
          <w:rFonts w:ascii="Calibri" w:hAnsi="Calibri" w:cs="Calibri"/>
        </w:rPr>
        <w:t xml:space="preserve">ot just David but everyone. </w:t>
      </w:r>
      <w:r w:rsidR="00273FCE" w:rsidRPr="001F52A8">
        <w:rPr>
          <w:lang w:bidi="he-IL"/>
        </w:rPr>
        <w:t xml:space="preserve">The sacrifices </w:t>
      </w:r>
      <w:r w:rsidR="00000BF2" w:rsidRPr="001F52A8">
        <w:rPr>
          <w:lang w:bidi="he-IL"/>
        </w:rPr>
        <w:t xml:space="preserve">offered on the way continue in the tent: like most First Testament sacrifices, </w:t>
      </w:r>
      <w:r w:rsidR="00205A5E" w:rsidRPr="001F52A8">
        <w:rPr>
          <w:lang w:bidi="he-IL"/>
        </w:rPr>
        <w:t xml:space="preserve">they are </w:t>
      </w:r>
      <w:r w:rsidR="00000BF2" w:rsidRPr="001F52A8">
        <w:rPr>
          <w:lang w:bidi="he-IL"/>
        </w:rPr>
        <w:t xml:space="preserve">not offerings for sin but </w:t>
      </w:r>
      <w:r w:rsidR="00794280" w:rsidRPr="001F52A8">
        <w:rPr>
          <w:lang w:bidi="he-IL"/>
        </w:rPr>
        <w:t>expressions of commitment (whole offerings) and of a joy shared between God and people (</w:t>
      </w:r>
      <w:r w:rsidR="00641036" w:rsidRPr="001F52A8">
        <w:rPr>
          <w:lang w:bidi="he-IL"/>
        </w:rPr>
        <w:t xml:space="preserve">well-being offerings). </w:t>
      </w:r>
    </w:p>
    <w:p w14:paraId="243CF937" w14:textId="554A5EDF" w:rsidR="00215081" w:rsidRPr="001F52A8" w:rsidRDefault="007656CA" w:rsidP="00F13932">
      <w:pPr>
        <w:rPr>
          <w:lang w:bidi="he-IL"/>
        </w:rPr>
      </w:pPr>
      <w:r w:rsidRPr="001F52A8">
        <w:rPr>
          <w:rFonts w:cstheme="minorHAnsi"/>
          <w:lang w:bidi="he-IL"/>
        </w:rPr>
        <w:t>So</w:t>
      </w:r>
      <w:r w:rsidRPr="001F52A8">
        <w:rPr>
          <w:lang w:bidi="he-IL"/>
        </w:rPr>
        <w:t xml:space="preserve"> the covenant chest brings </w:t>
      </w:r>
      <w:r w:rsidR="005467AA" w:rsidRPr="001F52A8">
        <w:rPr>
          <w:lang w:bidi="he-IL"/>
        </w:rPr>
        <w:t xml:space="preserve">a new </w:t>
      </w:r>
      <w:r w:rsidR="004C4E07">
        <w:rPr>
          <w:lang w:bidi="he-IL"/>
        </w:rPr>
        <w:t>representation</w:t>
      </w:r>
      <w:r w:rsidR="00215081" w:rsidRPr="001F52A8">
        <w:rPr>
          <w:lang w:bidi="he-IL"/>
        </w:rPr>
        <w:t xml:space="preserve"> </w:t>
      </w:r>
      <w:r w:rsidR="005467AA" w:rsidRPr="001F52A8">
        <w:rPr>
          <w:lang w:bidi="he-IL"/>
        </w:rPr>
        <w:t xml:space="preserve">of </w:t>
      </w:r>
      <w:r w:rsidR="004C4E07">
        <w:rPr>
          <w:lang w:bidi="he-IL"/>
        </w:rPr>
        <w:t>Yahweh’s</w:t>
      </w:r>
      <w:r w:rsidR="005467AA" w:rsidRPr="001F52A8">
        <w:rPr>
          <w:lang w:bidi="he-IL"/>
        </w:rPr>
        <w:t xml:space="preserve"> presence to Jerusalem. </w:t>
      </w:r>
      <w:r w:rsidR="00577786" w:rsidRPr="001F52A8">
        <w:rPr>
          <w:lang w:bidi="he-IL"/>
        </w:rPr>
        <w:t xml:space="preserve">David has been able to inquire of Yahweh before (2 Sam 3:1) and </w:t>
      </w:r>
      <w:r w:rsidR="005467AA" w:rsidRPr="001F52A8">
        <w:rPr>
          <w:lang w:bidi="he-IL"/>
        </w:rPr>
        <w:t xml:space="preserve">Yahweh </w:t>
      </w:r>
      <w:r w:rsidR="00577786" w:rsidRPr="001F52A8">
        <w:rPr>
          <w:lang w:bidi="he-IL"/>
        </w:rPr>
        <w:t>has been</w:t>
      </w:r>
      <w:r w:rsidR="005467AA" w:rsidRPr="001F52A8">
        <w:rPr>
          <w:lang w:bidi="he-IL"/>
        </w:rPr>
        <w:t xml:space="preserve"> </w:t>
      </w:r>
      <w:r w:rsidR="00A04715" w:rsidRPr="001F52A8">
        <w:rPr>
          <w:lang w:bidi="he-IL"/>
        </w:rPr>
        <w:t xml:space="preserve">with David before </w:t>
      </w:r>
      <w:r w:rsidR="00577786" w:rsidRPr="001F52A8">
        <w:rPr>
          <w:lang w:bidi="he-IL"/>
        </w:rPr>
        <w:t>(2 Sam 5:10)</w:t>
      </w:r>
      <w:r w:rsidR="00DC3B1F" w:rsidRPr="001F52A8">
        <w:rPr>
          <w:lang w:bidi="he-IL"/>
        </w:rPr>
        <w:t xml:space="preserve">. Now </w:t>
      </w:r>
      <w:r w:rsidR="004C4E07">
        <w:rPr>
          <w:lang w:bidi="he-IL"/>
        </w:rPr>
        <w:t>David</w:t>
      </w:r>
      <w:r w:rsidR="00DC3B1F" w:rsidRPr="001F52A8">
        <w:rPr>
          <w:lang w:bidi="he-IL"/>
        </w:rPr>
        <w:t xml:space="preserve"> can </w:t>
      </w:r>
      <w:r w:rsidR="009A0610" w:rsidRPr="001F52A8">
        <w:rPr>
          <w:lang w:bidi="he-IL"/>
        </w:rPr>
        <w:t xml:space="preserve">come in and </w:t>
      </w:r>
      <w:r w:rsidR="003B671A" w:rsidRPr="001F52A8">
        <w:rPr>
          <w:lang w:bidi="he-IL"/>
        </w:rPr>
        <w:t xml:space="preserve">stay in </w:t>
      </w:r>
      <w:r w:rsidR="004C4E07">
        <w:rPr>
          <w:lang w:bidi="he-IL"/>
        </w:rPr>
        <w:t>Yahweh’s</w:t>
      </w:r>
      <w:r w:rsidR="003B671A" w:rsidRPr="001F52A8">
        <w:rPr>
          <w:lang w:bidi="he-IL"/>
        </w:rPr>
        <w:t xml:space="preserve"> presence </w:t>
      </w:r>
      <w:r w:rsidR="00215081" w:rsidRPr="001F52A8">
        <w:rPr>
          <w:lang w:bidi="he-IL"/>
        </w:rPr>
        <w:t>in this sanctuary</w:t>
      </w:r>
      <w:r w:rsidR="003B671A" w:rsidRPr="001F52A8">
        <w:rPr>
          <w:lang w:bidi="he-IL"/>
        </w:rPr>
        <w:t xml:space="preserve"> (</w:t>
      </w:r>
      <w:r w:rsidR="00A127E2" w:rsidRPr="001F52A8">
        <w:rPr>
          <w:lang w:bidi="he-IL"/>
        </w:rPr>
        <w:t xml:space="preserve">7:18; </w:t>
      </w:r>
      <w:r w:rsidR="003F39BB" w:rsidRPr="001F52A8">
        <w:rPr>
          <w:lang w:bidi="he-IL"/>
        </w:rPr>
        <w:t xml:space="preserve">in other contexts one would take </w:t>
      </w:r>
      <w:r w:rsidR="003F39BB" w:rsidRPr="001F52A8">
        <w:rPr>
          <w:i/>
          <w:iCs/>
          <w:lang w:bidi="he-IL"/>
        </w:rPr>
        <w:t>y</w:t>
      </w:r>
      <w:r w:rsidR="003F39BB" w:rsidRPr="001F52A8">
        <w:rPr>
          <w:rFonts w:cstheme="minorHAnsi"/>
          <w:i/>
          <w:iCs/>
          <w:lang w:bidi="he-IL"/>
        </w:rPr>
        <w:t>āš</w:t>
      </w:r>
      <w:r w:rsidR="003F39BB" w:rsidRPr="001F52A8">
        <w:rPr>
          <w:i/>
          <w:iCs/>
          <w:lang w:bidi="he-IL"/>
        </w:rPr>
        <w:t>ab</w:t>
      </w:r>
      <w:r w:rsidR="003F39BB" w:rsidRPr="001F52A8">
        <w:rPr>
          <w:lang w:bidi="he-IL"/>
        </w:rPr>
        <w:t xml:space="preserve"> to mean sit, </w:t>
      </w:r>
      <w:r w:rsidR="00A35A32" w:rsidRPr="001F52A8">
        <w:rPr>
          <w:lang w:bidi="he-IL"/>
        </w:rPr>
        <w:t xml:space="preserve">but </w:t>
      </w:r>
      <w:r w:rsidR="0055047D" w:rsidRPr="001F52A8">
        <w:rPr>
          <w:lang w:bidi="he-IL"/>
        </w:rPr>
        <w:t>there are no other references to sitting in Yahweh’s presence</w:t>
      </w:r>
      <w:r w:rsidR="00A127E2" w:rsidRPr="001F52A8">
        <w:rPr>
          <w:lang w:bidi="he-IL"/>
        </w:rPr>
        <w:t>, and the verb means “stay” or “live” in 7:</w:t>
      </w:r>
      <w:r w:rsidR="00146AF0" w:rsidRPr="001F52A8">
        <w:rPr>
          <w:lang w:bidi="he-IL"/>
        </w:rPr>
        <w:t xml:space="preserve">1, </w:t>
      </w:r>
      <w:r w:rsidR="00601433" w:rsidRPr="001F52A8">
        <w:rPr>
          <w:lang w:bidi="he-IL"/>
        </w:rPr>
        <w:t xml:space="preserve">2, </w:t>
      </w:r>
      <w:r w:rsidR="00A523F3" w:rsidRPr="001F52A8">
        <w:rPr>
          <w:lang w:bidi="he-IL"/>
        </w:rPr>
        <w:t xml:space="preserve">5, </w:t>
      </w:r>
      <w:r w:rsidR="00146AF0" w:rsidRPr="001F52A8">
        <w:rPr>
          <w:lang w:bidi="he-IL"/>
        </w:rPr>
        <w:t>6).</w:t>
      </w:r>
      <w:r w:rsidR="00FA1903" w:rsidRPr="001F52A8">
        <w:rPr>
          <w:lang w:bidi="he-IL"/>
        </w:rPr>
        <w:t xml:space="preserve"> </w:t>
      </w:r>
    </w:p>
    <w:p w14:paraId="2E8611EE" w14:textId="56812757" w:rsidR="00F13932" w:rsidRPr="001F52A8" w:rsidRDefault="004C4E07" w:rsidP="00F13932">
      <w:pPr>
        <w:rPr>
          <w:rFonts w:ascii="Calibri" w:hAnsi="Calibri" w:cs="Calibri"/>
          <w:color w:val="000000"/>
        </w:rPr>
      </w:pPr>
      <w:r>
        <w:rPr>
          <w:lang w:bidi="he-IL"/>
        </w:rPr>
        <w:t xml:space="preserve">Now </w:t>
      </w:r>
      <w:r w:rsidR="008035A2" w:rsidRPr="001F52A8">
        <w:rPr>
          <w:lang w:bidi="he-IL"/>
        </w:rPr>
        <w:t>David</w:t>
      </w:r>
      <w:r w:rsidR="000B3342" w:rsidRPr="001F52A8">
        <w:rPr>
          <w:lang w:bidi="he-IL"/>
        </w:rPr>
        <w:t xml:space="preserve"> wants to build Yahweh a proper house</w:t>
      </w:r>
      <w:r w:rsidR="00AF2C6E" w:rsidRPr="001F52A8">
        <w:rPr>
          <w:lang w:bidi="he-IL"/>
        </w:rPr>
        <w:t xml:space="preserve"> rather than having him live in </w:t>
      </w:r>
      <w:r w:rsidR="00E72413" w:rsidRPr="001F52A8">
        <w:rPr>
          <w:lang w:bidi="he-IL"/>
        </w:rPr>
        <w:t>a home</w:t>
      </w:r>
      <w:r w:rsidR="00AF2C6E" w:rsidRPr="001F52A8">
        <w:rPr>
          <w:lang w:bidi="he-IL"/>
        </w:rPr>
        <w:t xml:space="preserve"> </w:t>
      </w:r>
      <w:r w:rsidR="008154AC" w:rsidRPr="001F52A8">
        <w:rPr>
          <w:lang w:bidi="he-IL"/>
        </w:rPr>
        <w:t xml:space="preserve">that is </w:t>
      </w:r>
      <w:r w:rsidR="00D13E99" w:rsidRPr="001F52A8">
        <w:rPr>
          <w:lang w:bidi="he-IL"/>
        </w:rPr>
        <w:t>made</w:t>
      </w:r>
      <w:r w:rsidR="00AF2C6E" w:rsidRPr="001F52A8">
        <w:rPr>
          <w:lang w:bidi="he-IL"/>
        </w:rPr>
        <w:t xml:space="preserve"> only </w:t>
      </w:r>
      <w:r w:rsidR="00D13E99" w:rsidRPr="001F52A8">
        <w:rPr>
          <w:lang w:bidi="he-IL"/>
        </w:rPr>
        <w:t xml:space="preserve">of </w:t>
      </w:r>
      <w:r w:rsidR="00AF2C6E" w:rsidRPr="001F52A8">
        <w:rPr>
          <w:lang w:bidi="he-IL"/>
        </w:rPr>
        <w:t>“c</w:t>
      </w:r>
      <w:r w:rsidR="00D96EE9" w:rsidRPr="001F52A8">
        <w:rPr>
          <w:lang w:bidi="he-IL"/>
        </w:rPr>
        <w:t>urtain</w:t>
      </w:r>
      <w:r w:rsidR="00F94C66" w:rsidRPr="001F52A8">
        <w:rPr>
          <w:lang w:bidi="he-IL"/>
        </w:rPr>
        <w:t>ing</w:t>
      </w:r>
      <w:r w:rsidR="00AF2C6E" w:rsidRPr="001F52A8">
        <w:rPr>
          <w:lang w:bidi="he-IL"/>
        </w:rPr>
        <w:t>” (</w:t>
      </w:r>
      <w:r w:rsidR="00B97EE6" w:rsidRPr="001F52A8">
        <w:rPr>
          <w:i/>
          <w:iCs/>
          <w:lang w:bidi="he-IL"/>
        </w:rPr>
        <w:t>y</w:t>
      </w:r>
      <w:r w:rsidR="00B97EE6" w:rsidRPr="001F52A8">
        <w:rPr>
          <w:rFonts w:cstheme="minorHAnsi"/>
          <w:i/>
          <w:iCs/>
          <w:lang w:bidi="he-IL"/>
        </w:rPr>
        <w:t>ə</w:t>
      </w:r>
      <w:r w:rsidR="00811339" w:rsidRPr="001F52A8">
        <w:rPr>
          <w:rFonts w:cstheme="minorHAnsi"/>
          <w:i/>
          <w:iCs/>
          <w:lang w:bidi="he-IL"/>
        </w:rPr>
        <w:t>r‘</w:t>
      </w:r>
      <w:r w:rsidR="00B97EE6" w:rsidRPr="001F52A8">
        <w:rPr>
          <w:rFonts w:cstheme="minorHAnsi"/>
          <w:i/>
          <w:iCs/>
          <w:lang w:bidi="he-IL"/>
        </w:rPr>
        <w:t>îâ</w:t>
      </w:r>
      <w:r w:rsidR="005A6C29" w:rsidRPr="001F52A8">
        <w:rPr>
          <w:rFonts w:cstheme="minorHAnsi"/>
          <w:lang w:bidi="he-IL"/>
        </w:rPr>
        <w:t>,</w:t>
      </w:r>
      <w:r w:rsidR="00B97EE6" w:rsidRPr="001F52A8">
        <w:rPr>
          <w:lang w:bidi="he-IL"/>
        </w:rPr>
        <w:t xml:space="preserve"> </w:t>
      </w:r>
      <w:r w:rsidR="00AF2C6E" w:rsidRPr="001F52A8">
        <w:rPr>
          <w:lang w:bidi="he-IL"/>
        </w:rPr>
        <w:t>7:2</w:t>
      </w:r>
      <w:r w:rsidR="00F94C66" w:rsidRPr="001F52A8">
        <w:rPr>
          <w:lang w:bidi="he-IL"/>
        </w:rPr>
        <w:t xml:space="preserve">). </w:t>
      </w:r>
      <w:r w:rsidR="008154AC" w:rsidRPr="001F52A8">
        <w:rPr>
          <w:lang w:bidi="he-IL"/>
        </w:rPr>
        <w:t>The Shiloh sanctuary was al</w:t>
      </w:r>
      <w:r w:rsidR="00215081" w:rsidRPr="001F52A8">
        <w:rPr>
          <w:lang w:bidi="he-IL"/>
        </w:rPr>
        <w:t>ready</w:t>
      </w:r>
      <w:r w:rsidR="008154AC" w:rsidRPr="001F52A8">
        <w:rPr>
          <w:lang w:bidi="he-IL"/>
        </w:rPr>
        <w:t xml:space="preserve"> described as both a house and a palace</w:t>
      </w:r>
      <w:r w:rsidR="00E17D9D" w:rsidRPr="001F52A8">
        <w:rPr>
          <w:lang w:bidi="he-IL"/>
        </w:rPr>
        <w:t>, and it had a doorpost</w:t>
      </w:r>
      <w:r w:rsidR="006A0AE3" w:rsidRPr="001F52A8">
        <w:rPr>
          <w:lang w:bidi="he-IL"/>
        </w:rPr>
        <w:t xml:space="preserve"> and doors (</w:t>
      </w:r>
      <w:r w:rsidR="006A0AE3" w:rsidRPr="001F52A8">
        <w:rPr>
          <w:rFonts w:ascii="Calibri" w:hAnsi="Calibri" w:cs="Calibri"/>
          <w:color w:val="000000"/>
        </w:rPr>
        <w:t>1 Sam 1:7, 9; 3:3, 15</w:t>
      </w:r>
      <w:r w:rsidR="00C51EB0" w:rsidRPr="001F52A8">
        <w:rPr>
          <w:rFonts w:ascii="Calibri" w:hAnsi="Calibri" w:cs="Calibri"/>
          <w:color w:val="000000"/>
        </w:rPr>
        <w:t>), but evidently David has in mind something more substantial</w:t>
      </w:r>
      <w:r w:rsidR="00415E7A" w:rsidRPr="001F52A8">
        <w:rPr>
          <w:rFonts w:ascii="Calibri" w:hAnsi="Calibri" w:cs="Calibri"/>
          <w:color w:val="000000"/>
        </w:rPr>
        <w:t xml:space="preserve"> and impressive</w:t>
      </w:r>
      <w:r w:rsidR="00AF023D" w:rsidRPr="001F52A8">
        <w:rPr>
          <w:rFonts w:ascii="Calibri" w:hAnsi="Calibri" w:cs="Calibri"/>
          <w:color w:val="000000"/>
        </w:rPr>
        <w:t>. He has a palace after all, and building a temple for the deity is something else that kings do.</w:t>
      </w:r>
    </w:p>
    <w:p w14:paraId="18BA62C7" w14:textId="08C73075" w:rsidR="00120757" w:rsidRPr="001F52A8" w:rsidRDefault="008035A2" w:rsidP="00F13932">
      <w:pPr>
        <w:rPr>
          <w:rFonts w:ascii="Calibri" w:hAnsi="Calibri" w:cs="Calibri"/>
          <w:color w:val="000000"/>
        </w:rPr>
      </w:pPr>
      <w:r w:rsidRPr="001F52A8">
        <w:rPr>
          <w:lang w:bidi="he-IL"/>
        </w:rPr>
        <w:t>T</w:t>
      </w:r>
      <w:r w:rsidR="000E3BE2" w:rsidRPr="001F52A8">
        <w:rPr>
          <w:lang w:bidi="he-IL"/>
        </w:rPr>
        <w:t>he prophet Nathan (who appears for the first time, out of the blue) recogniz</w:t>
      </w:r>
      <w:r w:rsidR="007A5A3A" w:rsidRPr="001F52A8">
        <w:rPr>
          <w:lang w:bidi="he-IL"/>
        </w:rPr>
        <w:t>e</w:t>
      </w:r>
      <w:r w:rsidR="000F08F3" w:rsidRPr="001F52A8">
        <w:rPr>
          <w:lang w:bidi="he-IL"/>
        </w:rPr>
        <w:t>s</w:t>
      </w:r>
      <w:r w:rsidR="000E3BE2" w:rsidRPr="001F52A8">
        <w:rPr>
          <w:lang w:bidi="he-IL"/>
        </w:rPr>
        <w:t xml:space="preserve"> that </w:t>
      </w:r>
      <w:r w:rsidR="00766039" w:rsidRPr="001F52A8">
        <w:rPr>
          <w:lang w:bidi="he-IL"/>
        </w:rPr>
        <w:t>it is wise to affirm the king’s bright ideas</w:t>
      </w:r>
      <w:r w:rsidR="00107E2A" w:rsidRPr="001F52A8">
        <w:rPr>
          <w:lang w:bidi="he-IL"/>
        </w:rPr>
        <w:t>, then ha</w:t>
      </w:r>
      <w:r w:rsidR="007A5A3A" w:rsidRPr="001F52A8">
        <w:rPr>
          <w:lang w:bidi="he-IL"/>
        </w:rPr>
        <w:t>s</w:t>
      </w:r>
      <w:r w:rsidR="00107E2A" w:rsidRPr="001F52A8">
        <w:rPr>
          <w:lang w:bidi="he-IL"/>
        </w:rPr>
        <w:t xml:space="preserve"> Yahweh tap him on the shoulder</w:t>
      </w:r>
      <w:r w:rsidR="00FD7122" w:rsidRPr="001F52A8">
        <w:rPr>
          <w:lang w:bidi="he-IL"/>
        </w:rPr>
        <w:t xml:space="preserve"> during the night</w:t>
      </w:r>
      <w:r w:rsidR="00107E2A" w:rsidRPr="001F52A8">
        <w:rPr>
          <w:lang w:bidi="he-IL"/>
        </w:rPr>
        <w:t xml:space="preserve"> and ask whether</w:t>
      </w:r>
      <w:r w:rsidR="00DE4E80" w:rsidRPr="001F52A8">
        <w:rPr>
          <w:lang w:bidi="he-IL"/>
        </w:rPr>
        <w:t xml:space="preserve"> he might be allowed an opinion on the </w:t>
      </w:r>
      <w:r w:rsidR="00013FF8" w:rsidRPr="001F52A8">
        <w:rPr>
          <w:lang w:bidi="he-IL"/>
        </w:rPr>
        <w:t>king’s idea</w:t>
      </w:r>
      <w:r w:rsidR="00215081" w:rsidRPr="001F52A8">
        <w:rPr>
          <w:lang w:bidi="he-IL"/>
        </w:rPr>
        <w:t>; he is, after</w:t>
      </w:r>
      <w:r w:rsidR="004C4E07">
        <w:rPr>
          <w:lang w:bidi="he-IL"/>
        </w:rPr>
        <w:t xml:space="preserve"> all</w:t>
      </w:r>
      <w:r w:rsidR="00215081" w:rsidRPr="001F52A8">
        <w:rPr>
          <w:lang w:bidi="he-IL"/>
        </w:rPr>
        <w:t>,</w:t>
      </w:r>
      <w:r w:rsidR="00DE4E80" w:rsidRPr="001F52A8">
        <w:rPr>
          <w:lang w:bidi="he-IL"/>
        </w:rPr>
        <w:t xml:space="preserve"> the one who will have to live </w:t>
      </w:r>
      <w:r w:rsidR="00FD7122" w:rsidRPr="001F52A8">
        <w:rPr>
          <w:lang w:bidi="he-IL"/>
        </w:rPr>
        <w:t xml:space="preserve">in this </w:t>
      </w:r>
      <w:r w:rsidR="00FD7122" w:rsidRPr="001F52A8">
        <w:rPr>
          <w:rFonts w:ascii="Calibri" w:hAnsi="Calibri" w:cs="Calibri"/>
          <w:lang w:bidi="he-IL"/>
        </w:rPr>
        <w:t>house</w:t>
      </w:r>
      <w:r w:rsidR="00E9776E" w:rsidRPr="001F52A8">
        <w:rPr>
          <w:rFonts w:ascii="Calibri" w:hAnsi="Calibri" w:cs="Calibri"/>
          <w:lang w:bidi="he-IL"/>
        </w:rPr>
        <w:t xml:space="preserve">. </w:t>
      </w:r>
      <w:r w:rsidR="00F13932" w:rsidRPr="001F52A8">
        <w:rPr>
          <w:rFonts w:ascii="Calibri" w:hAnsi="Calibri" w:cs="Calibri"/>
          <w:lang w:bidi="he-IL"/>
        </w:rPr>
        <w:t>“E</w:t>
      </w:r>
      <w:r w:rsidR="00E9776E" w:rsidRPr="001F52A8">
        <w:rPr>
          <w:rFonts w:ascii="Calibri" w:hAnsi="Calibri" w:cs="Calibri"/>
        </w:rPr>
        <w:t>ven when directed by God's prophet</w:t>
      </w:r>
      <w:r w:rsidR="00641EF2" w:rsidRPr="001F52A8">
        <w:rPr>
          <w:rFonts w:ascii="Calibri" w:hAnsi="Calibri" w:cs="Calibri"/>
        </w:rPr>
        <w:t xml:space="preserve"> . . .,</w:t>
      </w:r>
      <w:r w:rsidR="00E9776E" w:rsidRPr="001F52A8">
        <w:rPr>
          <w:rFonts w:ascii="Calibri" w:hAnsi="Calibri" w:cs="Calibri"/>
          <w:b/>
          <w:bCs/>
        </w:rPr>
        <w:t xml:space="preserve"> </w:t>
      </w:r>
      <w:r w:rsidR="00E9776E" w:rsidRPr="001F52A8">
        <w:rPr>
          <w:rFonts w:ascii="Calibri" w:hAnsi="Calibri" w:cs="Calibri"/>
        </w:rPr>
        <w:t>the king could still act against his and Israel's best interests</w:t>
      </w:r>
      <w:r w:rsidR="00465099" w:rsidRPr="001F52A8">
        <w:rPr>
          <w:rFonts w:ascii="Calibri" w:hAnsi="Calibri" w:cs="Calibri"/>
        </w:rPr>
        <w:t>.</w:t>
      </w:r>
      <w:r w:rsidR="00E0691E">
        <w:rPr>
          <w:rFonts w:ascii="Calibri" w:hAnsi="Calibri" w:cs="Calibri"/>
        </w:rPr>
        <w:t>”</w:t>
      </w:r>
      <w:r w:rsidR="007C78E1" w:rsidRPr="001F52A8">
        <w:rPr>
          <w:rStyle w:val="FootnoteReference"/>
          <w:rFonts w:ascii="Calibri" w:hAnsi="Calibri" w:cs="Calibri"/>
        </w:rPr>
        <w:footnoteReference w:id="364"/>
      </w:r>
      <w:r w:rsidR="00DE4E80" w:rsidRPr="001F52A8">
        <w:rPr>
          <w:rFonts w:ascii="Calibri" w:hAnsi="Calibri" w:cs="Calibri"/>
          <w:lang w:bidi="he-IL"/>
        </w:rPr>
        <w:t xml:space="preserve"> </w:t>
      </w:r>
      <w:r w:rsidR="00641EF2" w:rsidRPr="001F52A8">
        <w:rPr>
          <w:rFonts w:ascii="Calibri" w:hAnsi="Calibri" w:cs="Calibri"/>
          <w:lang w:bidi="he-IL"/>
        </w:rPr>
        <w:t>T</w:t>
      </w:r>
      <w:r w:rsidR="00DE4E80" w:rsidRPr="001F52A8">
        <w:rPr>
          <w:rFonts w:ascii="Calibri" w:hAnsi="Calibri" w:cs="Calibri"/>
          <w:lang w:bidi="he-IL"/>
        </w:rPr>
        <w:t>raditional critical</w:t>
      </w:r>
      <w:r w:rsidR="00DE4E80" w:rsidRPr="001F52A8">
        <w:rPr>
          <w:lang w:bidi="he-IL"/>
        </w:rPr>
        <w:t xml:space="preserve"> theory sees the </w:t>
      </w:r>
      <w:r w:rsidR="00F13932" w:rsidRPr="001F52A8">
        <w:rPr>
          <w:lang w:bidi="he-IL"/>
        </w:rPr>
        <w:t xml:space="preserve">simultaneously </w:t>
      </w:r>
      <w:r w:rsidR="00DE4E80" w:rsidRPr="001F52A8">
        <w:rPr>
          <w:lang w:bidi="he-IL"/>
        </w:rPr>
        <w:t xml:space="preserve">entertaining </w:t>
      </w:r>
      <w:r w:rsidR="00F13932" w:rsidRPr="001F52A8">
        <w:rPr>
          <w:lang w:bidi="he-IL"/>
        </w:rPr>
        <w:t xml:space="preserve">and frightening </w:t>
      </w:r>
      <w:r w:rsidR="00DE4E80" w:rsidRPr="001F52A8">
        <w:rPr>
          <w:lang w:bidi="he-IL"/>
        </w:rPr>
        <w:t>aspect</w:t>
      </w:r>
      <w:r w:rsidR="00150B9B" w:rsidRPr="001F52A8">
        <w:rPr>
          <w:lang w:bidi="he-IL"/>
        </w:rPr>
        <w:t xml:space="preserve"> to this story as the result of Deuteronomistic redaction, which brings credit to the redactors. </w:t>
      </w:r>
    </w:p>
    <w:p w14:paraId="19F7B9BA" w14:textId="7DA248B2" w:rsidR="000E5A4A" w:rsidRPr="001F52A8" w:rsidRDefault="00AE576D" w:rsidP="000E5A4A">
      <w:pPr>
        <w:rPr>
          <w:lang w:bidi="he-IL"/>
        </w:rPr>
      </w:pPr>
      <w:r w:rsidRPr="001F52A8">
        <w:rPr>
          <w:lang w:bidi="he-IL"/>
        </w:rPr>
        <w:t xml:space="preserve">Yahweh raises a number of questions </w:t>
      </w:r>
      <w:r w:rsidR="00E0691E">
        <w:rPr>
          <w:lang w:bidi="he-IL"/>
        </w:rPr>
        <w:t xml:space="preserve">with David </w:t>
      </w:r>
      <w:r w:rsidRPr="001F52A8">
        <w:rPr>
          <w:lang w:bidi="he-IL"/>
        </w:rPr>
        <w:t xml:space="preserve">about the project. </w:t>
      </w:r>
      <w:r w:rsidR="00AE2D50" w:rsidRPr="001F52A8">
        <w:rPr>
          <w:lang w:bidi="he-IL"/>
        </w:rPr>
        <w:t>First,</w:t>
      </w:r>
      <w:r w:rsidR="004D31EA" w:rsidRPr="001F52A8">
        <w:rPr>
          <w:lang w:bidi="he-IL"/>
        </w:rPr>
        <w:t xml:space="preserve"> “Are </w:t>
      </w:r>
      <w:r w:rsidR="004D31EA" w:rsidRPr="001F52A8">
        <w:rPr>
          <w:i/>
          <w:iCs/>
          <w:lang w:bidi="he-IL"/>
        </w:rPr>
        <w:t>you</w:t>
      </w:r>
      <w:r w:rsidR="004D31EA" w:rsidRPr="001F52A8">
        <w:rPr>
          <w:lang w:bidi="he-IL"/>
        </w:rPr>
        <w:t xml:space="preserve"> the one to build a house</w:t>
      </w:r>
      <w:r w:rsidR="00FD416C" w:rsidRPr="001F52A8">
        <w:rPr>
          <w:lang w:bidi="he-IL"/>
        </w:rPr>
        <w:t xml:space="preserve"> for me</w:t>
      </w:r>
      <w:r w:rsidR="004D31EA" w:rsidRPr="001F52A8">
        <w:rPr>
          <w:lang w:bidi="he-IL"/>
        </w:rPr>
        <w:t xml:space="preserve">, for my living in?” </w:t>
      </w:r>
      <w:r w:rsidR="007A7436" w:rsidRPr="001F52A8">
        <w:rPr>
          <w:lang w:bidi="he-IL"/>
        </w:rPr>
        <w:t xml:space="preserve">(2 Sam 7:5). </w:t>
      </w:r>
      <w:r w:rsidR="005A2AD4" w:rsidRPr="001F52A8">
        <w:rPr>
          <w:lang w:bidi="he-IL"/>
        </w:rPr>
        <w:t>Although t</w:t>
      </w:r>
      <w:r w:rsidR="00820383" w:rsidRPr="001F52A8">
        <w:rPr>
          <w:lang w:bidi="he-IL"/>
        </w:rPr>
        <w:t xml:space="preserve">he </w:t>
      </w:r>
      <w:r w:rsidR="004467C8" w:rsidRPr="001F52A8">
        <w:rPr>
          <w:lang w:bidi="he-IL"/>
        </w:rPr>
        <w:t>narrative</w:t>
      </w:r>
      <w:r w:rsidR="00820383" w:rsidRPr="001F52A8">
        <w:rPr>
          <w:lang w:bidi="he-IL"/>
        </w:rPr>
        <w:t xml:space="preserve"> </w:t>
      </w:r>
      <w:r w:rsidR="004467C8" w:rsidRPr="001F52A8">
        <w:rPr>
          <w:lang w:bidi="he-IL"/>
        </w:rPr>
        <w:t xml:space="preserve">does not </w:t>
      </w:r>
      <w:r w:rsidR="00E0691E">
        <w:rPr>
          <w:lang w:bidi="he-IL"/>
        </w:rPr>
        <w:t xml:space="preserve">wholly </w:t>
      </w:r>
      <w:r w:rsidR="004467C8" w:rsidRPr="001F52A8">
        <w:rPr>
          <w:lang w:bidi="he-IL"/>
        </w:rPr>
        <w:t>follow a chronological order</w:t>
      </w:r>
      <w:r w:rsidR="000E489C" w:rsidRPr="001F52A8">
        <w:rPr>
          <w:lang w:bidi="he-IL"/>
        </w:rPr>
        <w:t>, even on its order</w:t>
      </w:r>
      <w:r w:rsidR="000E5843" w:rsidRPr="001F52A8">
        <w:rPr>
          <w:lang w:bidi="he-IL"/>
        </w:rPr>
        <w:t xml:space="preserve"> </w:t>
      </w:r>
      <w:r w:rsidR="000E489C" w:rsidRPr="001F52A8">
        <w:rPr>
          <w:lang w:bidi="he-IL"/>
        </w:rPr>
        <w:t xml:space="preserve">there are battles ahead </w:t>
      </w:r>
      <w:r w:rsidR="00902BF1" w:rsidRPr="001F52A8">
        <w:rPr>
          <w:lang w:bidi="he-IL"/>
        </w:rPr>
        <w:t>(</w:t>
      </w:r>
      <w:r w:rsidR="00901683" w:rsidRPr="001F52A8">
        <w:rPr>
          <w:lang w:bidi="he-IL"/>
        </w:rPr>
        <w:t xml:space="preserve">8:1-14; </w:t>
      </w:r>
      <w:r w:rsidR="00902BF1" w:rsidRPr="001F52A8">
        <w:rPr>
          <w:lang w:bidi="he-IL"/>
        </w:rPr>
        <w:t>10:1 – 12:31) as well as beh</w:t>
      </w:r>
      <w:r w:rsidR="00494807" w:rsidRPr="001F52A8">
        <w:rPr>
          <w:lang w:bidi="he-IL"/>
        </w:rPr>
        <w:t>ind (5:17-25)</w:t>
      </w:r>
      <w:r w:rsidR="00465F05" w:rsidRPr="001F52A8">
        <w:rPr>
          <w:lang w:bidi="he-IL"/>
        </w:rPr>
        <w:t>.</w:t>
      </w:r>
      <w:r w:rsidR="00801988" w:rsidRPr="001F52A8">
        <w:rPr>
          <w:rStyle w:val="FootnoteReference"/>
          <w:lang w:bidi="he-IL"/>
        </w:rPr>
        <w:footnoteReference w:id="365"/>
      </w:r>
      <w:r w:rsidR="00801988" w:rsidRPr="001F52A8">
        <w:rPr>
          <w:lang w:bidi="he-IL"/>
        </w:rPr>
        <w:t xml:space="preserve"> </w:t>
      </w:r>
      <w:r w:rsidR="00465F05" w:rsidRPr="001F52A8">
        <w:rPr>
          <w:lang w:bidi="he-IL"/>
        </w:rPr>
        <w:t>T</w:t>
      </w:r>
      <w:r w:rsidR="00765E9E" w:rsidRPr="001F52A8">
        <w:rPr>
          <w:lang w:bidi="he-IL"/>
        </w:rPr>
        <w:t xml:space="preserve">he Chronicles theory that David </w:t>
      </w:r>
      <w:r w:rsidR="00974BA4" w:rsidRPr="001F52A8">
        <w:rPr>
          <w:lang w:bidi="he-IL"/>
        </w:rPr>
        <w:t>cannot build the temple because he</w:t>
      </w:r>
      <w:r w:rsidR="00E0691E">
        <w:rPr>
          <w:lang w:bidi="he-IL"/>
        </w:rPr>
        <w:t>’</w:t>
      </w:r>
      <w:r w:rsidR="00974BA4" w:rsidRPr="001F52A8">
        <w:rPr>
          <w:lang w:bidi="he-IL"/>
        </w:rPr>
        <w:t xml:space="preserve">s too busy </w:t>
      </w:r>
      <w:r w:rsidR="004254C5" w:rsidRPr="001F52A8">
        <w:rPr>
          <w:lang w:bidi="he-IL"/>
        </w:rPr>
        <w:t xml:space="preserve">shedding his enemies’ blood (1 Chr 22:8; </w:t>
      </w:r>
      <w:r w:rsidR="003B7F5E" w:rsidRPr="001F52A8">
        <w:rPr>
          <w:lang w:bidi="he-IL"/>
        </w:rPr>
        <w:t>28:3)</w:t>
      </w:r>
      <w:r w:rsidR="00BA081A" w:rsidRPr="001F52A8">
        <w:rPr>
          <w:lang w:bidi="he-IL"/>
        </w:rPr>
        <w:t xml:space="preserve"> is</w:t>
      </w:r>
      <w:r w:rsidR="003B7F5E" w:rsidRPr="001F52A8">
        <w:rPr>
          <w:lang w:bidi="he-IL"/>
        </w:rPr>
        <w:t xml:space="preserve"> not far wrong</w:t>
      </w:r>
      <w:r w:rsidR="004D31EA" w:rsidRPr="001F52A8">
        <w:rPr>
          <w:lang w:bidi="he-IL"/>
        </w:rPr>
        <w:t>.</w:t>
      </w:r>
      <w:r w:rsidR="004D31EA" w:rsidRPr="001F52A8">
        <w:rPr>
          <w:rStyle w:val="FootnoteReference"/>
          <w:lang w:bidi="he-IL"/>
        </w:rPr>
        <w:footnoteReference w:id="366"/>
      </w:r>
      <w:r w:rsidR="009D74AC" w:rsidRPr="001F52A8">
        <w:rPr>
          <w:lang w:bidi="he-IL"/>
        </w:rPr>
        <w:t xml:space="preserve"> </w:t>
      </w:r>
      <w:r w:rsidR="00EB13BF" w:rsidRPr="001F52A8">
        <w:rPr>
          <w:lang w:bidi="he-IL"/>
        </w:rPr>
        <w:t>Yahweh will give David relief</w:t>
      </w:r>
      <w:r w:rsidR="004B63E8" w:rsidRPr="001F52A8">
        <w:rPr>
          <w:lang w:bidi="he-IL"/>
        </w:rPr>
        <w:t xml:space="preserve">, but the </w:t>
      </w:r>
      <w:r w:rsidR="00E0691E">
        <w:rPr>
          <w:lang w:bidi="he-IL"/>
        </w:rPr>
        <w:t xml:space="preserve">time </w:t>
      </w:r>
      <w:r w:rsidR="004B63E8" w:rsidRPr="001F52A8">
        <w:rPr>
          <w:lang w:bidi="he-IL"/>
        </w:rPr>
        <w:t>has not yet come (2 Sam 7:11)</w:t>
      </w:r>
      <w:r w:rsidR="00465F05" w:rsidRPr="001F52A8">
        <w:rPr>
          <w:lang w:bidi="he-IL"/>
        </w:rPr>
        <w:t xml:space="preserve">. </w:t>
      </w:r>
      <w:r w:rsidR="00E0691E">
        <w:rPr>
          <w:lang w:bidi="he-IL"/>
        </w:rPr>
        <w:t xml:space="preserve">It is </w:t>
      </w:r>
      <w:r w:rsidR="000E5A4A" w:rsidRPr="001F52A8">
        <w:rPr>
          <w:lang w:bidi="he-IL"/>
        </w:rPr>
        <w:t xml:space="preserve">David’s son </w:t>
      </w:r>
      <w:r w:rsidR="00E0691E">
        <w:rPr>
          <w:lang w:bidi="he-IL"/>
        </w:rPr>
        <w:t xml:space="preserve">who </w:t>
      </w:r>
      <w:r w:rsidR="000E5A4A" w:rsidRPr="001F52A8">
        <w:rPr>
          <w:lang w:bidi="he-IL"/>
        </w:rPr>
        <w:t xml:space="preserve">will build </w:t>
      </w:r>
      <w:r w:rsidR="000E5843" w:rsidRPr="001F52A8">
        <w:rPr>
          <w:lang w:bidi="he-IL"/>
        </w:rPr>
        <w:t>the</w:t>
      </w:r>
      <w:r w:rsidR="000E5A4A" w:rsidRPr="001F52A8">
        <w:rPr>
          <w:lang w:bidi="he-IL"/>
        </w:rPr>
        <w:t xml:space="preserve"> house “for my name” (7:13</w:t>
      </w:r>
      <w:r w:rsidR="00E0691E">
        <w:rPr>
          <w:lang w:bidi="he-IL"/>
        </w:rPr>
        <w:t>;</w:t>
      </w:r>
      <w:r w:rsidR="00E0691E" w:rsidRPr="00E0691E">
        <w:rPr>
          <w:lang w:bidi="he-IL"/>
        </w:rPr>
        <w:t xml:space="preserve"> </w:t>
      </w:r>
      <w:r w:rsidR="00E0691E" w:rsidRPr="001F52A8">
        <w:rPr>
          <w:lang w:bidi="he-IL"/>
        </w:rPr>
        <w:t>cf. 1 Kgs 5:3-5 [17-19]).</w:t>
      </w:r>
      <w:r w:rsidR="000E5A4A" w:rsidRPr="001F52A8">
        <w:rPr>
          <w:lang w:bidi="he-IL"/>
        </w:rPr>
        <w:t xml:space="preserve"> That expression recur</w:t>
      </w:r>
      <w:r w:rsidR="00E0691E">
        <w:rPr>
          <w:lang w:bidi="he-IL"/>
        </w:rPr>
        <w:t>s</w:t>
      </w:r>
      <w:r w:rsidR="000E5A4A" w:rsidRPr="001F52A8">
        <w:rPr>
          <w:lang w:bidi="he-IL"/>
        </w:rPr>
        <w:t xml:space="preserve"> </w:t>
      </w:r>
      <w:r w:rsidR="004B3ABE" w:rsidRPr="001F52A8">
        <w:rPr>
          <w:lang w:bidi="he-IL"/>
        </w:rPr>
        <w:t xml:space="preserve">in the account of the </w:t>
      </w:r>
      <w:r w:rsidR="00FD4A93" w:rsidRPr="001F52A8">
        <w:rPr>
          <w:lang w:bidi="he-IL"/>
        </w:rPr>
        <w:t xml:space="preserve">temple dedication in </w:t>
      </w:r>
      <w:r w:rsidR="000E5A4A" w:rsidRPr="001F52A8">
        <w:rPr>
          <w:lang w:bidi="he-IL"/>
        </w:rPr>
        <w:t xml:space="preserve">1 Kings </w:t>
      </w:r>
      <w:r w:rsidR="00C27458" w:rsidRPr="001F52A8">
        <w:rPr>
          <w:lang w:bidi="he-IL"/>
        </w:rPr>
        <w:t>8</w:t>
      </w:r>
      <w:r w:rsidR="004B3ABE" w:rsidRPr="001F52A8">
        <w:rPr>
          <w:lang w:bidi="he-IL"/>
        </w:rPr>
        <w:t xml:space="preserve"> – 9</w:t>
      </w:r>
      <w:r w:rsidR="00C27458" w:rsidRPr="001F52A8">
        <w:rPr>
          <w:lang w:bidi="he-IL"/>
        </w:rPr>
        <w:t xml:space="preserve">, where it </w:t>
      </w:r>
      <w:r w:rsidR="00A25D52" w:rsidRPr="001F52A8">
        <w:rPr>
          <w:lang w:bidi="he-IL"/>
        </w:rPr>
        <w:t>picks up from Deuteron</w:t>
      </w:r>
      <w:r w:rsidR="002047F4" w:rsidRPr="001F52A8">
        <w:rPr>
          <w:lang w:bidi="he-IL"/>
        </w:rPr>
        <w:t>omy 12</w:t>
      </w:r>
      <w:r w:rsidR="0053066C" w:rsidRPr="001F52A8">
        <w:rPr>
          <w:lang w:bidi="he-IL"/>
        </w:rPr>
        <w:t xml:space="preserve"> – 16</w:t>
      </w:r>
      <w:r w:rsidR="001C4BDF">
        <w:rPr>
          <w:lang w:bidi="he-IL"/>
        </w:rPr>
        <w:t>. I</w:t>
      </w:r>
      <w:r w:rsidR="00AB57FB" w:rsidRPr="001F52A8">
        <w:rPr>
          <w:lang w:bidi="he-IL"/>
        </w:rPr>
        <w:t>t does not otherwise come in Samuel</w:t>
      </w:r>
      <w:r w:rsidR="001C4BDF">
        <w:rPr>
          <w:lang w:bidi="he-IL"/>
        </w:rPr>
        <w:t xml:space="preserve">, and even here the </w:t>
      </w:r>
      <w:r w:rsidR="00CF378C">
        <w:rPr>
          <w:lang w:bidi="he-IL"/>
        </w:rPr>
        <w:t>idea of the name “dwelling” does not feature</w:t>
      </w:r>
      <w:r w:rsidR="00AB57FB" w:rsidRPr="001F52A8">
        <w:rPr>
          <w:lang w:bidi="he-IL"/>
        </w:rPr>
        <w:t xml:space="preserve">. </w:t>
      </w:r>
      <w:r w:rsidR="002D23D9">
        <w:rPr>
          <w:lang w:bidi="he-IL"/>
        </w:rPr>
        <w:t xml:space="preserve">The expression is </w:t>
      </w:r>
      <w:r w:rsidR="00E0691E">
        <w:rPr>
          <w:lang w:bidi="he-IL"/>
        </w:rPr>
        <w:t xml:space="preserve">thus </w:t>
      </w:r>
      <w:r w:rsidR="002D23D9">
        <w:rPr>
          <w:lang w:bidi="he-IL"/>
        </w:rPr>
        <w:t xml:space="preserve">not </w:t>
      </w:r>
      <w:r w:rsidR="008926AA">
        <w:rPr>
          <w:lang w:bidi="he-IL"/>
        </w:rPr>
        <w:t xml:space="preserve">as technical as it is elsewhere. </w:t>
      </w:r>
      <w:r w:rsidR="00753E59" w:rsidRPr="001F52A8">
        <w:rPr>
          <w:lang w:bidi="he-IL"/>
        </w:rPr>
        <w:t xml:space="preserve">It </w:t>
      </w:r>
      <w:r w:rsidR="00583C98" w:rsidRPr="001F52A8">
        <w:rPr>
          <w:lang w:bidi="he-IL"/>
        </w:rPr>
        <w:t xml:space="preserve">is one of a number of </w:t>
      </w:r>
      <w:r w:rsidR="009F4D7F" w:rsidRPr="001F52A8">
        <w:rPr>
          <w:lang w:bidi="he-IL"/>
        </w:rPr>
        <w:t xml:space="preserve">images by which one may </w:t>
      </w:r>
      <w:r w:rsidR="00583C98" w:rsidRPr="001F52A8">
        <w:rPr>
          <w:lang w:bidi="he-IL"/>
        </w:rPr>
        <w:t>speak of God’s presence</w:t>
      </w:r>
      <w:r w:rsidR="000E6DC5" w:rsidRPr="001F52A8">
        <w:rPr>
          <w:lang w:bidi="he-IL"/>
        </w:rPr>
        <w:t xml:space="preserve">. </w:t>
      </w:r>
      <w:r w:rsidR="00E0691E">
        <w:rPr>
          <w:lang w:bidi="he-IL"/>
        </w:rPr>
        <w:t>W</w:t>
      </w:r>
      <w:r w:rsidR="00E5746E" w:rsidRPr="001F52A8">
        <w:rPr>
          <w:lang w:bidi="he-IL"/>
        </w:rPr>
        <w:t xml:space="preserve">hen Christians mutter the name “Jesus,” especially in the “Jesus Prayer,” </w:t>
      </w:r>
      <w:r w:rsidR="007D35BA" w:rsidRPr="001F52A8">
        <w:rPr>
          <w:lang w:bidi="he-IL"/>
        </w:rPr>
        <w:t xml:space="preserve">the uttering of the name conveys a sense of the presence. In Israel, </w:t>
      </w:r>
      <w:r w:rsidR="000C50E4" w:rsidRPr="001F52A8">
        <w:rPr>
          <w:lang w:bidi="he-IL"/>
        </w:rPr>
        <w:t xml:space="preserve">the uttering of Yahweh’s name in the sanctuary </w:t>
      </w:r>
      <w:r w:rsidR="003A775D" w:rsidRPr="001F52A8">
        <w:rPr>
          <w:lang w:bidi="he-IL"/>
        </w:rPr>
        <w:t xml:space="preserve">suggests the reality of </w:t>
      </w:r>
      <w:r w:rsidR="007D35BA" w:rsidRPr="001F52A8">
        <w:rPr>
          <w:lang w:bidi="he-IL"/>
        </w:rPr>
        <w:t xml:space="preserve">Yahweh’s </w:t>
      </w:r>
      <w:r w:rsidR="003A775D" w:rsidRPr="001F52A8">
        <w:rPr>
          <w:lang w:bidi="he-IL"/>
        </w:rPr>
        <w:t>presence there</w:t>
      </w:r>
      <w:r w:rsidR="005923CC" w:rsidRPr="001F52A8">
        <w:rPr>
          <w:lang w:bidi="he-IL"/>
        </w:rPr>
        <w:t>; even when there is no one there, the name is there</w:t>
      </w:r>
      <w:r w:rsidR="00431B20" w:rsidRPr="001F52A8">
        <w:rPr>
          <w:lang w:bidi="he-IL"/>
        </w:rPr>
        <w:t>, and Yahweh is there.</w:t>
      </w:r>
      <w:r w:rsidR="000E6DC5" w:rsidRPr="001F52A8">
        <w:rPr>
          <w:lang w:bidi="he-IL"/>
        </w:rPr>
        <w:t xml:space="preserve"> </w:t>
      </w:r>
      <w:r w:rsidR="0010408C">
        <w:rPr>
          <w:lang w:bidi="he-IL"/>
        </w:rPr>
        <w:t>S</w:t>
      </w:r>
      <w:r w:rsidR="000E6DC5" w:rsidRPr="001F52A8">
        <w:rPr>
          <w:lang w:bidi="he-IL"/>
        </w:rPr>
        <w:t xml:space="preserve">peaking in terms of the name </w:t>
      </w:r>
      <w:r w:rsidR="000E6DC5" w:rsidRPr="001F52A8">
        <w:rPr>
          <w:lang w:bidi="he-IL"/>
        </w:rPr>
        <w:lastRenderedPageBreak/>
        <w:t xml:space="preserve">being present affirms the reality of that presence but takes account of </w:t>
      </w:r>
      <w:r w:rsidR="0010408C">
        <w:rPr>
          <w:lang w:bidi="he-IL"/>
        </w:rPr>
        <w:t>w</w:t>
      </w:r>
      <w:r w:rsidR="000E6DC5" w:rsidRPr="001F52A8">
        <w:rPr>
          <w:lang w:bidi="he-IL"/>
        </w:rPr>
        <w:t>hat 2 Samuel 6 has recognized: the actual presence of God could be so electric or so nuclear that no one could survive it.</w:t>
      </w:r>
    </w:p>
    <w:p w14:paraId="11F36B74" w14:textId="100E6E6B" w:rsidR="002213F6" w:rsidRPr="001F52A8" w:rsidRDefault="007A7436" w:rsidP="0012638E">
      <w:pPr>
        <w:rPr>
          <w:lang w:bidi="he-IL"/>
        </w:rPr>
      </w:pPr>
      <w:r w:rsidRPr="001F52A8">
        <w:rPr>
          <w:lang w:bidi="he-IL"/>
        </w:rPr>
        <w:t xml:space="preserve">Second, </w:t>
      </w:r>
      <w:r w:rsidR="00B422B2" w:rsidRPr="001F52A8">
        <w:rPr>
          <w:lang w:bidi="he-IL"/>
        </w:rPr>
        <w:t xml:space="preserve">regarding </w:t>
      </w:r>
      <w:r w:rsidR="00FD416C" w:rsidRPr="001F52A8">
        <w:rPr>
          <w:lang w:bidi="he-IL"/>
        </w:rPr>
        <w:t>“a</w:t>
      </w:r>
      <w:r w:rsidR="00B422B2" w:rsidRPr="001F52A8">
        <w:rPr>
          <w:lang w:bidi="he-IL"/>
        </w:rPr>
        <w:t xml:space="preserve"> house </w:t>
      </w:r>
      <w:r w:rsidR="00FD416C" w:rsidRPr="001F52A8">
        <w:rPr>
          <w:lang w:bidi="he-IL"/>
        </w:rPr>
        <w:t>for me, for</w:t>
      </w:r>
      <w:r w:rsidR="00941D83" w:rsidRPr="001F52A8">
        <w:rPr>
          <w:lang w:bidi="he-IL"/>
        </w:rPr>
        <w:t xml:space="preserve"> my living in</w:t>
      </w:r>
      <w:r w:rsidR="00885A4A" w:rsidRPr="001F52A8">
        <w:rPr>
          <w:lang w:bidi="he-IL"/>
        </w:rPr>
        <w:t>,” Yahweh adds</w:t>
      </w:r>
      <w:r w:rsidR="00941D83" w:rsidRPr="001F52A8">
        <w:rPr>
          <w:lang w:bidi="he-IL"/>
        </w:rPr>
        <w:t xml:space="preserve">: </w:t>
      </w:r>
      <w:r w:rsidR="00416F5C" w:rsidRPr="001F52A8">
        <w:rPr>
          <w:lang w:bidi="he-IL"/>
        </w:rPr>
        <w:t>“</w:t>
      </w:r>
      <w:r w:rsidR="00941D83" w:rsidRPr="001F52A8">
        <w:rPr>
          <w:lang w:bidi="he-IL"/>
        </w:rPr>
        <w:t xml:space="preserve">I have </w:t>
      </w:r>
      <w:r w:rsidR="00416F5C" w:rsidRPr="001F52A8">
        <w:rPr>
          <w:lang w:bidi="he-IL"/>
        </w:rPr>
        <w:t xml:space="preserve">not </w:t>
      </w:r>
      <w:r w:rsidR="00941D83" w:rsidRPr="001F52A8">
        <w:rPr>
          <w:lang w:bidi="he-IL"/>
        </w:rPr>
        <w:t>lived</w:t>
      </w:r>
      <w:r w:rsidR="00416F5C" w:rsidRPr="001F52A8">
        <w:rPr>
          <w:lang w:bidi="he-IL"/>
        </w:rPr>
        <w:t xml:space="preserve"> in a house f</w:t>
      </w:r>
      <w:r w:rsidR="00C65485" w:rsidRPr="001F52A8">
        <w:rPr>
          <w:lang w:bidi="he-IL"/>
        </w:rPr>
        <w:t>ro</w:t>
      </w:r>
      <w:r w:rsidR="00416F5C" w:rsidRPr="001F52A8">
        <w:rPr>
          <w:lang w:bidi="he-IL"/>
        </w:rPr>
        <w:t xml:space="preserve">m the day </w:t>
      </w:r>
      <w:r w:rsidR="00974C16" w:rsidRPr="001F52A8">
        <w:rPr>
          <w:lang w:bidi="he-IL"/>
        </w:rPr>
        <w:t>I brought the Israelites up from Egypt until this day</w:t>
      </w:r>
      <w:r w:rsidR="00F77357" w:rsidRPr="001F52A8">
        <w:rPr>
          <w:lang w:bidi="he-IL"/>
        </w:rPr>
        <w:t xml:space="preserve">. I have been going about </w:t>
      </w:r>
      <w:r w:rsidR="007F1C09" w:rsidRPr="001F52A8">
        <w:rPr>
          <w:lang w:bidi="he-IL"/>
        </w:rPr>
        <w:t xml:space="preserve">in a tent- dwelling. </w:t>
      </w:r>
      <w:r w:rsidR="001543D1" w:rsidRPr="001F52A8">
        <w:rPr>
          <w:lang w:bidi="he-IL"/>
        </w:rPr>
        <w:t>Whenever I w</w:t>
      </w:r>
      <w:r w:rsidR="000E6DC5" w:rsidRPr="001F52A8">
        <w:rPr>
          <w:lang w:bidi="he-IL"/>
        </w:rPr>
        <w:t>e</w:t>
      </w:r>
      <w:r w:rsidR="001543D1" w:rsidRPr="001F52A8">
        <w:rPr>
          <w:lang w:bidi="he-IL"/>
        </w:rPr>
        <w:t xml:space="preserve">nt about </w:t>
      </w:r>
      <w:r w:rsidR="00BF77AB" w:rsidRPr="001F52A8">
        <w:rPr>
          <w:lang w:bidi="he-IL"/>
        </w:rPr>
        <w:t xml:space="preserve">among all the Israelites, did </w:t>
      </w:r>
      <w:r w:rsidR="0010408C">
        <w:rPr>
          <w:lang w:bidi="he-IL"/>
        </w:rPr>
        <w:t xml:space="preserve">I </w:t>
      </w:r>
      <w:r w:rsidR="00BF77AB" w:rsidRPr="001F52A8">
        <w:rPr>
          <w:lang w:bidi="he-IL"/>
        </w:rPr>
        <w:t xml:space="preserve">speak a </w:t>
      </w:r>
      <w:r w:rsidR="00957C92" w:rsidRPr="001F52A8">
        <w:rPr>
          <w:lang w:bidi="he-IL"/>
        </w:rPr>
        <w:t>word with one of the c</w:t>
      </w:r>
      <w:r w:rsidR="008363E9" w:rsidRPr="001F52A8">
        <w:rPr>
          <w:lang w:bidi="he-IL"/>
        </w:rPr>
        <w:t>hiefs</w:t>
      </w:r>
      <w:r w:rsidR="008A295C" w:rsidRPr="001F52A8">
        <w:rPr>
          <w:lang w:bidi="he-IL"/>
        </w:rPr>
        <w:t xml:space="preserve"> . . ., saying ‘Why have you not </w:t>
      </w:r>
      <w:r w:rsidR="005C5F22" w:rsidRPr="001F52A8">
        <w:rPr>
          <w:lang w:bidi="he-IL"/>
        </w:rPr>
        <w:t xml:space="preserve">built me a house of cedar?’” (7:6-7). </w:t>
      </w:r>
      <w:r w:rsidR="00C45D04" w:rsidRPr="001F52A8">
        <w:rPr>
          <w:lang w:bidi="he-IL"/>
        </w:rPr>
        <w:t>Whatever the precise nature of the house at Shiloh, again the assumption is that i</w:t>
      </w:r>
      <w:r w:rsidR="009759E5" w:rsidRPr="001F52A8">
        <w:rPr>
          <w:lang w:bidi="he-IL"/>
        </w:rPr>
        <w:t xml:space="preserve">t was more like a Bedouin tent than </w:t>
      </w:r>
      <w:r w:rsidR="002650D0" w:rsidRPr="001F52A8">
        <w:rPr>
          <w:lang w:bidi="he-IL"/>
        </w:rPr>
        <w:t xml:space="preserve">a proper building. And the narrative in </w:t>
      </w:r>
      <w:r w:rsidR="006E4237" w:rsidRPr="001F52A8">
        <w:rPr>
          <w:lang w:bidi="he-IL"/>
        </w:rPr>
        <w:t xml:space="preserve">Joshua through Samuel has implied that the meeting tent has </w:t>
      </w:r>
      <w:r w:rsidR="0010408C">
        <w:rPr>
          <w:lang w:bidi="he-IL"/>
        </w:rPr>
        <w:t>been</w:t>
      </w:r>
      <w:r w:rsidR="006E4237" w:rsidRPr="001F52A8">
        <w:rPr>
          <w:lang w:bidi="he-IL"/>
        </w:rPr>
        <w:t xml:space="preserve"> at several places</w:t>
      </w:r>
      <w:r w:rsidR="001A02EC" w:rsidRPr="001F52A8">
        <w:rPr>
          <w:lang w:bidi="he-IL"/>
        </w:rPr>
        <w:t>, in continuity with its being on the move during the Israelites</w:t>
      </w:r>
      <w:r w:rsidR="000E6DC5" w:rsidRPr="001F52A8">
        <w:rPr>
          <w:lang w:bidi="he-IL"/>
        </w:rPr>
        <w:t>’</w:t>
      </w:r>
      <w:r w:rsidR="001A02EC" w:rsidRPr="001F52A8">
        <w:rPr>
          <w:lang w:bidi="he-IL"/>
        </w:rPr>
        <w:t xml:space="preserve"> </w:t>
      </w:r>
      <w:r w:rsidR="0010408C">
        <w:rPr>
          <w:lang w:bidi="he-IL"/>
        </w:rPr>
        <w:t>journey</w:t>
      </w:r>
      <w:r w:rsidR="001A02EC" w:rsidRPr="001F52A8">
        <w:rPr>
          <w:lang w:bidi="he-IL"/>
        </w:rPr>
        <w:t xml:space="preserve"> before their arrival in Canaan.</w:t>
      </w:r>
      <w:r w:rsidR="00434AFC" w:rsidRPr="001F52A8">
        <w:rPr>
          <w:lang w:bidi="he-IL"/>
        </w:rPr>
        <w:t xml:space="preserve"> </w:t>
      </w:r>
      <w:r w:rsidR="000E6DC5" w:rsidRPr="001F52A8">
        <w:rPr>
          <w:lang w:bidi="he-IL"/>
        </w:rPr>
        <w:t xml:space="preserve">Yahweh has liked it that way. </w:t>
      </w:r>
      <w:r w:rsidR="00434AFC" w:rsidRPr="001F52A8">
        <w:rPr>
          <w:lang w:bidi="he-IL"/>
        </w:rPr>
        <w:t xml:space="preserve">This objection by Yahweh </w:t>
      </w:r>
      <w:r w:rsidR="0010408C">
        <w:rPr>
          <w:lang w:bidi="he-IL"/>
        </w:rPr>
        <w:t>has</w:t>
      </w:r>
      <w:r w:rsidR="00434AFC" w:rsidRPr="001F52A8">
        <w:rPr>
          <w:lang w:bidi="he-IL"/>
        </w:rPr>
        <w:t xml:space="preserve"> far-reaching implications. It hints that the temptation of the people of God is to want to get God to settle down</w:t>
      </w:r>
      <w:r w:rsidR="002213F6" w:rsidRPr="001F52A8">
        <w:rPr>
          <w:lang w:bidi="he-IL"/>
        </w:rPr>
        <w:t xml:space="preserve">, whereas he always wants to be on the </w:t>
      </w:r>
      <w:r w:rsidR="00986509" w:rsidRPr="001F52A8">
        <w:rPr>
          <w:lang w:bidi="he-IL"/>
        </w:rPr>
        <w:t>m</w:t>
      </w:r>
      <w:r w:rsidR="002213F6" w:rsidRPr="001F52A8">
        <w:rPr>
          <w:lang w:bidi="he-IL"/>
        </w:rPr>
        <w:t>ove.</w:t>
      </w:r>
      <w:r w:rsidR="0012638E" w:rsidRPr="001F52A8">
        <w:rPr>
          <w:lang w:bidi="he-IL"/>
        </w:rPr>
        <w:t xml:space="preserve"> </w:t>
      </w:r>
      <w:r w:rsidR="002213F6" w:rsidRPr="001F52A8">
        <w:rPr>
          <w:lang w:bidi="he-IL"/>
        </w:rPr>
        <w:t xml:space="preserve">It coheres with </w:t>
      </w:r>
      <w:r w:rsidR="00986509" w:rsidRPr="001F52A8">
        <w:rPr>
          <w:lang w:bidi="he-IL"/>
        </w:rPr>
        <w:t>the First Testament narrative</w:t>
      </w:r>
      <w:r w:rsidR="0010408C">
        <w:rPr>
          <w:lang w:bidi="he-IL"/>
        </w:rPr>
        <w:t>’s</w:t>
      </w:r>
      <w:r w:rsidR="00986509" w:rsidRPr="001F52A8">
        <w:rPr>
          <w:lang w:bidi="he-IL"/>
        </w:rPr>
        <w:t xml:space="preserve"> </w:t>
      </w:r>
      <w:r w:rsidR="005471A2" w:rsidRPr="001F52A8">
        <w:rPr>
          <w:lang w:bidi="he-IL"/>
        </w:rPr>
        <w:t>portray</w:t>
      </w:r>
      <w:r w:rsidR="0010408C">
        <w:rPr>
          <w:lang w:bidi="he-IL"/>
        </w:rPr>
        <w:t>al of</w:t>
      </w:r>
      <w:r w:rsidR="00986509" w:rsidRPr="001F52A8">
        <w:rPr>
          <w:lang w:bidi="he-IL"/>
        </w:rPr>
        <w:t xml:space="preserve"> the tent sanctuary </w:t>
      </w:r>
      <w:r w:rsidR="005471A2" w:rsidRPr="001F52A8">
        <w:rPr>
          <w:lang w:bidi="he-IL"/>
        </w:rPr>
        <w:t>as preceding the</w:t>
      </w:r>
      <w:r w:rsidR="0012638E" w:rsidRPr="001F52A8">
        <w:rPr>
          <w:lang w:bidi="he-IL"/>
        </w:rPr>
        <w:t xml:space="preserve"> building of the </w:t>
      </w:r>
      <w:r w:rsidR="005471A2" w:rsidRPr="001F52A8">
        <w:rPr>
          <w:lang w:bidi="he-IL"/>
        </w:rPr>
        <w:t>temple</w:t>
      </w:r>
      <w:r w:rsidR="0012638E" w:rsidRPr="001F52A8">
        <w:rPr>
          <w:lang w:bidi="he-IL"/>
        </w:rPr>
        <w:t xml:space="preserve">. </w:t>
      </w:r>
      <w:r w:rsidR="0010408C">
        <w:rPr>
          <w:lang w:bidi="he-IL"/>
        </w:rPr>
        <w:t>T</w:t>
      </w:r>
      <w:r w:rsidR="0012638E" w:rsidRPr="001F52A8">
        <w:rPr>
          <w:lang w:bidi="he-IL"/>
        </w:rPr>
        <w:t>emple, like kingship, is a</w:t>
      </w:r>
      <w:r w:rsidR="00C50A46" w:rsidRPr="001F52A8">
        <w:rPr>
          <w:lang w:bidi="he-IL"/>
        </w:rPr>
        <w:t xml:space="preserve">n institution that Yahweh </w:t>
      </w:r>
      <w:r w:rsidR="00E0691E">
        <w:rPr>
          <w:lang w:bidi="he-IL"/>
        </w:rPr>
        <w:t xml:space="preserve">now </w:t>
      </w:r>
      <w:r w:rsidR="00C50A46" w:rsidRPr="001F52A8">
        <w:rPr>
          <w:lang w:bidi="he-IL"/>
        </w:rPr>
        <w:t xml:space="preserve">allows to Israel, but </w:t>
      </w:r>
      <w:r w:rsidR="000E6DC5" w:rsidRPr="001F52A8">
        <w:rPr>
          <w:lang w:bidi="he-IL"/>
        </w:rPr>
        <w:t xml:space="preserve">it is </w:t>
      </w:r>
      <w:r w:rsidR="00C50A46" w:rsidRPr="001F52A8">
        <w:rPr>
          <w:lang w:bidi="he-IL"/>
        </w:rPr>
        <w:t xml:space="preserve">not his preference. </w:t>
      </w:r>
      <w:r w:rsidR="00BF62B5" w:rsidRPr="001F52A8">
        <w:rPr>
          <w:lang w:bidi="he-IL"/>
        </w:rPr>
        <w:t xml:space="preserve">When the church subsequently </w:t>
      </w:r>
      <w:r w:rsidR="004C7C9D" w:rsidRPr="001F52A8">
        <w:rPr>
          <w:lang w:bidi="he-IL"/>
        </w:rPr>
        <w:t xml:space="preserve">turns the word “church” into a word for a building and builds “sanctuaries,” </w:t>
      </w:r>
      <w:r w:rsidR="00AF7A69" w:rsidRPr="001F52A8">
        <w:rPr>
          <w:lang w:bidi="he-IL"/>
        </w:rPr>
        <w:t>the pattern continues.</w:t>
      </w:r>
    </w:p>
    <w:p w14:paraId="548EBF77" w14:textId="288C2B14" w:rsidR="000F08F3" w:rsidRDefault="00AF7A69" w:rsidP="00127453">
      <w:pPr>
        <w:rPr>
          <w:lang w:bidi="he-IL"/>
        </w:rPr>
      </w:pPr>
      <w:r w:rsidRPr="001F52A8">
        <w:rPr>
          <w:lang w:bidi="he-IL"/>
        </w:rPr>
        <w:t>Third</w:t>
      </w:r>
      <w:r w:rsidR="00A33962" w:rsidRPr="001F52A8">
        <w:rPr>
          <w:lang w:bidi="he-IL"/>
        </w:rPr>
        <w:t xml:space="preserve">, </w:t>
      </w:r>
      <w:r w:rsidR="00CC6015" w:rsidRPr="001F52A8">
        <w:rPr>
          <w:lang w:bidi="he-IL"/>
        </w:rPr>
        <w:t>Yahweh says, whereas you have spoke</w:t>
      </w:r>
      <w:r w:rsidR="000E6DC5" w:rsidRPr="001F52A8">
        <w:rPr>
          <w:lang w:bidi="he-IL"/>
        </w:rPr>
        <w:t>n</w:t>
      </w:r>
      <w:r w:rsidR="00CC6015" w:rsidRPr="001F52A8">
        <w:rPr>
          <w:lang w:bidi="he-IL"/>
        </w:rPr>
        <w:t xml:space="preserve"> about building me a house, </w:t>
      </w:r>
      <w:r w:rsidR="001966C8" w:rsidRPr="001F52A8">
        <w:rPr>
          <w:lang w:bidi="he-IL"/>
        </w:rPr>
        <w:t>“</w:t>
      </w:r>
      <w:r w:rsidR="006D0A28" w:rsidRPr="001F52A8">
        <w:rPr>
          <w:lang w:bidi="he-IL"/>
        </w:rPr>
        <w:t xml:space="preserve">a house is what </w:t>
      </w:r>
      <w:r w:rsidR="00EA4988" w:rsidRPr="001F52A8">
        <w:rPr>
          <w:lang w:bidi="he-IL"/>
        </w:rPr>
        <w:t>Yahweh will make</w:t>
      </w:r>
      <w:r w:rsidR="006D0A28" w:rsidRPr="001F52A8">
        <w:rPr>
          <w:lang w:bidi="he-IL"/>
        </w:rPr>
        <w:t xml:space="preserve"> for</w:t>
      </w:r>
      <w:r w:rsidR="00EA4988" w:rsidRPr="001F52A8">
        <w:rPr>
          <w:lang w:bidi="he-IL"/>
        </w:rPr>
        <w:t xml:space="preserve"> you</w:t>
      </w:r>
      <w:r w:rsidR="00725B44" w:rsidRPr="001F52A8">
        <w:rPr>
          <w:lang w:bidi="he-IL"/>
        </w:rPr>
        <w:t xml:space="preserve">” (7:11). </w:t>
      </w:r>
      <w:r w:rsidR="00301726" w:rsidRPr="001F52A8">
        <w:rPr>
          <w:lang w:bidi="he-IL"/>
        </w:rPr>
        <w:t>I took hold of you</w:t>
      </w:r>
      <w:r w:rsidR="00205806" w:rsidRPr="001F52A8">
        <w:rPr>
          <w:lang w:bidi="he-IL"/>
        </w:rPr>
        <w:t>, I appointed you</w:t>
      </w:r>
      <w:r w:rsidR="00CA6E98" w:rsidRPr="001F52A8">
        <w:rPr>
          <w:lang w:bidi="he-IL"/>
        </w:rPr>
        <w:t xml:space="preserve">, I have been with you wherever you have gone, I intend to </w:t>
      </w:r>
      <w:r w:rsidR="009E7B99" w:rsidRPr="001F52A8">
        <w:rPr>
          <w:lang w:bidi="he-IL"/>
        </w:rPr>
        <w:t>give you a great name</w:t>
      </w:r>
      <w:r w:rsidR="00863D0F" w:rsidRPr="001F52A8">
        <w:rPr>
          <w:lang w:bidi="he-IL"/>
        </w:rPr>
        <w:t>, and i</w:t>
      </w:r>
      <w:r w:rsidR="00996D27" w:rsidRPr="001F52A8">
        <w:rPr>
          <w:lang w:bidi="he-IL"/>
        </w:rPr>
        <w:t>n this relationship I am the one who d</w:t>
      </w:r>
      <w:r w:rsidR="00863D0F" w:rsidRPr="001F52A8">
        <w:rPr>
          <w:lang w:bidi="he-IL"/>
        </w:rPr>
        <w:t>oes the house-making</w:t>
      </w:r>
      <w:r w:rsidR="00CE3773" w:rsidRPr="001F52A8">
        <w:rPr>
          <w:lang w:bidi="he-IL"/>
        </w:rPr>
        <w:t xml:space="preserve"> (7:8-1</w:t>
      </w:r>
      <w:r w:rsidR="00CD6783" w:rsidRPr="001F52A8">
        <w:rPr>
          <w:lang w:bidi="he-IL"/>
        </w:rPr>
        <w:t>1</w:t>
      </w:r>
      <w:r w:rsidR="00CE3773" w:rsidRPr="001F52A8">
        <w:rPr>
          <w:lang w:bidi="he-IL"/>
        </w:rPr>
        <w:t>).</w:t>
      </w:r>
      <w:r w:rsidR="004C5FD3" w:rsidRPr="001F52A8">
        <w:rPr>
          <w:rStyle w:val="FootnoteReference"/>
          <w:lang w:bidi="he-IL"/>
        </w:rPr>
        <w:footnoteReference w:id="367"/>
      </w:r>
      <w:r w:rsidR="00967B08" w:rsidRPr="001F52A8">
        <w:rPr>
          <w:lang w:bidi="he-IL"/>
        </w:rPr>
        <w:t xml:space="preserve"> </w:t>
      </w:r>
      <w:r w:rsidR="00F90982" w:rsidRPr="001F52A8">
        <w:rPr>
          <w:lang w:bidi="he-IL"/>
        </w:rPr>
        <w:t xml:space="preserve">In </w:t>
      </w:r>
      <w:r w:rsidR="00AF199E" w:rsidRPr="001F52A8">
        <w:rPr>
          <w:lang w:bidi="he-IL"/>
        </w:rPr>
        <w:t xml:space="preserve">effect the </w:t>
      </w:r>
      <w:r w:rsidR="003072DA" w:rsidRPr="001F52A8">
        <w:rPr>
          <w:lang w:bidi="he-IL"/>
        </w:rPr>
        <w:t>reminder harks back t</w:t>
      </w:r>
      <w:r w:rsidR="00AF199E" w:rsidRPr="001F52A8">
        <w:rPr>
          <w:lang w:bidi="he-IL"/>
        </w:rPr>
        <w:t>o the process whereby Yahweh took hold of David</w:t>
      </w:r>
      <w:r w:rsidR="00F90982" w:rsidRPr="001F52A8">
        <w:rPr>
          <w:lang w:bidi="he-IL"/>
        </w:rPr>
        <w:t xml:space="preserve"> </w:t>
      </w:r>
      <w:r w:rsidR="007B1E23">
        <w:rPr>
          <w:lang w:bidi="he-IL"/>
        </w:rPr>
        <w:t>long ago</w:t>
      </w:r>
      <w:r w:rsidR="00F90982" w:rsidRPr="001F52A8">
        <w:rPr>
          <w:lang w:bidi="he-IL"/>
        </w:rPr>
        <w:t xml:space="preserve"> (1 Sam 16:1-13).</w:t>
      </w:r>
    </w:p>
    <w:p w14:paraId="3567B95B" w14:textId="673E9BDE" w:rsidR="00C51101" w:rsidRDefault="00C51101">
      <w:pPr>
        <w:spacing w:after="160"/>
        <w:ind w:firstLine="0"/>
        <w:rPr>
          <w:lang w:bidi="he-IL"/>
        </w:rPr>
      </w:pPr>
      <w:r>
        <w:rPr>
          <w:lang w:bidi="he-IL"/>
        </w:rPr>
        <w:br w:type="page"/>
      </w:r>
    </w:p>
    <w:p w14:paraId="7494AAF4" w14:textId="7A466566" w:rsidR="00A42734" w:rsidRPr="001F52A8" w:rsidRDefault="00322897" w:rsidP="00DE39DB">
      <w:pPr>
        <w:pStyle w:val="Heading1"/>
        <w:numPr>
          <w:ilvl w:val="0"/>
          <w:numId w:val="19"/>
        </w:numPr>
      </w:pPr>
      <w:r w:rsidRPr="001F52A8">
        <w:lastRenderedPageBreak/>
        <w:t>Yahweh Who Watches a King</w:t>
      </w:r>
      <w:r w:rsidR="00870276">
        <w:t xml:space="preserve"> (2 Samuel </w:t>
      </w:r>
      <w:r w:rsidR="00110A6E">
        <w:t>11:1 – 24:25</w:t>
      </w:r>
      <w:r w:rsidR="00C92DDC">
        <w:t>)</w:t>
      </w:r>
    </w:p>
    <w:p w14:paraId="5CC0C6A3" w14:textId="1308D2B9" w:rsidR="00886D6C" w:rsidRPr="00166E85" w:rsidRDefault="00C96293" w:rsidP="00166E85">
      <w:pPr>
        <w:autoSpaceDE w:val="0"/>
        <w:autoSpaceDN w:val="0"/>
        <w:adjustRightInd w:val="0"/>
        <w:spacing w:line="240" w:lineRule="auto"/>
        <w:rPr>
          <w:rFonts w:ascii="Calibri" w:eastAsia="TimesNewRomanPSMT" w:hAnsi="Calibri" w:cs="Calibri"/>
        </w:rPr>
      </w:pPr>
      <w:r>
        <w:t>T</w:t>
      </w:r>
      <w:r w:rsidR="00061478" w:rsidRPr="002845B7">
        <w:t xml:space="preserve">he story of </w:t>
      </w:r>
      <w:r w:rsidR="00061478" w:rsidRPr="008A705D">
        <w:rPr>
          <w:rFonts w:ascii="Calibri" w:hAnsi="Calibri" w:cs="Calibri"/>
        </w:rPr>
        <w:t>David</w:t>
      </w:r>
      <w:r>
        <w:rPr>
          <w:rFonts w:ascii="Calibri" w:hAnsi="Calibri" w:cs="Calibri"/>
        </w:rPr>
        <w:t>,</w:t>
      </w:r>
      <w:r w:rsidR="00061478" w:rsidRPr="008A705D">
        <w:rPr>
          <w:rFonts w:ascii="Calibri" w:hAnsi="Calibri" w:cs="Calibri"/>
        </w:rPr>
        <w:t xml:space="preserve"> Bathsheba</w:t>
      </w:r>
      <w:r w:rsidR="000F5A06">
        <w:rPr>
          <w:rFonts w:ascii="Calibri" w:hAnsi="Calibri" w:cs="Calibri"/>
        </w:rPr>
        <w:t>, and Uriah,</w:t>
      </w:r>
      <w:r w:rsidR="00061478" w:rsidRPr="008A705D">
        <w:rPr>
          <w:rFonts w:ascii="Calibri" w:hAnsi="Calibri" w:cs="Calibri"/>
        </w:rPr>
        <w:t xml:space="preserve"> and its immediate aftermath,</w:t>
      </w:r>
      <w:r w:rsidR="002845B7" w:rsidRPr="008A705D">
        <w:rPr>
          <w:rFonts w:ascii="Calibri" w:hAnsi="Calibri" w:cs="Calibri"/>
        </w:rPr>
        <w:t xml:space="preserve"> </w:t>
      </w:r>
      <w:r w:rsidR="00061478" w:rsidRPr="008A705D">
        <w:rPr>
          <w:rFonts w:ascii="Calibri" w:hAnsi="Calibri" w:cs="Calibri"/>
        </w:rPr>
        <w:t xml:space="preserve">are the great turning point </w:t>
      </w:r>
      <w:r w:rsidR="00166E85">
        <w:rPr>
          <w:rFonts w:ascii="Calibri" w:hAnsi="Calibri" w:cs="Calibri"/>
        </w:rPr>
        <w:t xml:space="preserve">in </w:t>
      </w:r>
      <w:r w:rsidR="00061478" w:rsidRPr="008A705D">
        <w:rPr>
          <w:rFonts w:ascii="Calibri" w:hAnsi="Calibri" w:cs="Calibri"/>
        </w:rPr>
        <w:t>David</w:t>
      </w:r>
      <w:r w:rsidR="00166E85">
        <w:rPr>
          <w:rFonts w:ascii="Calibri" w:hAnsi="Calibri" w:cs="Calibri"/>
        </w:rPr>
        <w:t>’s</w:t>
      </w:r>
      <w:r w:rsidR="00061478" w:rsidRPr="008A705D">
        <w:rPr>
          <w:rFonts w:ascii="Calibri" w:hAnsi="Calibri" w:cs="Calibri"/>
        </w:rPr>
        <w:t xml:space="preserve"> story</w:t>
      </w:r>
      <w:r w:rsidR="002845B7" w:rsidRPr="008A705D">
        <w:rPr>
          <w:rFonts w:ascii="Calibri" w:hAnsi="Calibri" w:cs="Calibri"/>
        </w:rPr>
        <w:t>.</w:t>
      </w:r>
      <w:r w:rsidR="003F3B34" w:rsidRPr="008A705D">
        <w:rPr>
          <w:rStyle w:val="FootnoteReference"/>
          <w:rFonts w:ascii="Calibri" w:hAnsi="Calibri" w:cs="Calibri"/>
        </w:rPr>
        <w:footnoteReference w:id="368"/>
      </w:r>
      <w:r w:rsidR="008A705D" w:rsidRPr="008A705D">
        <w:rPr>
          <w:rFonts w:ascii="Calibri" w:hAnsi="Calibri" w:cs="Calibri"/>
        </w:rPr>
        <w:t xml:space="preserve"> </w:t>
      </w:r>
      <w:r w:rsidR="00166E85">
        <w:rPr>
          <w:rFonts w:ascii="Calibri" w:hAnsi="Calibri" w:cs="Calibri"/>
        </w:rPr>
        <w:t>“</w:t>
      </w:r>
      <w:r w:rsidR="008A705D" w:rsidRPr="008A705D">
        <w:t>There are not many places in the Bible where a character's</w:t>
      </w:r>
      <w:r w:rsidR="00EB3611">
        <w:t xml:space="preserve"> </w:t>
      </w:r>
      <w:r w:rsidR="008A705D" w:rsidRPr="008A705D">
        <w:t>reputation is so suddenly and effectively demolished as in 2 Samuel 11</w:t>
      </w:r>
      <w:r w:rsidR="00166E85">
        <w:t>.” Yet</w:t>
      </w:r>
      <w:r w:rsidR="00B478E3">
        <w:t xml:space="preserve"> </w:t>
      </w:r>
      <w:r w:rsidR="00166E85">
        <w:t>“</w:t>
      </w:r>
      <w:r w:rsidR="00740F38" w:rsidRPr="00740F38">
        <w:t>at the center of the story of David we</w:t>
      </w:r>
      <w:r w:rsidR="00740F38">
        <w:t xml:space="preserve"> </w:t>
      </w:r>
      <w:r w:rsidR="00740F38" w:rsidRPr="00740F38">
        <w:rPr>
          <w:rFonts w:ascii="Calibri" w:eastAsia="TimesNewRomanPSMT" w:hAnsi="Calibri" w:cs="Calibri"/>
        </w:rPr>
        <w:t>find something much more akin to the bursting of a bubble than to the relaxed deflation of a balloon.</w:t>
      </w:r>
      <w:r w:rsidR="00740F38">
        <w:rPr>
          <w:rFonts w:ascii="Calibri" w:eastAsia="TimesNewRomanPSMT" w:hAnsi="Calibri" w:cs="Calibri"/>
        </w:rPr>
        <w:t xml:space="preserve"> T</w:t>
      </w:r>
      <w:r w:rsidR="003C61B8" w:rsidRPr="00740F38">
        <w:rPr>
          <w:rFonts w:ascii="Calibri" w:eastAsia="TimesNewRomanPSMT" w:hAnsi="Calibri" w:cs="Calibri"/>
        </w:rPr>
        <w:t>he tragic turn of events that follows chapters 11 – 12 is but a</w:t>
      </w:r>
      <w:r w:rsidR="0090462E" w:rsidRPr="00740F38">
        <w:rPr>
          <w:rFonts w:ascii="Calibri" w:eastAsia="TimesNewRomanPSMT" w:hAnsi="Calibri" w:cs="Calibri"/>
        </w:rPr>
        <w:t xml:space="preserve"> </w:t>
      </w:r>
      <w:r w:rsidR="003C61B8" w:rsidRPr="00740F38">
        <w:rPr>
          <w:rFonts w:ascii="Calibri" w:eastAsia="TimesNewRomanPSMT" w:hAnsi="Calibri" w:cs="Calibri"/>
        </w:rPr>
        <w:t xml:space="preserve">consequent reverberation of the explosive events of </w:t>
      </w:r>
      <w:r w:rsidR="00166E85">
        <w:rPr>
          <w:rFonts w:ascii="Calibri" w:eastAsia="TimesNewRomanPSMT" w:hAnsi="Calibri" w:cs="Calibri"/>
        </w:rPr>
        <w:t>. . .</w:t>
      </w:r>
      <w:r w:rsidR="003C61B8" w:rsidRPr="00740F38">
        <w:rPr>
          <w:rFonts w:ascii="Calibri" w:eastAsia="TimesNewRomanPSMT" w:hAnsi="Calibri" w:cs="Calibri"/>
        </w:rPr>
        <w:t xml:space="preserve"> earlier chapters</w:t>
      </w:r>
      <w:r w:rsidR="00166E85">
        <w:rPr>
          <w:rFonts w:ascii="Calibri" w:eastAsia="TimesNewRomanPSMT" w:hAnsi="Calibri" w:cs="Calibri"/>
        </w:rPr>
        <w:t>,”</w:t>
      </w:r>
      <w:r w:rsidR="00EC482D">
        <w:rPr>
          <w:rFonts w:ascii="Calibri" w:eastAsia="TimesNewRomanPSMT" w:hAnsi="Calibri" w:cs="Calibri"/>
        </w:rPr>
        <w:t xml:space="preserve"> </w:t>
      </w:r>
      <w:r w:rsidR="002B2684">
        <w:rPr>
          <w:rFonts w:ascii="Calibri" w:eastAsia="TimesNewRomanPSMT" w:hAnsi="Calibri" w:cs="Calibri"/>
        </w:rPr>
        <w:t>1 Sam</w:t>
      </w:r>
      <w:r w:rsidR="00166E85">
        <w:rPr>
          <w:rFonts w:ascii="Calibri" w:eastAsia="TimesNewRomanPSMT" w:hAnsi="Calibri" w:cs="Calibri"/>
        </w:rPr>
        <w:t>uel</w:t>
      </w:r>
      <w:r w:rsidR="002B2684">
        <w:rPr>
          <w:rFonts w:ascii="Calibri" w:eastAsia="TimesNewRomanPSMT" w:hAnsi="Calibri" w:cs="Calibri"/>
        </w:rPr>
        <w:t xml:space="preserve"> 16 – 2 Sam</w:t>
      </w:r>
      <w:r w:rsidR="00166E85">
        <w:rPr>
          <w:rFonts w:ascii="Calibri" w:eastAsia="TimesNewRomanPSMT" w:hAnsi="Calibri" w:cs="Calibri"/>
        </w:rPr>
        <w:t>uel</w:t>
      </w:r>
      <w:r w:rsidR="002B2684">
        <w:rPr>
          <w:rFonts w:ascii="Calibri" w:eastAsia="TimesNewRomanPSMT" w:hAnsi="Calibri" w:cs="Calibri"/>
        </w:rPr>
        <w:t xml:space="preserve"> 10</w:t>
      </w:r>
      <w:r w:rsidR="003C61B8" w:rsidRPr="00740F38">
        <w:rPr>
          <w:rFonts w:ascii="Calibri" w:eastAsia="TimesNewRomanPSMT" w:hAnsi="Calibri" w:cs="Calibri"/>
        </w:rPr>
        <w:t xml:space="preserve">. </w:t>
      </w:r>
      <w:r w:rsidR="00166E85">
        <w:rPr>
          <w:rFonts w:ascii="Calibri" w:eastAsia="TimesNewRomanPSMT" w:hAnsi="Calibri" w:cs="Calibri"/>
        </w:rPr>
        <w:t>“</w:t>
      </w:r>
      <w:r w:rsidR="003C61B8" w:rsidRPr="00740F38">
        <w:rPr>
          <w:rFonts w:ascii="Calibri" w:eastAsia="TimesNewRomanPSMT" w:hAnsi="Calibri" w:cs="Calibri"/>
        </w:rPr>
        <w:t>The success and adulation that have constantly accompanied David up to now were only</w:t>
      </w:r>
      <w:r w:rsidR="00740F38">
        <w:rPr>
          <w:rFonts w:ascii="Calibri" w:eastAsia="TimesNewRomanPSMT" w:hAnsi="Calibri" w:cs="Calibri"/>
        </w:rPr>
        <w:t xml:space="preserve"> </w:t>
      </w:r>
      <w:r w:rsidR="003C61B8" w:rsidRPr="00740F38">
        <w:rPr>
          <w:rFonts w:ascii="Calibri" w:eastAsia="TimesNewRomanPSMT" w:hAnsi="Calibri" w:cs="Calibri"/>
        </w:rPr>
        <w:t>questioned by the Deuteronomist's subtle hints, which, here</w:t>
      </w:r>
      <w:r w:rsidR="003C61B8" w:rsidRPr="003C61B8">
        <w:rPr>
          <w:rFonts w:ascii="Calibri" w:eastAsia="TimesNewRomanPSMT" w:hAnsi="Calibri" w:cs="Calibri"/>
        </w:rPr>
        <w:t xml:space="preserve"> or there, helped us to wonder whether there was more—or less—to David than met the eye.</w:t>
      </w:r>
      <w:r w:rsidR="00166E85">
        <w:rPr>
          <w:rFonts w:ascii="Calibri" w:eastAsia="TimesNewRomanPSMT" w:hAnsi="Calibri" w:cs="Calibri"/>
        </w:rPr>
        <w:t>”</w:t>
      </w:r>
      <w:r w:rsidR="00EB3611" w:rsidRPr="003C61B8">
        <w:rPr>
          <w:rStyle w:val="FootnoteReference"/>
          <w:rFonts w:ascii="Calibri" w:eastAsia="TimesNewRomanPSMT" w:hAnsi="Calibri" w:cs="Calibri"/>
        </w:rPr>
        <w:footnoteReference w:id="369"/>
      </w:r>
      <w:r w:rsidR="00166E85">
        <w:rPr>
          <w:rFonts w:ascii="Calibri" w:eastAsia="TimesNewRomanPSMT" w:hAnsi="Calibri" w:cs="Calibri"/>
        </w:rPr>
        <w:t xml:space="preserve"> </w:t>
      </w:r>
      <w:r w:rsidR="00DE34D8">
        <w:rPr>
          <w:lang w:bidi="he-IL"/>
        </w:rPr>
        <w:t>Nevertheless it comes</w:t>
      </w:r>
      <w:r w:rsidR="00886D6C">
        <w:rPr>
          <w:lang w:bidi="he-IL"/>
        </w:rPr>
        <w:t xml:space="preserve"> </w:t>
      </w:r>
      <w:r w:rsidR="00DE34D8">
        <w:rPr>
          <w:lang w:bidi="he-IL"/>
        </w:rPr>
        <w:t xml:space="preserve">as </w:t>
      </w:r>
      <w:r w:rsidR="00886D6C">
        <w:rPr>
          <w:lang w:bidi="he-IL"/>
        </w:rPr>
        <w:t xml:space="preserve">a revelation to the </w:t>
      </w:r>
      <w:r w:rsidR="00CF1E76">
        <w:rPr>
          <w:lang w:bidi="he-IL"/>
        </w:rPr>
        <w:t>auditors</w:t>
      </w:r>
      <w:r w:rsidR="00886D6C">
        <w:rPr>
          <w:lang w:bidi="he-IL"/>
        </w:rPr>
        <w:t>, and to David</w:t>
      </w:r>
      <w:r w:rsidR="004F5862">
        <w:rPr>
          <w:lang w:bidi="he-IL"/>
        </w:rPr>
        <w:t>, and perhaps to Yahweh</w:t>
      </w:r>
      <w:r w:rsidR="00166E85">
        <w:rPr>
          <w:lang w:bidi="he-IL"/>
        </w:rPr>
        <w:t>. Yahweh</w:t>
      </w:r>
      <w:r w:rsidR="00CE6D9B">
        <w:rPr>
          <w:lang w:bidi="he-IL"/>
        </w:rPr>
        <w:t xml:space="preserve"> summoned Samuel and </w:t>
      </w:r>
      <w:r w:rsidR="009839E2">
        <w:rPr>
          <w:lang w:bidi="he-IL"/>
        </w:rPr>
        <w:t xml:space="preserve">commissioned him to anoint Saul, </w:t>
      </w:r>
      <w:r w:rsidR="00A21207">
        <w:rPr>
          <w:lang w:bidi="he-IL"/>
        </w:rPr>
        <w:t>commissioned him to a</w:t>
      </w:r>
      <w:r w:rsidR="00166E85">
        <w:rPr>
          <w:lang w:bidi="he-IL"/>
        </w:rPr>
        <w:t>n</w:t>
      </w:r>
      <w:r w:rsidR="00A21207">
        <w:rPr>
          <w:lang w:bidi="he-IL"/>
        </w:rPr>
        <w:t>o</w:t>
      </w:r>
      <w:r w:rsidR="00166E85">
        <w:rPr>
          <w:lang w:bidi="he-IL"/>
        </w:rPr>
        <w:t>i</w:t>
      </w:r>
      <w:r w:rsidR="00A21207">
        <w:rPr>
          <w:lang w:bidi="he-IL"/>
        </w:rPr>
        <w:t xml:space="preserve">nt David, </w:t>
      </w:r>
      <w:r w:rsidR="002E1F84">
        <w:rPr>
          <w:lang w:bidi="he-IL"/>
        </w:rPr>
        <w:t xml:space="preserve">made extravagant promises to David, but </w:t>
      </w:r>
      <w:r w:rsidR="00DE34D8">
        <w:rPr>
          <w:lang w:bidi="he-IL"/>
        </w:rPr>
        <w:t>now</w:t>
      </w:r>
      <w:r w:rsidR="00C43B50">
        <w:rPr>
          <w:lang w:bidi="he-IL"/>
        </w:rPr>
        <w:t xml:space="preserve"> declares that he will cause </w:t>
      </w:r>
      <w:r w:rsidR="00D43437">
        <w:rPr>
          <w:lang w:bidi="he-IL"/>
        </w:rPr>
        <w:t xml:space="preserve">dire events to arise </w:t>
      </w:r>
      <w:r w:rsidR="00A42C0A">
        <w:rPr>
          <w:lang w:bidi="he-IL"/>
        </w:rPr>
        <w:t>f</w:t>
      </w:r>
      <w:r w:rsidR="00D43437">
        <w:rPr>
          <w:lang w:bidi="he-IL"/>
        </w:rPr>
        <w:t>rom his household</w:t>
      </w:r>
      <w:r w:rsidR="00166E85">
        <w:rPr>
          <w:lang w:bidi="he-IL"/>
        </w:rPr>
        <w:t>. T</w:t>
      </w:r>
      <w:r w:rsidR="00D43437">
        <w:rPr>
          <w:lang w:bidi="he-IL"/>
        </w:rPr>
        <w:t xml:space="preserve">hen </w:t>
      </w:r>
      <w:r w:rsidR="004150B4">
        <w:rPr>
          <w:lang w:bidi="he-IL"/>
        </w:rPr>
        <w:t xml:space="preserve">for the most part </w:t>
      </w:r>
      <w:r w:rsidR="00C60666">
        <w:rPr>
          <w:lang w:bidi="he-IL"/>
        </w:rPr>
        <w:t xml:space="preserve">he </w:t>
      </w:r>
      <w:r w:rsidR="004150B4">
        <w:rPr>
          <w:lang w:bidi="he-IL"/>
        </w:rPr>
        <w:t>simply</w:t>
      </w:r>
      <w:r w:rsidR="00D43437">
        <w:rPr>
          <w:lang w:bidi="he-IL"/>
        </w:rPr>
        <w:t xml:space="preserve"> watches them do so.</w:t>
      </w:r>
    </w:p>
    <w:p w14:paraId="3D2C0DDB" w14:textId="0B72BE7D" w:rsidR="00A13941" w:rsidRPr="000B0A0F" w:rsidRDefault="001608C7" w:rsidP="000B0A0F">
      <w:pPr>
        <w:pStyle w:val="Heading2"/>
      </w:pPr>
      <w:r>
        <w:t>David’s Victims</w:t>
      </w:r>
    </w:p>
    <w:p w14:paraId="5CF03385" w14:textId="77777777" w:rsidR="00C60666" w:rsidRDefault="00907287" w:rsidP="00322897">
      <w:r w:rsidRPr="001F52A8">
        <w:t xml:space="preserve">The story of David, Bathsheba, and Uriah </w:t>
      </w:r>
      <w:r w:rsidR="00320237" w:rsidRPr="001F52A8">
        <w:t xml:space="preserve">links with a number of </w:t>
      </w:r>
      <w:r w:rsidR="00AD05B9" w:rsidRPr="001F52A8">
        <w:t xml:space="preserve">ways of thinking about ethics. </w:t>
      </w:r>
      <w:r w:rsidR="004F2CD1" w:rsidRPr="001F52A8">
        <w:t>Ethics involves rules; it</w:t>
      </w:r>
      <w:r w:rsidR="007A4A48" w:rsidRPr="001F52A8">
        <w:t xml:space="preserve">s basic </w:t>
      </w:r>
      <w:r w:rsidR="00F233FD" w:rsidRPr="001F52A8">
        <w:t>principles are written into human nature; it</w:t>
      </w:r>
      <w:r w:rsidR="004F2CD1" w:rsidRPr="001F52A8">
        <w:t xml:space="preserve"> is tied up with theology; it </w:t>
      </w:r>
      <w:r w:rsidR="009B775B" w:rsidRPr="001F52A8">
        <w:t xml:space="preserve">can </w:t>
      </w:r>
      <w:r w:rsidR="00661B53" w:rsidRPr="001F52A8">
        <w:t>find expression in narrative</w:t>
      </w:r>
      <w:r w:rsidR="0002705D" w:rsidRPr="001F52A8">
        <w:t xml:space="preserve">; and it involves personal moral qualities that </w:t>
      </w:r>
      <w:r w:rsidR="00C60666">
        <w:t>manifest themselves</w:t>
      </w:r>
      <w:r w:rsidR="0002705D" w:rsidRPr="001F52A8">
        <w:t xml:space="preserve"> in actions and </w:t>
      </w:r>
      <w:r w:rsidR="007A70F3" w:rsidRPr="001F52A8">
        <w:t>are also developed by actions</w:t>
      </w:r>
      <w:r w:rsidR="0002705D" w:rsidRPr="001F52A8">
        <w:t>.</w:t>
      </w:r>
      <w:r w:rsidR="007B5F9A">
        <w:t xml:space="preserve"> </w:t>
      </w:r>
    </w:p>
    <w:p w14:paraId="3DB67E6A" w14:textId="0E635911" w:rsidR="00DF57CE" w:rsidRPr="001F52A8" w:rsidRDefault="00AF16F3" w:rsidP="00322897">
      <w:r>
        <w:t>Given that e</w:t>
      </w:r>
      <w:r w:rsidR="00310F10" w:rsidRPr="001F52A8">
        <w:t>thics involves rules for life</w:t>
      </w:r>
      <w:r w:rsidR="00906EDA" w:rsidRPr="001F52A8">
        <w:t>, there</w:t>
      </w:r>
      <w:r w:rsidR="00943602">
        <w:t xml:space="preserve"> is </w:t>
      </w:r>
      <w:r w:rsidR="00906EDA" w:rsidRPr="001F52A8">
        <w:t>some irony in David</w:t>
      </w:r>
      <w:r w:rsidR="00C60666">
        <w:t>’s</w:t>
      </w:r>
      <w:r w:rsidR="00906EDA" w:rsidRPr="001F52A8">
        <w:t xml:space="preserve"> install</w:t>
      </w:r>
      <w:r w:rsidR="00C60666">
        <w:t>ing</w:t>
      </w:r>
      <w:r w:rsidR="00906EDA" w:rsidRPr="001F52A8">
        <w:t xml:space="preserve"> the covenant chest in </w:t>
      </w:r>
      <w:r w:rsidR="00341635">
        <w:t>Jerusalem</w:t>
      </w:r>
      <w:r w:rsidR="00384598" w:rsidRPr="001F52A8">
        <w:t xml:space="preserve">. </w:t>
      </w:r>
      <w:r w:rsidR="002B5D81">
        <w:t>It</w:t>
      </w:r>
      <w:r w:rsidR="00384598" w:rsidRPr="001F52A8">
        <w:t xml:space="preserve"> contain</w:t>
      </w:r>
      <w:r w:rsidR="00AC64F3">
        <w:t>ed</w:t>
      </w:r>
      <w:r w:rsidR="00384598" w:rsidRPr="001F52A8">
        <w:t xml:space="preserve"> </w:t>
      </w:r>
      <w:r w:rsidR="00DE5AC2" w:rsidRPr="001F52A8">
        <w:t>t</w:t>
      </w:r>
      <w:r w:rsidR="00384598" w:rsidRPr="001F52A8">
        <w:t>he stones inscribed with</w:t>
      </w:r>
      <w:r w:rsidR="00DE5AC2" w:rsidRPr="001F52A8">
        <w:t xml:space="preserve"> the basic rules </w:t>
      </w:r>
      <w:r w:rsidR="00A9233D" w:rsidRPr="001F52A8">
        <w:t xml:space="preserve">of Israelite </w:t>
      </w:r>
      <w:r w:rsidR="009C2D04">
        <w:t>spiritualit</w:t>
      </w:r>
      <w:r w:rsidR="00536A64">
        <w:t>y</w:t>
      </w:r>
      <w:r w:rsidR="009C2D04">
        <w:t xml:space="preserve"> and </w:t>
      </w:r>
      <w:r w:rsidR="00A9233D" w:rsidRPr="001F52A8">
        <w:t>ethics</w:t>
      </w:r>
      <w:r w:rsidR="00004497" w:rsidRPr="001F52A8">
        <w:t xml:space="preserve">, of relationships with </w:t>
      </w:r>
      <w:r w:rsidR="009C2D04">
        <w:t xml:space="preserve">God and with </w:t>
      </w:r>
      <w:r w:rsidR="00004497" w:rsidRPr="001F52A8">
        <w:t>other people</w:t>
      </w:r>
      <w:r w:rsidR="00A9233D" w:rsidRPr="001F52A8">
        <w:t xml:space="preserve">. </w:t>
      </w:r>
      <w:r w:rsidR="00C60666">
        <w:t>H</w:t>
      </w:r>
      <w:r w:rsidR="00A9233D" w:rsidRPr="001F52A8">
        <w:t xml:space="preserve">e </w:t>
      </w:r>
      <w:r w:rsidR="00C60666">
        <w:t xml:space="preserve">now </w:t>
      </w:r>
      <w:r w:rsidR="00916F09" w:rsidRPr="001F52A8">
        <w:t xml:space="preserve">ignores </w:t>
      </w:r>
      <w:r w:rsidR="00B918E3" w:rsidRPr="001F52A8">
        <w:t xml:space="preserve">at least </w:t>
      </w:r>
      <w:r w:rsidR="00916F09" w:rsidRPr="001F52A8">
        <w:t>half of the latter</w:t>
      </w:r>
      <w:r w:rsidR="000A7684" w:rsidRPr="001F52A8">
        <w:t xml:space="preserve">. </w:t>
      </w:r>
      <w:r w:rsidR="00C60666">
        <w:t>H</w:t>
      </w:r>
      <w:r w:rsidR="00916F09" w:rsidRPr="001F52A8">
        <w:t xml:space="preserve">e </w:t>
      </w:r>
      <w:r w:rsidR="00B918E3" w:rsidRPr="001F52A8">
        <w:t>has sex with someone else’s wife</w:t>
      </w:r>
      <w:r w:rsidR="009C3DF4" w:rsidRPr="001F52A8">
        <w:t xml:space="preserve"> and</w:t>
      </w:r>
      <w:r w:rsidR="00B918E3" w:rsidRPr="001F52A8">
        <w:t xml:space="preserve"> has someone murdered</w:t>
      </w:r>
      <w:r w:rsidR="00C60666">
        <w:t>; t</w:t>
      </w:r>
      <w:r w:rsidR="007B52D6" w:rsidRPr="001F52A8">
        <w:t xml:space="preserve">hese acts involve him first wanting someone else’s wife and </w:t>
      </w:r>
      <w:r w:rsidR="00D11F48" w:rsidRPr="001F52A8">
        <w:t xml:space="preserve">then stealing her. </w:t>
      </w:r>
    </w:p>
    <w:p w14:paraId="170A7CE3" w14:textId="282CAA98" w:rsidR="00CA43B5" w:rsidRPr="001F52A8" w:rsidRDefault="00DC51FA" w:rsidP="00322897">
      <w:r>
        <w:t xml:space="preserve">Second, </w:t>
      </w:r>
      <w:r w:rsidR="0089323B">
        <w:t>i</w:t>
      </w:r>
      <w:r w:rsidR="00B9039B" w:rsidRPr="001F52A8">
        <w:t>n light of the wa</w:t>
      </w:r>
      <w:r w:rsidR="00B266D5">
        <w:t>y</w:t>
      </w:r>
      <w:r w:rsidR="00B9039B" w:rsidRPr="001F52A8">
        <w:t xml:space="preserve"> David ignores an ethic of rules, Nathan’s eventual challenge </w:t>
      </w:r>
      <w:r w:rsidR="0056528C">
        <w:t xml:space="preserve">to him </w:t>
      </w:r>
      <w:r w:rsidR="00B9039B" w:rsidRPr="001F52A8">
        <w:t>has sev</w:t>
      </w:r>
      <w:r w:rsidR="00100D8D" w:rsidRPr="001F52A8">
        <w:t>er</w:t>
      </w:r>
      <w:r w:rsidR="00B9039B" w:rsidRPr="001F52A8">
        <w:t xml:space="preserve">al </w:t>
      </w:r>
      <w:r w:rsidR="00100D8D" w:rsidRPr="001F52A8">
        <w:t xml:space="preserve">significant </w:t>
      </w:r>
      <w:r w:rsidR="00B9039B" w:rsidRPr="001F52A8">
        <w:t>features. Nathan doesn’</w:t>
      </w:r>
      <w:r w:rsidR="0077032A" w:rsidRPr="001F52A8">
        <w:t>t quote the rules</w:t>
      </w:r>
      <w:r w:rsidR="00C60666">
        <w:t>, as</w:t>
      </w:r>
      <w:r w:rsidR="00836D55" w:rsidRPr="001F52A8">
        <w:t xml:space="preserve"> other prophets</w:t>
      </w:r>
      <w:r w:rsidR="0056528C">
        <w:t xml:space="preserve"> rarely allude to </w:t>
      </w:r>
      <w:r w:rsidR="00B60344">
        <w:t>the Decalogue</w:t>
      </w:r>
      <w:r w:rsidR="0056528C">
        <w:t xml:space="preserve"> though they presuppose </w:t>
      </w:r>
      <w:r w:rsidR="00B60344">
        <w:t>its</w:t>
      </w:r>
      <w:r w:rsidR="0056528C">
        <w:t xml:space="preserve"> </w:t>
      </w:r>
      <w:r w:rsidR="00C60666">
        <w:t>expectations</w:t>
      </w:r>
      <w:r w:rsidR="006D4DE0" w:rsidRPr="001F52A8">
        <w:t xml:space="preserve">. </w:t>
      </w:r>
      <w:r w:rsidR="00DE1FB3">
        <w:t>Nathan’s</w:t>
      </w:r>
      <w:r w:rsidR="006D4DE0" w:rsidRPr="001F52A8">
        <w:t xml:space="preserve"> parable about the man with big flocks and the man with one </w:t>
      </w:r>
      <w:r w:rsidR="00B610F8" w:rsidRPr="001F52A8">
        <w:t>sheep implicitly appeals to a</w:t>
      </w:r>
      <w:r w:rsidR="00FF24E5" w:rsidRPr="001F52A8">
        <w:t xml:space="preserve"> sense of right and wrong that David has in his heart and mind</w:t>
      </w:r>
      <w:r w:rsidR="00BD239E" w:rsidRPr="001F52A8">
        <w:t xml:space="preserve">, by virtue of being human. </w:t>
      </w:r>
      <w:r w:rsidR="00C60666">
        <w:t>His</w:t>
      </w:r>
      <w:r w:rsidR="0089116B" w:rsidRPr="001F52A8">
        <w:t xml:space="preserve"> assumption</w:t>
      </w:r>
      <w:r w:rsidR="00C60666">
        <w:t>s</w:t>
      </w:r>
      <w:r w:rsidR="0089116B" w:rsidRPr="001F52A8">
        <w:t xml:space="preserve"> compare with Paul</w:t>
      </w:r>
      <w:r w:rsidR="00C60666">
        <w:t>’s</w:t>
      </w:r>
      <w:r w:rsidR="0089116B" w:rsidRPr="001F52A8">
        <w:t xml:space="preserve"> in Romans 1 </w:t>
      </w:r>
      <w:r w:rsidR="00D02541" w:rsidRPr="001F52A8">
        <w:t>–</w:t>
      </w:r>
      <w:r w:rsidR="0089116B" w:rsidRPr="001F52A8">
        <w:t xml:space="preserve"> 3</w:t>
      </w:r>
      <w:r w:rsidR="00D02541" w:rsidRPr="001F52A8">
        <w:t xml:space="preserve">. </w:t>
      </w:r>
      <w:r w:rsidR="000751E5">
        <w:t>A</w:t>
      </w:r>
      <w:r w:rsidR="00D02541" w:rsidRPr="001F52A8">
        <w:t xml:space="preserve"> person </w:t>
      </w:r>
      <w:r w:rsidR="00C60666">
        <w:t>can</w:t>
      </w:r>
      <w:r w:rsidR="00D02541" w:rsidRPr="001F52A8">
        <w:t xml:space="preserve"> quash this sense of right and wrong</w:t>
      </w:r>
      <w:r w:rsidR="00D1739C">
        <w:t>, as Paul also implies</w:t>
      </w:r>
      <w:r w:rsidR="00270981" w:rsidRPr="001F52A8">
        <w:t>. It turns them into a fool</w:t>
      </w:r>
      <w:r w:rsidR="00292063" w:rsidRPr="001F52A8">
        <w:t>ish</w:t>
      </w:r>
      <w:r w:rsidR="008142BA" w:rsidRPr="001F52A8">
        <w:t xml:space="preserve"> and</w:t>
      </w:r>
      <w:r w:rsidR="00270981" w:rsidRPr="001F52A8">
        <w:t xml:space="preserve"> </w:t>
      </w:r>
      <w:r w:rsidR="001C46DE" w:rsidRPr="001F52A8">
        <w:t xml:space="preserve">worthless person </w:t>
      </w:r>
      <w:r w:rsidR="008142BA" w:rsidRPr="001F52A8">
        <w:t>(</w:t>
      </w:r>
      <w:r w:rsidR="008142BA" w:rsidRPr="001F52A8">
        <w:rPr>
          <w:i/>
          <w:iCs/>
        </w:rPr>
        <w:t>ben b</w:t>
      </w:r>
      <w:r w:rsidR="008142BA" w:rsidRPr="001F52A8">
        <w:rPr>
          <w:rFonts w:cstheme="minorHAnsi"/>
          <w:i/>
          <w:iCs/>
        </w:rPr>
        <w:t>əl</w:t>
      </w:r>
      <w:r w:rsidR="0081065C" w:rsidRPr="001F52A8">
        <w:rPr>
          <w:rFonts w:cstheme="minorHAnsi"/>
          <w:i/>
          <w:iCs/>
        </w:rPr>
        <w:t>iyya‘al</w:t>
      </w:r>
      <w:r w:rsidR="0081065C" w:rsidRPr="001F52A8">
        <w:rPr>
          <w:rFonts w:cstheme="minorHAnsi"/>
        </w:rPr>
        <w:t>)</w:t>
      </w:r>
      <w:r w:rsidR="0081065C" w:rsidRPr="001F52A8">
        <w:rPr>
          <w:rFonts w:cstheme="minorHAnsi"/>
          <w:i/>
          <w:iCs/>
        </w:rPr>
        <w:t xml:space="preserve"> </w:t>
      </w:r>
      <w:r w:rsidR="008142BA" w:rsidRPr="001F52A8">
        <w:t>like Nabal</w:t>
      </w:r>
      <w:r w:rsidR="00320E8C">
        <w:t xml:space="preserve"> (1 Sam 25:25)</w:t>
      </w:r>
      <w:r w:rsidR="00DA342A" w:rsidRPr="001F52A8">
        <w:t>. David is neither fool nor wise</w:t>
      </w:r>
      <w:r w:rsidR="001F30E1" w:rsidRPr="001F52A8">
        <w:t xml:space="preserve">, but something in between. </w:t>
      </w:r>
    </w:p>
    <w:p w14:paraId="78D503B7" w14:textId="5544E246" w:rsidR="00F00296" w:rsidRDefault="006F7F8C" w:rsidP="00FA3CD4">
      <w:pPr>
        <w:rPr>
          <w:rFonts w:cstheme="minorHAnsi"/>
        </w:rPr>
      </w:pPr>
      <w:r w:rsidRPr="001F52A8">
        <w:t xml:space="preserve">In addition, </w:t>
      </w:r>
      <w:r w:rsidR="008E3F4C" w:rsidRPr="001F52A8">
        <w:t xml:space="preserve">thirdly, </w:t>
      </w:r>
      <w:r w:rsidRPr="001F52A8">
        <w:t xml:space="preserve">Nathan accuses </w:t>
      </w:r>
      <w:r w:rsidR="00663714" w:rsidRPr="001F52A8">
        <w:t>David of despising Yahweh</w:t>
      </w:r>
      <w:r w:rsidR="00D15EAD" w:rsidRPr="001F52A8">
        <w:t xml:space="preserve"> (12:10)</w:t>
      </w:r>
      <w:r w:rsidR="00972428" w:rsidRPr="001F52A8">
        <w:t xml:space="preserve">. </w:t>
      </w:r>
      <w:r w:rsidR="00EF1671" w:rsidRPr="001F52A8">
        <w:t xml:space="preserve">If one is to relate David’s actions to the ten rules for life, then, David has ignored the </w:t>
      </w:r>
      <w:r w:rsidR="00BE5419" w:rsidRPr="001F52A8">
        <w:t>ones about spirituality and rel</w:t>
      </w:r>
      <w:r w:rsidR="00915B1C" w:rsidRPr="001F52A8">
        <w:t>ationship with God</w:t>
      </w:r>
      <w:r w:rsidR="00813578" w:rsidRPr="001F52A8">
        <w:t xml:space="preserve"> as well as the ones about other people</w:t>
      </w:r>
      <w:r w:rsidR="00915B1C" w:rsidRPr="001F52A8">
        <w:t xml:space="preserve">. </w:t>
      </w:r>
      <w:r w:rsidR="00813578" w:rsidRPr="001F52A8">
        <w:t xml:space="preserve">Or rather, </w:t>
      </w:r>
      <w:r w:rsidR="007B1F70" w:rsidRPr="001F52A8">
        <w:t xml:space="preserve">Nathan presupposes </w:t>
      </w:r>
      <w:r w:rsidR="001B7630">
        <w:t xml:space="preserve">(like the Decalogue itself) </w:t>
      </w:r>
      <w:r w:rsidR="00195D02" w:rsidRPr="001F52A8">
        <w:t xml:space="preserve">that the two are </w:t>
      </w:r>
      <w:r w:rsidR="00A77237" w:rsidRPr="001F52A8">
        <w:t xml:space="preserve">inextricably </w:t>
      </w:r>
      <w:r w:rsidR="00C60666">
        <w:t>linked</w:t>
      </w:r>
      <w:r w:rsidR="00A77237" w:rsidRPr="001F52A8">
        <w:t xml:space="preserve">. </w:t>
      </w:r>
      <w:r w:rsidR="00644143" w:rsidRPr="001F52A8">
        <w:t>Dish</w:t>
      </w:r>
      <w:r w:rsidR="00A77237" w:rsidRPr="001F52A8">
        <w:t xml:space="preserve">onoring one’s neighbor is an expression of </w:t>
      </w:r>
      <w:r w:rsidR="00644143" w:rsidRPr="001F52A8">
        <w:t>dishonor to God</w:t>
      </w:r>
      <w:r w:rsidR="00A87DE1">
        <w:t>; w</w:t>
      </w:r>
      <w:r w:rsidR="00644143" w:rsidRPr="001F52A8">
        <w:t>e honor God by honoring o</w:t>
      </w:r>
      <w:r w:rsidR="00844036" w:rsidRPr="001F52A8">
        <w:t>ur</w:t>
      </w:r>
      <w:r w:rsidR="00644143" w:rsidRPr="001F52A8">
        <w:t xml:space="preserve"> neighbor. </w:t>
      </w:r>
      <w:r w:rsidR="00D7015C">
        <w:t>E</w:t>
      </w:r>
      <w:r w:rsidR="007B1F70" w:rsidRPr="001F52A8">
        <w:t>thics and spirituality</w:t>
      </w:r>
      <w:r w:rsidR="00B53F20" w:rsidRPr="001F52A8">
        <w:t>, relationships with other people and with God</w:t>
      </w:r>
      <w:r w:rsidR="00D7015C">
        <w:t>, cannot be separated</w:t>
      </w:r>
      <w:r w:rsidR="00B53F20" w:rsidRPr="001F52A8">
        <w:t>. Ethics is theological</w:t>
      </w:r>
      <w:r w:rsidR="00C60666">
        <w:t>; theology is ethical</w:t>
      </w:r>
      <w:r w:rsidR="00B53F20" w:rsidRPr="001F52A8">
        <w:t xml:space="preserve">. </w:t>
      </w:r>
      <w:r w:rsidR="00D7015C">
        <w:t>Nathan</w:t>
      </w:r>
      <w:r w:rsidR="00F10244">
        <w:t>’s expresses t</w:t>
      </w:r>
      <w:r w:rsidR="00341A14" w:rsidRPr="001F52A8">
        <w:t xml:space="preserve">he point </w:t>
      </w:r>
      <w:r w:rsidR="00992210">
        <w:t xml:space="preserve">differently </w:t>
      </w:r>
      <w:r w:rsidR="00341A14" w:rsidRPr="001F52A8">
        <w:t>accus</w:t>
      </w:r>
      <w:r w:rsidR="00C60666">
        <w:t>ing</w:t>
      </w:r>
      <w:r w:rsidR="00341A14" w:rsidRPr="001F52A8">
        <w:t xml:space="preserve"> </w:t>
      </w:r>
      <w:r w:rsidR="006B3403" w:rsidRPr="001F52A8">
        <w:t xml:space="preserve">David </w:t>
      </w:r>
      <w:r w:rsidR="00C60666">
        <w:t>of</w:t>
      </w:r>
      <w:r w:rsidR="006B3403" w:rsidRPr="001F52A8">
        <w:t xml:space="preserve"> </w:t>
      </w:r>
      <w:r w:rsidR="001E6E6A" w:rsidRPr="001F52A8">
        <w:t>despis</w:t>
      </w:r>
      <w:r w:rsidR="00C60666">
        <w:t>ing</w:t>
      </w:r>
      <w:r w:rsidR="001E6E6A" w:rsidRPr="001F52A8">
        <w:t xml:space="preserve"> </w:t>
      </w:r>
      <w:r w:rsidR="00341A14" w:rsidRPr="001F52A8">
        <w:t>Yahweh’</w:t>
      </w:r>
      <w:r w:rsidR="001E6E6A" w:rsidRPr="001F52A8">
        <w:t>s word</w:t>
      </w:r>
      <w:r w:rsidR="002A5D62" w:rsidRPr="001F52A8">
        <w:t xml:space="preserve"> </w:t>
      </w:r>
      <w:r w:rsidR="00AB734D" w:rsidRPr="001F52A8">
        <w:t>(12:9)</w:t>
      </w:r>
      <w:r w:rsidR="006B3403" w:rsidRPr="001F52A8">
        <w:t xml:space="preserve">. </w:t>
      </w:r>
      <w:r w:rsidR="00B71E7A" w:rsidRPr="001F52A8">
        <w:t xml:space="preserve">The charge recalls </w:t>
      </w:r>
      <w:r w:rsidR="002464E1" w:rsidRPr="001F52A8">
        <w:t>Samuel’s confront</w:t>
      </w:r>
      <w:r w:rsidR="00C60666">
        <w:t>ing</w:t>
      </w:r>
      <w:r w:rsidR="002464E1" w:rsidRPr="001F52A8">
        <w:t xml:space="preserve"> </w:t>
      </w:r>
      <w:r w:rsidR="002464E1" w:rsidRPr="001F52A8">
        <w:lastRenderedPageBreak/>
        <w:t xml:space="preserve">Saul </w:t>
      </w:r>
      <w:r w:rsidR="009914FA" w:rsidRPr="001F52A8">
        <w:t xml:space="preserve">for flouting Yahweh’s </w:t>
      </w:r>
      <w:r w:rsidR="00F635B1">
        <w:t xml:space="preserve">word of </w:t>
      </w:r>
      <w:r w:rsidR="009914FA" w:rsidRPr="001F52A8">
        <w:t>command</w:t>
      </w:r>
      <w:r w:rsidR="00E12B44" w:rsidRPr="001F52A8">
        <w:t xml:space="preserve"> </w:t>
      </w:r>
      <w:r w:rsidR="002464E1" w:rsidRPr="001F52A8">
        <w:t xml:space="preserve">(1 Sam </w:t>
      </w:r>
      <w:r w:rsidR="002A5D62" w:rsidRPr="001F52A8">
        <w:t>15:13, 23, 24, 26)</w:t>
      </w:r>
      <w:r w:rsidR="00AB734D" w:rsidRPr="001F52A8">
        <w:t xml:space="preserve">, </w:t>
      </w:r>
      <w:r w:rsidR="00354763">
        <w:t>though</w:t>
      </w:r>
      <w:r w:rsidR="00AB734D" w:rsidRPr="001F52A8">
        <w:t xml:space="preserve"> on that occasion </w:t>
      </w:r>
      <w:r w:rsidR="009914FA" w:rsidRPr="001F52A8">
        <w:t xml:space="preserve">Saul was </w:t>
      </w:r>
      <w:r w:rsidR="00684C13" w:rsidRPr="001F52A8">
        <w:t xml:space="preserve">ignoring a concrete command. </w:t>
      </w:r>
      <w:r w:rsidR="0090444B">
        <w:t>I</w:t>
      </w:r>
      <w:r w:rsidR="00992210">
        <w:t>t recalls the</w:t>
      </w:r>
      <w:r w:rsidR="0090444B">
        <w:t xml:space="preserve"> description of th</w:t>
      </w:r>
      <w:r w:rsidR="00E34DD4">
        <w:t>e Decal</w:t>
      </w:r>
      <w:r w:rsidR="0051430B">
        <w:t>ogue itself</w:t>
      </w:r>
      <w:r w:rsidR="0090444B">
        <w:t xml:space="preserve"> as Yahweh’s word (Deut 5:5).</w:t>
      </w:r>
      <w:r w:rsidR="00B04495">
        <w:rPr>
          <w:rStyle w:val="FootnoteReference"/>
        </w:rPr>
        <w:footnoteReference w:id="370"/>
      </w:r>
      <w:r w:rsidR="0090444B">
        <w:t xml:space="preserve"> </w:t>
      </w:r>
      <w:r w:rsidR="008B0BE4" w:rsidRPr="001F52A8">
        <w:t>Closer in implication and nearer to hand is</w:t>
      </w:r>
      <w:r w:rsidR="002A5D62" w:rsidRPr="001F52A8">
        <w:t xml:space="preserve"> </w:t>
      </w:r>
      <w:r w:rsidR="0095081E" w:rsidRPr="001F52A8">
        <w:t xml:space="preserve">Nathan’s own </w:t>
      </w:r>
      <w:r w:rsidR="00574B81" w:rsidRPr="001F52A8">
        <w:t xml:space="preserve">declaring of </w:t>
      </w:r>
      <w:r w:rsidR="007717F4" w:rsidRPr="001F52A8">
        <w:t>Yahweh’s word</w:t>
      </w:r>
      <w:r w:rsidR="00B14234">
        <w:t xml:space="preserve"> of promise</w:t>
      </w:r>
      <w:r w:rsidR="00574B81" w:rsidRPr="001F52A8">
        <w:t xml:space="preserve"> </w:t>
      </w:r>
      <w:r w:rsidR="00505B8B">
        <w:t>concerning</w:t>
      </w:r>
      <w:r w:rsidR="00505B8B" w:rsidRPr="001F52A8">
        <w:t xml:space="preserve"> what Yahweh intended for him </w:t>
      </w:r>
      <w:r w:rsidR="00574B81" w:rsidRPr="001F52A8">
        <w:t>(2 Sam 7:</w:t>
      </w:r>
      <w:r w:rsidR="00352AEA" w:rsidRPr="001F52A8">
        <w:t>4, 21, 25)</w:t>
      </w:r>
      <w:r w:rsidR="00EF0C92" w:rsidRPr="001F52A8">
        <w:t xml:space="preserve">. In this respect, too, ethics is tied </w:t>
      </w:r>
      <w:r w:rsidR="004F2CD1" w:rsidRPr="001F52A8">
        <w:t>up with spirituality and theology.</w:t>
      </w:r>
      <w:r w:rsidR="00FC459A" w:rsidRPr="001F52A8">
        <w:t xml:space="preserve"> </w:t>
      </w:r>
      <w:r w:rsidR="000B211C">
        <w:t xml:space="preserve">The point </w:t>
      </w:r>
      <w:r w:rsidR="00757580">
        <w:t>emerges</w:t>
      </w:r>
      <w:r w:rsidR="000F248C">
        <w:t xml:space="preserve"> </w:t>
      </w:r>
      <w:r w:rsidR="00225626">
        <w:t xml:space="preserve">in the </w:t>
      </w:r>
      <w:r w:rsidR="00A77A4A">
        <w:t xml:space="preserve">forms of expression </w:t>
      </w:r>
      <w:r w:rsidR="00F60BE4">
        <w:t>Yahweh</w:t>
      </w:r>
      <w:r w:rsidR="000F248C">
        <w:t xml:space="preserve"> </w:t>
      </w:r>
      <w:r w:rsidR="00757580">
        <w:t>use</w:t>
      </w:r>
      <w:r w:rsidR="000F248C">
        <w:t>s</w:t>
      </w:r>
      <w:r w:rsidR="00505B8B">
        <w:t xml:space="preserve">: </w:t>
      </w:r>
      <w:r w:rsidR="00A958A5">
        <w:t xml:space="preserve">“I am the one who </w:t>
      </w:r>
      <w:r w:rsidR="007A5872">
        <w:t xml:space="preserve">anointed </w:t>
      </w:r>
      <w:r w:rsidR="0048428D">
        <w:t xml:space="preserve">you </w:t>
      </w:r>
      <w:r w:rsidR="007A5872">
        <w:t xml:space="preserve">. . . and I am the one who </w:t>
      </w:r>
      <w:r w:rsidR="0048428D">
        <w:t>rescued you</w:t>
      </w:r>
      <w:r w:rsidR="00730DA9">
        <w:t xml:space="preserve">,” </w:t>
      </w:r>
      <w:r w:rsidR="00505B8B">
        <w:t>but</w:t>
      </w:r>
      <w:r w:rsidR="00B1260A">
        <w:t xml:space="preserve"> “</w:t>
      </w:r>
      <w:r w:rsidR="00B831AA">
        <w:t>Uriah the Hittite you struck down with the sword</w:t>
      </w:r>
      <w:r w:rsidR="00881F6F">
        <w:t>, and his wife you took for yourself as wife</w:t>
      </w:r>
      <w:r w:rsidR="00550C4E">
        <w:t>,</w:t>
      </w:r>
      <w:r w:rsidR="00881F6F">
        <w:t xml:space="preserve"> and him </w:t>
      </w:r>
      <w:r w:rsidR="00032DE8">
        <w:t>you killed” (12:</w:t>
      </w:r>
      <w:r w:rsidR="002555C2">
        <w:t xml:space="preserve">7, 9). </w:t>
      </w:r>
      <w:r w:rsidR="00C1090E">
        <w:t xml:space="preserve">The point is implicit in David’s acknowledgment that he has “done wrong in relation to Yahweh” (12:13), even if this admission is worrying </w:t>
      </w:r>
      <w:r w:rsidR="00505B8B">
        <w:t xml:space="preserve">in </w:t>
      </w:r>
      <w:r w:rsidR="00C1090E">
        <w:t>it</w:t>
      </w:r>
      <w:r w:rsidR="003D43EF">
        <w:t>s</w:t>
      </w:r>
      <w:r w:rsidR="00C1090E">
        <w:t xml:space="preserve"> </w:t>
      </w:r>
      <w:r w:rsidR="00E21522">
        <w:t>omitting mention</w:t>
      </w:r>
      <w:r w:rsidR="00C1090E">
        <w:t xml:space="preserve"> </w:t>
      </w:r>
      <w:r w:rsidR="00E21522">
        <w:t>of</w:t>
      </w:r>
      <w:r w:rsidR="00C1090E">
        <w:t xml:space="preserve"> </w:t>
      </w:r>
      <w:r w:rsidR="00C1090E" w:rsidRPr="00FA3CD4">
        <w:rPr>
          <w:rFonts w:cstheme="minorHAnsi"/>
        </w:rPr>
        <w:t>Uriah, Bathsheba, and the other victims of Joab’s stratagem.</w:t>
      </w:r>
      <w:r w:rsidR="000C463E" w:rsidRPr="00FA3CD4">
        <w:rPr>
          <w:rFonts w:cstheme="minorHAnsi"/>
        </w:rPr>
        <w:t xml:space="preserve"> </w:t>
      </w:r>
    </w:p>
    <w:p w14:paraId="0DEC902B" w14:textId="4577714B" w:rsidR="007A70F3" w:rsidRPr="00F00296" w:rsidRDefault="0089323B" w:rsidP="00F00296">
      <w:pPr>
        <w:rPr>
          <w:rFonts w:cstheme="minorHAnsi"/>
        </w:rPr>
      </w:pPr>
      <w:r>
        <w:rPr>
          <w:rFonts w:cstheme="minorHAnsi"/>
        </w:rPr>
        <w:t>Fourth</w:t>
      </w:r>
      <w:r w:rsidR="007B1062">
        <w:rPr>
          <w:rFonts w:cstheme="minorHAnsi"/>
        </w:rPr>
        <w:t>l</w:t>
      </w:r>
      <w:r>
        <w:rPr>
          <w:rFonts w:cstheme="minorHAnsi"/>
        </w:rPr>
        <w:t xml:space="preserve">y, </w:t>
      </w:r>
      <w:r w:rsidR="007B1062">
        <w:rPr>
          <w:rFonts w:cstheme="minorHAnsi"/>
        </w:rPr>
        <w:t>t</w:t>
      </w:r>
      <w:r w:rsidR="00122CA4" w:rsidRPr="00FA3CD4">
        <w:rPr>
          <w:rFonts w:cstheme="minorHAnsi"/>
        </w:rPr>
        <w:t>h</w:t>
      </w:r>
      <w:r w:rsidR="005D4AE5" w:rsidRPr="00FA3CD4">
        <w:rPr>
          <w:rFonts w:cstheme="minorHAnsi"/>
        </w:rPr>
        <w:t>e</w:t>
      </w:r>
      <w:r w:rsidR="00122CA4" w:rsidRPr="00FA3CD4">
        <w:rPr>
          <w:rFonts w:cstheme="minorHAnsi"/>
        </w:rPr>
        <w:t xml:space="preserve"> principle finds </w:t>
      </w:r>
      <w:r w:rsidR="00624B6E">
        <w:rPr>
          <w:rFonts w:cstheme="minorHAnsi"/>
        </w:rPr>
        <w:t xml:space="preserve">yet </w:t>
      </w:r>
      <w:r w:rsidR="000C463E" w:rsidRPr="00FA3CD4">
        <w:rPr>
          <w:rFonts w:cstheme="minorHAnsi"/>
        </w:rPr>
        <w:t>earli</w:t>
      </w:r>
      <w:r w:rsidR="00122CA4" w:rsidRPr="00FA3CD4">
        <w:rPr>
          <w:rFonts w:cstheme="minorHAnsi"/>
        </w:rPr>
        <w:t xml:space="preserve">er expression in the </w:t>
      </w:r>
      <w:r w:rsidR="007F1476" w:rsidRPr="00FA3CD4">
        <w:rPr>
          <w:rFonts w:cstheme="minorHAnsi"/>
        </w:rPr>
        <w:t xml:space="preserve">punchline of the </w:t>
      </w:r>
      <w:r w:rsidR="00A016AF">
        <w:rPr>
          <w:rFonts w:cstheme="minorHAnsi"/>
        </w:rPr>
        <w:t xml:space="preserve">preceding </w:t>
      </w:r>
      <w:r w:rsidR="007F1476" w:rsidRPr="00FA3CD4">
        <w:rPr>
          <w:rFonts w:cstheme="minorHAnsi"/>
        </w:rPr>
        <w:t xml:space="preserve">chapter: </w:t>
      </w:r>
      <w:r w:rsidR="0060214D" w:rsidRPr="00FA3CD4">
        <w:rPr>
          <w:rFonts w:cstheme="minorHAnsi"/>
        </w:rPr>
        <w:t>“the thing that David did was dire in Yahweh’s eyes</w:t>
      </w:r>
      <w:r w:rsidR="00FA3CD4" w:rsidRPr="00FA3CD4">
        <w:rPr>
          <w:rFonts w:cstheme="minorHAnsi"/>
        </w:rPr>
        <w:t xml:space="preserve">” </w:t>
      </w:r>
      <w:r w:rsidR="00505B8B">
        <w:rPr>
          <w:rFonts w:cstheme="minorHAnsi"/>
        </w:rPr>
        <w:t xml:space="preserve">(11:27), </w:t>
      </w:r>
      <w:r w:rsidR="00FA3CD4">
        <w:rPr>
          <w:rFonts w:cstheme="minorHAnsi"/>
        </w:rPr>
        <w:t>“</w:t>
      </w:r>
      <w:r w:rsidR="00FA3CD4" w:rsidRPr="00FA3CD4">
        <w:rPr>
          <w:rFonts w:cstheme="minorHAnsi"/>
        </w:rPr>
        <w:t>the only unambiguous statement in the narrative.”</w:t>
      </w:r>
      <w:r w:rsidR="00FA3CD4">
        <w:rPr>
          <w:rStyle w:val="FootnoteReference"/>
          <w:rFonts w:cstheme="minorHAnsi"/>
        </w:rPr>
        <w:footnoteReference w:id="371"/>
      </w:r>
      <w:r w:rsidR="00505B8B">
        <w:rPr>
          <w:rFonts w:cstheme="minorHAnsi"/>
        </w:rPr>
        <w:t xml:space="preserve"> </w:t>
      </w:r>
      <w:r w:rsidR="00B51F07">
        <w:t xml:space="preserve">The chapter </w:t>
      </w:r>
      <w:r w:rsidR="00505B8B">
        <w:t>relating</w:t>
      </w:r>
      <w:r w:rsidR="00FB5F7E" w:rsidRPr="001F52A8">
        <w:t xml:space="preserve"> t</w:t>
      </w:r>
      <w:r w:rsidR="007A70F3" w:rsidRPr="001F52A8">
        <w:t xml:space="preserve">he </w:t>
      </w:r>
      <w:r w:rsidR="00612AB8" w:rsidRPr="001F52A8">
        <w:t xml:space="preserve">(un)ethical </w:t>
      </w:r>
      <w:r w:rsidR="0047565F" w:rsidRPr="001F52A8">
        <w:t>actions of David i</w:t>
      </w:r>
      <w:r w:rsidR="00B51F07">
        <w:t>s</w:t>
      </w:r>
      <w:r w:rsidR="0047565F" w:rsidRPr="001F52A8">
        <w:t xml:space="preserve"> a narrative</w:t>
      </w:r>
      <w:r w:rsidR="00504EC1" w:rsidRPr="001F52A8">
        <w:t>, and narrative</w:t>
      </w:r>
      <w:r w:rsidR="00C105EE">
        <w:t>s</w:t>
      </w:r>
      <w:r w:rsidR="00504EC1" w:rsidRPr="001F52A8">
        <w:t xml:space="preserve"> </w:t>
      </w:r>
      <w:r w:rsidR="00505B8B">
        <w:t>generally</w:t>
      </w:r>
      <w:r w:rsidR="00504EC1" w:rsidRPr="001F52A8">
        <w:t xml:space="preserve"> </w:t>
      </w:r>
      <w:r w:rsidR="00F60D12" w:rsidRPr="001F52A8">
        <w:t>“show” rather than “tell</w:t>
      </w:r>
      <w:r w:rsidR="00505B8B">
        <w:t>,</w:t>
      </w:r>
      <w:r w:rsidR="00F60D12" w:rsidRPr="001F52A8">
        <w:t>” leav</w:t>
      </w:r>
      <w:r w:rsidR="00505B8B">
        <w:t>ing</w:t>
      </w:r>
      <w:r w:rsidR="00F60D12" w:rsidRPr="001F52A8">
        <w:t xml:space="preserve"> </w:t>
      </w:r>
      <w:r w:rsidR="00615111" w:rsidRPr="001F52A8">
        <w:t>implications, feelings, and motivations unstated.</w:t>
      </w:r>
      <w:r w:rsidR="00263BAA" w:rsidRPr="001F52A8">
        <w:t xml:space="preserve"> </w:t>
      </w:r>
      <w:r w:rsidR="00804677" w:rsidRPr="001F52A8">
        <w:t xml:space="preserve">While </w:t>
      </w:r>
      <w:r w:rsidR="00C80F82" w:rsidRPr="001F52A8">
        <w:t>the narrative in 11:1</w:t>
      </w:r>
      <w:r w:rsidR="00726EAF" w:rsidRPr="001F52A8">
        <w:t xml:space="preserve">-27 </w:t>
      </w:r>
      <w:r w:rsidR="00505B8B">
        <w:t xml:space="preserve">thus </w:t>
      </w:r>
      <w:r w:rsidR="00C105EE">
        <w:t xml:space="preserve">does </w:t>
      </w:r>
      <w:r w:rsidR="00804677" w:rsidRPr="001F52A8">
        <w:t xml:space="preserve">finally comment </w:t>
      </w:r>
      <w:r w:rsidR="00EE6D71" w:rsidRPr="001F52A8">
        <w:t>on Yahweh’s feelings about the events</w:t>
      </w:r>
      <w:r w:rsidR="00A73D69" w:rsidRPr="001F52A8">
        <w:t>, it</w:t>
      </w:r>
      <w:r w:rsidR="00830EDE" w:rsidRPr="001F52A8">
        <w:t xml:space="preserve"> leaves ambiguous </w:t>
      </w:r>
      <w:r w:rsidR="00A73D69" w:rsidRPr="001F52A8">
        <w:t xml:space="preserve">the </w:t>
      </w:r>
      <w:r w:rsidR="00830EDE" w:rsidRPr="001F52A8">
        <w:t>feelings of the people involved.</w:t>
      </w:r>
      <w:r w:rsidR="006E77F1">
        <w:rPr>
          <w:rStyle w:val="FootnoteReference"/>
        </w:rPr>
        <w:footnoteReference w:id="372"/>
      </w:r>
      <w:r w:rsidR="00830EDE" w:rsidRPr="001F52A8">
        <w:t xml:space="preserve"> Why </w:t>
      </w:r>
      <w:r w:rsidR="00EB78F7" w:rsidRPr="001F52A8">
        <w:t>do</w:t>
      </w:r>
      <w:r w:rsidR="00F769AC" w:rsidRPr="001F52A8">
        <w:t>e</w:t>
      </w:r>
      <w:r w:rsidR="00EB78F7" w:rsidRPr="001F52A8">
        <w:t>s David stay behind in Jerusalem?</w:t>
      </w:r>
      <w:r w:rsidR="00183A64" w:rsidRPr="001F52A8">
        <w:t xml:space="preserve"> Why does he want Bathsheba</w:t>
      </w:r>
      <w:r w:rsidR="00182CBC">
        <w:t xml:space="preserve"> when he has all those other wives</w:t>
      </w:r>
      <w:r w:rsidR="00183A64" w:rsidRPr="001F52A8">
        <w:t xml:space="preserve">? </w:t>
      </w:r>
      <w:r w:rsidR="00F3705D">
        <w:t xml:space="preserve">Is </w:t>
      </w:r>
      <w:r w:rsidR="007931FB">
        <w:t>something political going on?</w:t>
      </w:r>
      <w:r w:rsidR="007931FB">
        <w:rPr>
          <w:rStyle w:val="FootnoteReference"/>
        </w:rPr>
        <w:footnoteReference w:id="373"/>
      </w:r>
      <w:r w:rsidR="007931FB">
        <w:t xml:space="preserve"> </w:t>
      </w:r>
      <w:r w:rsidR="00183A64" w:rsidRPr="001F52A8">
        <w:t xml:space="preserve">What does </w:t>
      </w:r>
      <w:r w:rsidR="00B55493">
        <w:t>Bathsheba</w:t>
      </w:r>
      <w:r w:rsidR="00183A64" w:rsidRPr="001F52A8">
        <w:t xml:space="preserve"> feel about </w:t>
      </w:r>
      <w:r w:rsidR="00222D1F" w:rsidRPr="001F52A8">
        <w:t>David’s summons, their sexual relationship, and her pregnancy?</w:t>
      </w:r>
      <w:r w:rsidR="00A67A81">
        <w:rPr>
          <w:rStyle w:val="FootnoteReference"/>
        </w:rPr>
        <w:footnoteReference w:id="374"/>
      </w:r>
      <w:r w:rsidR="00222D1F" w:rsidRPr="001F52A8">
        <w:t xml:space="preserve"> </w:t>
      </w:r>
      <w:r w:rsidR="00260F72" w:rsidRPr="001F52A8">
        <w:t xml:space="preserve">What do David’s staff think? </w:t>
      </w:r>
      <w:r w:rsidR="00BD5586" w:rsidRPr="001F52A8">
        <w:t xml:space="preserve">What </w:t>
      </w:r>
      <w:r w:rsidR="00C6601C">
        <w:t>does</w:t>
      </w:r>
      <w:r w:rsidR="00BD5586" w:rsidRPr="001F52A8">
        <w:t xml:space="preserve"> Uriah </w:t>
      </w:r>
      <w:r w:rsidR="00C6601C">
        <w:t xml:space="preserve">think and what is his motivation </w:t>
      </w:r>
      <w:r w:rsidR="00BD5586" w:rsidRPr="001F52A8">
        <w:t>in his response to David</w:t>
      </w:r>
      <w:r w:rsidR="00B55493">
        <w:t>,</w:t>
      </w:r>
      <w:r w:rsidR="00A80ADC">
        <w:t xml:space="preserve"> and what is the significance of his being </w:t>
      </w:r>
      <w:r w:rsidR="006A600D">
        <w:t>repeatedly labeled a Hittite</w:t>
      </w:r>
      <w:r w:rsidR="00BD5586" w:rsidRPr="001F52A8">
        <w:t>?</w:t>
      </w:r>
      <w:r w:rsidR="00A92C48">
        <w:rPr>
          <w:rStyle w:val="FootnoteReference"/>
        </w:rPr>
        <w:footnoteReference w:id="375"/>
      </w:r>
      <w:r w:rsidR="002109F7" w:rsidRPr="001F52A8">
        <w:t xml:space="preserve"> What does Joab think about the task required of him?</w:t>
      </w:r>
      <w:r w:rsidR="00C20084" w:rsidRPr="001F52A8">
        <w:t xml:space="preserve"> What does Bathsheba </w:t>
      </w:r>
      <w:r w:rsidR="00970720" w:rsidRPr="001F52A8">
        <w:t xml:space="preserve">think about Uriah’s death </w:t>
      </w:r>
      <w:r w:rsidR="00D925F1">
        <w:t>(</w:t>
      </w:r>
      <w:r w:rsidR="00B67C5A">
        <w:t xml:space="preserve">“mourning” denotes </w:t>
      </w:r>
      <w:r w:rsidR="00B55493">
        <w:t xml:space="preserve">simply </w:t>
      </w:r>
      <w:r w:rsidR="00B67C5A">
        <w:t xml:space="preserve">the formal process) </w:t>
      </w:r>
      <w:r w:rsidR="00970720" w:rsidRPr="001F52A8">
        <w:t xml:space="preserve">and </w:t>
      </w:r>
      <w:r w:rsidR="00EB5111">
        <w:t xml:space="preserve">about </w:t>
      </w:r>
      <w:r w:rsidR="00970720" w:rsidRPr="001F52A8">
        <w:t>he</w:t>
      </w:r>
      <w:r w:rsidR="001F0AD9">
        <w:t>r</w:t>
      </w:r>
      <w:r w:rsidR="00970720" w:rsidRPr="001F52A8">
        <w:t xml:space="preserve"> marriage to David</w:t>
      </w:r>
      <w:r w:rsidR="006469F4">
        <w:t xml:space="preserve"> and her baby’s death</w:t>
      </w:r>
      <w:r w:rsidR="00970720" w:rsidRPr="001F52A8">
        <w:t xml:space="preserve">? </w:t>
      </w:r>
      <w:r w:rsidR="00EA7420">
        <w:t xml:space="preserve">Why does Yahweh stay uninvolved </w:t>
      </w:r>
      <w:r w:rsidR="002560B3">
        <w:t xml:space="preserve">until he sends Nathan? </w:t>
      </w:r>
      <w:r w:rsidR="002D3B13" w:rsidRPr="001F52A8">
        <w:t>Interpretations of the story give a variety of plausible answers to these questions</w:t>
      </w:r>
      <w:r w:rsidR="008D5549" w:rsidRPr="001F52A8">
        <w:t xml:space="preserve"> that reflect the perspectives of the interpreters (e.g., feminist, pos</w:t>
      </w:r>
      <w:r w:rsidR="00030944" w:rsidRPr="001F52A8">
        <w:t>tcolonial)</w:t>
      </w:r>
      <w:r w:rsidR="00505B8B">
        <w:t>. T</w:t>
      </w:r>
      <w:r w:rsidR="00B30C55">
        <w:t xml:space="preserve">heir variety </w:t>
      </w:r>
      <w:r w:rsidR="00AB7DC2" w:rsidRPr="001F52A8">
        <w:t>underscores th</w:t>
      </w:r>
      <w:r w:rsidR="007E6BA9" w:rsidRPr="001F52A8">
        <w:t>e</w:t>
      </w:r>
      <w:r w:rsidR="00B30C55">
        <w:t xml:space="preserve"> story’s</w:t>
      </w:r>
      <w:r w:rsidR="00AB7DC2" w:rsidRPr="001F52A8">
        <w:t xml:space="preserve"> inherent ambiguity. </w:t>
      </w:r>
      <w:r w:rsidR="00505B8B">
        <w:t>And</w:t>
      </w:r>
      <w:r w:rsidR="00AB7DC2" w:rsidRPr="001F52A8">
        <w:t xml:space="preserve"> this ambiguity </w:t>
      </w:r>
      <w:r w:rsidR="007E6BA9" w:rsidRPr="001F52A8">
        <w:t>is an aspect of its ethical significance</w:t>
      </w:r>
      <w:r w:rsidR="000C1459">
        <w:t xml:space="preserve">. </w:t>
      </w:r>
      <w:r w:rsidR="005156D5">
        <w:t>N</w:t>
      </w:r>
      <w:r w:rsidR="000C0776" w:rsidRPr="001F52A8">
        <w:t>ot know</w:t>
      </w:r>
      <w:r w:rsidR="00F6466D">
        <w:t>ing</w:t>
      </w:r>
      <w:r w:rsidR="000C0776" w:rsidRPr="001F52A8">
        <w:t xml:space="preserve"> the answers to </w:t>
      </w:r>
      <w:r w:rsidR="00022614" w:rsidRPr="001F52A8">
        <w:t>those questions means find</w:t>
      </w:r>
      <w:r w:rsidR="005156D5">
        <w:t>ing</w:t>
      </w:r>
      <w:r w:rsidR="00022614" w:rsidRPr="001F52A8">
        <w:t xml:space="preserve"> ourselves in the stories</w:t>
      </w:r>
      <w:r w:rsidR="00C16799">
        <w:t xml:space="preserve"> and mak</w:t>
      </w:r>
      <w:r w:rsidR="005156D5">
        <w:t>ing</w:t>
      </w:r>
      <w:r w:rsidR="00C16799">
        <w:t xml:space="preserve"> ethical judgments</w:t>
      </w:r>
      <w:r w:rsidR="000348F3">
        <w:t xml:space="preserve"> </w:t>
      </w:r>
      <w:r w:rsidR="00347487">
        <w:t>about them, which</w:t>
      </w:r>
      <w:r w:rsidR="000348F3">
        <w:t xml:space="preserve"> tell</w:t>
      </w:r>
      <w:r w:rsidR="00ED4F7B">
        <w:t xml:space="preserve"> </w:t>
      </w:r>
      <w:r w:rsidR="000348F3">
        <w:t xml:space="preserve">us something about ourselves </w:t>
      </w:r>
      <w:r w:rsidR="00124773" w:rsidRPr="001F52A8">
        <w:t xml:space="preserve">through </w:t>
      </w:r>
      <w:r w:rsidR="00CF1319">
        <w:t>our</w:t>
      </w:r>
      <w:r w:rsidR="00124773" w:rsidRPr="001F52A8">
        <w:t xml:space="preserve"> </w:t>
      </w:r>
      <w:r w:rsidR="00CF1319">
        <w:t>reflection</w:t>
      </w:r>
      <w:r w:rsidR="00124773" w:rsidRPr="001F52A8">
        <w:t xml:space="preserve"> on </w:t>
      </w:r>
      <w:r w:rsidR="005156D5">
        <w:t>our</w:t>
      </w:r>
      <w:r w:rsidR="00124773" w:rsidRPr="001F52A8">
        <w:t xml:space="preserve"> re</w:t>
      </w:r>
      <w:r w:rsidR="00663066">
        <w:t>ad</w:t>
      </w:r>
      <w:r w:rsidR="005156D5">
        <w:t>ing of</w:t>
      </w:r>
      <w:r w:rsidR="00124773" w:rsidRPr="001F52A8">
        <w:t xml:space="preserve"> them</w:t>
      </w:r>
      <w:r w:rsidR="00663066">
        <w:t>,</w:t>
      </w:r>
      <w:r w:rsidR="00124773" w:rsidRPr="001F52A8">
        <w:t xml:space="preserve"> </w:t>
      </w:r>
      <w:r w:rsidR="00C16799">
        <w:t xml:space="preserve">on </w:t>
      </w:r>
      <w:r w:rsidR="00124773" w:rsidRPr="001F52A8">
        <w:t>the interpretation we bring to them</w:t>
      </w:r>
      <w:r w:rsidR="00663066">
        <w:t>,</w:t>
      </w:r>
      <w:r w:rsidR="00347487">
        <w:t xml:space="preserve"> and on the different interpretations offered by other people.</w:t>
      </w:r>
    </w:p>
    <w:p w14:paraId="69E86BDF" w14:textId="42D75E6E" w:rsidR="008E3F4C" w:rsidRPr="001F52A8" w:rsidRDefault="00EC7DA6" w:rsidP="00FF4ABE">
      <w:r w:rsidRPr="001F52A8">
        <w:t>F</w:t>
      </w:r>
      <w:r w:rsidR="00C8532C" w:rsidRPr="001F52A8">
        <w:t>ifth, however, th</w:t>
      </w:r>
      <w:r w:rsidR="00FB1BB1">
        <w:t>e</w:t>
      </w:r>
      <w:r w:rsidR="00C8532C" w:rsidRPr="001F52A8">
        <w:t xml:space="preserve"> ambiguity about the characters in the story </w:t>
      </w:r>
      <w:r w:rsidR="0085685B">
        <w:t>contrast</w:t>
      </w:r>
      <w:r w:rsidR="00FB1BB1">
        <w:t>s</w:t>
      </w:r>
      <w:r w:rsidR="0085685B">
        <w:t xml:space="preserve"> with</w:t>
      </w:r>
      <w:r w:rsidR="00FF4ABE" w:rsidRPr="001F52A8">
        <w:t xml:space="preserve"> a further aspect of its ethical implications. E</w:t>
      </w:r>
      <w:r w:rsidR="008E3F4C" w:rsidRPr="001F52A8">
        <w:t>thics involves the personal qualities</w:t>
      </w:r>
      <w:r w:rsidR="00F32E6B" w:rsidRPr="001F52A8">
        <w:t xml:space="preserve"> of a community or</w:t>
      </w:r>
      <w:r w:rsidR="005156D5">
        <w:t xml:space="preserve"> </w:t>
      </w:r>
      <w:r w:rsidR="00F32E6B" w:rsidRPr="001F52A8">
        <w:t xml:space="preserve">an individual. </w:t>
      </w:r>
      <w:r w:rsidR="00304396" w:rsidRPr="001F52A8">
        <w:t xml:space="preserve">Behavior </w:t>
      </w:r>
      <w:r w:rsidR="005156D5">
        <w:t>expresses</w:t>
      </w:r>
      <w:r w:rsidR="00304396" w:rsidRPr="001F52A8">
        <w:t xml:space="preserve"> moral character</w:t>
      </w:r>
      <w:r w:rsidR="000953A2" w:rsidRPr="001F52A8">
        <w:t>,</w:t>
      </w:r>
      <w:r w:rsidR="0022610C" w:rsidRPr="001F52A8">
        <w:t xml:space="preserve"> in virtues and vices.</w:t>
      </w:r>
      <w:r w:rsidR="00F32E6B" w:rsidRPr="001F52A8">
        <w:t xml:space="preserve"> </w:t>
      </w:r>
      <w:r w:rsidR="0055577C">
        <w:t xml:space="preserve">Even where it leaves unclear whether David </w:t>
      </w:r>
      <w:r w:rsidR="0055577C">
        <w:lastRenderedPageBreak/>
        <w:t xml:space="preserve">manifested </w:t>
      </w:r>
      <w:r w:rsidR="005156D5">
        <w:t>different qualities</w:t>
      </w:r>
      <w:r w:rsidR="0055577C">
        <w:t>, t</w:t>
      </w:r>
      <w:r w:rsidR="00D31555" w:rsidRPr="001F52A8">
        <w:t xml:space="preserve">he story </w:t>
      </w:r>
      <w:r w:rsidR="00F01B8B">
        <w:t>implie</w:t>
      </w:r>
      <w:r w:rsidR="00C2169D" w:rsidRPr="001F52A8">
        <w:t>s</w:t>
      </w:r>
      <w:r w:rsidR="00D31555" w:rsidRPr="001F52A8">
        <w:t xml:space="preserve"> a</w:t>
      </w:r>
      <w:r w:rsidR="00576E88">
        <w:t xml:space="preserve"> positive</w:t>
      </w:r>
      <w:r w:rsidR="00D31555" w:rsidRPr="001F52A8">
        <w:t xml:space="preserve"> evaluation of </w:t>
      </w:r>
      <w:r w:rsidR="005156D5">
        <w:t>some</w:t>
      </w:r>
      <w:r w:rsidR="00946CEB">
        <w:t xml:space="preserve"> </w:t>
      </w:r>
      <w:r w:rsidR="005156D5">
        <w:t>(</w:t>
      </w:r>
      <w:r w:rsidR="00946CEB">
        <w:t>and a negative evaluation of their opposites</w:t>
      </w:r>
      <w:r w:rsidR="0055577C">
        <w:t>).</w:t>
      </w:r>
      <w:r w:rsidR="00D54DB7">
        <w:t xml:space="preserve"> </w:t>
      </w:r>
    </w:p>
    <w:p w14:paraId="7C6F46ED" w14:textId="5400E124" w:rsidR="00207193" w:rsidRPr="001F52A8" w:rsidRDefault="00207193" w:rsidP="00FF4ABE"/>
    <w:p w14:paraId="0F686E6B" w14:textId="5AD13128" w:rsidR="007B5E53" w:rsidRPr="007B5E53" w:rsidRDefault="00762BF8" w:rsidP="007B5E53">
      <w:pPr>
        <w:pStyle w:val="ListParagraph"/>
        <w:numPr>
          <w:ilvl w:val="0"/>
          <w:numId w:val="13"/>
        </w:numPr>
        <w:ind w:left="720"/>
        <w:rPr>
          <w:lang w:val="en-US"/>
        </w:rPr>
      </w:pPr>
      <w:r w:rsidRPr="001F52A8">
        <w:rPr>
          <w:lang w:val="en-US"/>
        </w:rPr>
        <w:t xml:space="preserve">Attentiveness or focus as opposed </w:t>
      </w:r>
      <w:r w:rsidRPr="007B5E53">
        <w:rPr>
          <w:rFonts w:cs="Calibri"/>
          <w:lang w:val="en-US"/>
        </w:rPr>
        <w:t xml:space="preserve">to </w:t>
      </w:r>
      <w:r w:rsidR="00967FBC" w:rsidRPr="007B5E53">
        <w:rPr>
          <w:rFonts w:cs="Calibri"/>
          <w:lang w:val="en-US"/>
        </w:rPr>
        <w:t>lethargy or apathy (</w:t>
      </w:r>
      <w:r w:rsidR="00474B99" w:rsidRPr="007B5E53">
        <w:rPr>
          <w:rFonts w:cs="Calibri"/>
          <w:lang w:val="en-US"/>
        </w:rPr>
        <w:t>11:1-2, 9-13)</w:t>
      </w:r>
      <w:r w:rsidR="001169F5" w:rsidRPr="007B5E53">
        <w:rPr>
          <w:rFonts w:cs="Calibri"/>
          <w:lang w:val="en-US"/>
        </w:rPr>
        <w:t xml:space="preserve">. </w:t>
      </w:r>
      <w:r w:rsidR="000079FD" w:rsidRPr="007B5E53">
        <w:rPr>
          <w:rFonts w:cs="Calibri"/>
          <w:lang w:val="en-US"/>
        </w:rPr>
        <w:t>Wh</w:t>
      </w:r>
      <w:r w:rsidR="00464452">
        <w:rPr>
          <w:rFonts w:cs="Calibri"/>
          <w:lang w:val="en-US"/>
        </w:rPr>
        <w:t>ile</w:t>
      </w:r>
      <w:r w:rsidR="000079FD" w:rsidRPr="007B5E53">
        <w:rPr>
          <w:rFonts w:cs="Calibri"/>
          <w:lang w:val="en-US"/>
        </w:rPr>
        <w:t xml:space="preserve"> David is </w:t>
      </w:r>
      <w:r w:rsidR="007C1B7B">
        <w:rPr>
          <w:rFonts w:cs="Calibri"/>
          <w:lang w:val="en-US"/>
        </w:rPr>
        <w:t xml:space="preserve">enjoying a long siesta </w:t>
      </w:r>
      <w:r w:rsidR="000079FD" w:rsidRPr="007B5E53">
        <w:rPr>
          <w:rFonts w:cs="Calibri"/>
          <w:lang w:val="en-US"/>
        </w:rPr>
        <w:t xml:space="preserve">at home, the covenant chest </w:t>
      </w:r>
      <w:r w:rsidR="00AA74B2" w:rsidRPr="007B5E53">
        <w:rPr>
          <w:rFonts w:cs="Calibri"/>
          <w:lang w:val="en-US"/>
        </w:rPr>
        <w:t>a</w:t>
      </w:r>
      <w:r w:rsidR="00153353">
        <w:rPr>
          <w:rFonts w:cs="Calibri"/>
          <w:lang w:val="en-US"/>
        </w:rPr>
        <w:t>nd</w:t>
      </w:r>
      <w:r w:rsidR="00AA74B2" w:rsidRPr="007B5E53">
        <w:rPr>
          <w:rFonts w:cs="Calibri"/>
          <w:lang w:val="en-US"/>
        </w:rPr>
        <w:t xml:space="preserve"> the army are on the battle fiel</w:t>
      </w:r>
      <w:r w:rsidR="005156D5">
        <w:rPr>
          <w:rFonts w:cs="Calibri"/>
          <w:lang w:val="en-US"/>
        </w:rPr>
        <w:t>d</w:t>
      </w:r>
      <w:r w:rsidR="00AA74B2" w:rsidRPr="007B5E53">
        <w:rPr>
          <w:rFonts w:cs="Calibri"/>
          <w:lang w:val="en-US"/>
        </w:rPr>
        <w:t>.</w:t>
      </w:r>
      <w:r w:rsidR="005F7D12" w:rsidRPr="007B5E53">
        <w:rPr>
          <w:rFonts w:cs="Calibri"/>
          <w:lang w:val="en-US"/>
        </w:rPr>
        <w:t xml:space="preserve"> </w:t>
      </w:r>
      <w:r w:rsidR="00954E6A">
        <w:rPr>
          <w:rFonts w:cs="Calibri"/>
          <w:lang w:val="en-US"/>
        </w:rPr>
        <w:t>David’s</w:t>
      </w:r>
      <w:r w:rsidR="005F7D12" w:rsidRPr="007B5E53">
        <w:rPr>
          <w:rFonts w:cs="Calibri"/>
          <w:lang w:val="en-US"/>
        </w:rPr>
        <w:t xml:space="preserve"> attitude contrasts with </w:t>
      </w:r>
      <w:r w:rsidR="00D103DE">
        <w:rPr>
          <w:rFonts w:cs="Calibri"/>
          <w:lang w:val="en-US"/>
        </w:rPr>
        <w:t xml:space="preserve">his </w:t>
      </w:r>
      <w:r w:rsidR="00690E45">
        <w:rPr>
          <w:rFonts w:cs="Calibri"/>
          <w:lang w:val="en-US"/>
        </w:rPr>
        <w:t>earlier discomfort</w:t>
      </w:r>
      <w:r w:rsidR="00690E45" w:rsidRPr="007B5E53">
        <w:rPr>
          <w:rFonts w:cs="Calibri"/>
          <w:lang w:val="en-US"/>
        </w:rPr>
        <w:t xml:space="preserve"> </w:t>
      </w:r>
      <w:r w:rsidR="00690E45">
        <w:rPr>
          <w:rFonts w:cs="Calibri"/>
          <w:lang w:val="en-US"/>
        </w:rPr>
        <w:t>about being at ease</w:t>
      </w:r>
      <w:r w:rsidR="005F7D12" w:rsidRPr="007B5E53">
        <w:rPr>
          <w:rFonts w:cs="Calibri"/>
          <w:lang w:val="en-US"/>
        </w:rPr>
        <w:t xml:space="preserve"> </w:t>
      </w:r>
      <w:r w:rsidR="00D103DE">
        <w:rPr>
          <w:rFonts w:cs="Calibri"/>
          <w:lang w:val="en-US"/>
        </w:rPr>
        <w:t>(</w:t>
      </w:r>
      <w:r w:rsidR="005F7D12" w:rsidRPr="007B5E53">
        <w:rPr>
          <w:rFonts w:cs="Calibri"/>
          <w:lang w:val="en-US"/>
        </w:rPr>
        <w:t>7:1</w:t>
      </w:r>
      <w:r w:rsidR="00D103DE">
        <w:rPr>
          <w:rFonts w:cs="Calibri"/>
          <w:lang w:val="en-US"/>
        </w:rPr>
        <w:t>-2)</w:t>
      </w:r>
      <w:r w:rsidR="001F024B">
        <w:rPr>
          <w:rFonts w:cs="Calibri"/>
          <w:lang w:val="en-US"/>
        </w:rPr>
        <w:t xml:space="preserve"> and </w:t>
      </w:r>
      <w:r w:rsidR="00690E45">
        <w:rPr>
          <w:rFonts w:cs="Calibri"/>
          <w:lang w:val="en-US"/>
        </w:rPr>
        <w:t xml:space="preserve">with </w:t>
      </w:r>
      <w:r w:rsidR="001F024B">
        <w:rPr>
          <w:rFonts w:cs="Calibri"/>
          <w:lang w:val="en-US"/>
        </w:rPr>
        <w:t>th</w:t>
      </w:r>
      <w:r w:rsidR="00946D16">
        <w:rPr>
          <w:rFonts w:cs="Calibri"/>
          <w:lang w:val="en-US"/>
        </w:rPr>
        <w:t>e attitude</w:t>
      </w:r>
      <w:r w:rsidR="001F024B">
        <w:rPr>
          <w:rFonts w:cs="Calibri"/>
          <w:lang w:val="en-US"/>
        </w:rPr>
        <w:t xml:space="preserve"> </w:t>
      </w:r>
      <w:r w:rsidR="00B11234">
        <w:rPr>
          <w:rFonts w:cs="Calibri"/>
          <w:lang w:val="en-US"/>
        </w:rPr>
        <w:t xml:space="preserve">implied </w:t>
      </w:r>
      <w:r w:rsidR="009E528E">
        <w:rPr>
          <w:rFonts w:cs="Calibri"/>
          <w:lang w:val="en-US"/>
        </w:rPr>
        <w:t xml:space="preserve">by Joab’s later exhortation </w:t>
      </w:r>
      <w:r w:rsidR="00B11234">
        <w:rPr>
          <w:rFonts w:cs="Calibri"/>
          <w:lang w:val="en-US"/>
        </w:rPr>
        <w:t>12:27-28</w:t>
      </w:r>
      <w:r w:rsidR="009E528E">
        <w:rPr>
          <w:rFonts w:cs="Calibri"/>
          <w:lang w:val="en-US"/>
        </w:rPr>
        <w:t>)</w:t>
      </w:r>
      <w:r w:rsidR="00B11234">
        <w:rPr>
          <w:rFonts w:cs="Calibri"/>
          <w:lang w:val="en-US"/>
        </w:rPr>
        <w:t>.</w:t>
      </w:r>
      <w:r w:rsidR="00A36543" w:rsidRPr="007B5E53">
        <w:rPr>
          <w:rFonts w:cs="Calibri"/>
          <w:lang w:val="en-US"/>
        </w:rPr>
        <w:t xml:space="preserve"> </w:t>
      </w:r>
      <w:r w:rsidR="00296E06">
        <w:rPr>
          <w:rFonts w:cs="Calibri"/>
          <w:lang w:val="en-US"/>
        </w:rPr>
        <w:t xml:space="preserve">David </w:t>
      </w:r>
      <w:r w:rsidR="00834805" w:rsidRPr="007B5E53">
        <w:rPr>
          <w:rFonts w:cs="Calibri"/>
          <w:lang w:val="en-US"/>
        </w:rPr>
        <w:t>“has ceased to be</w:t>
      </w:r>
      <w:r w:rsidR="007B5E53" w:rsidRPr="007B5E53">
        <w:rPr>
          <w:rFonts w:cs="Calibri"/>
          <w:color w:val="222222"/>
          <w:shd w:val="clear" w:color="auto" w:fill="FFFFFF"/>
        </w:rPr>
        <w:t xml:space="preserve"> the king requested by Israel who would </w:t>
      </w:r>
      <w:r w:rsidR="000E6817">
        <w:rPr>
          <w:rFonts w:cs="Calibri"/>
          <w:color w:val="222222"/>
          <w:shd w:val="clear" w:color="auto" w:fill="FFFFFF"/>
        </w:rPr>
        <w:t>‘</w:t>
      </w:r>
      <w:r w:rsidR="007B5E53" w:rsidRPr="007B5E53">
        <w:rPr>
          <w:rFonts w:cs="Calibri"/>
          <w:color w:val="222222"/>
          <w:shd w:val="clear" w:color="auto" w:fill="FFFFFF"/>
        </w:rPr>
        <w:t>go out before us and fight our battles</w:t>
      </w:r>
      <w:r w:rsidR="00DF5966">
        <w:rPr>
          <w:rFonts w:cs="Calibri"/>
          <w:color w:val="222222"/>
          <w:shd w:val="clear" w:color="auto" w:fill="FFFFFF"/>
        </w:rPr>
        <w:t>’</w:t>
      </w:r>
      <w:r w:rsidR="000E6817">
        <w:rPr>
          <w:rFonts w:cs="Calibri"/>
          <w:color w:val="222222"/>
          <w:shd w:val="clear" w:color="auto" w:fill="FFFFFF"/>
        </w:rPr>
        <w:t>”</w:t>
      </w:r>
      <w:r w:rsidR="00DF5966">
        <w:rPr>
          <w:rFonts w:cs="Calibri"/>
          <w:color w:val="222222"/>
          <w:shd w:val="clear" w:color="auto" w:fill="FFFFFF"/>
        </w:rPr>
        <w:t xml:space="preserve"> (1 Sam 8:20)</w:t>
      </w:r>
      <w:r w:rsidR="00B60DF1">
        <w:rPr>
          <w:rFonts w:cs="Calibri"/>
          <w:color w:val="222222"/>
          <w:shd w:val="clear" w:color="auto" w:fill="FFFFFF"/>
        </w:rPr>
        <w:t>;</w:t>
      </w:r>
      <w:r w:rsidR="000E6817">
        <w:rPr>
          <w:rStyle w:val="FootnoteReference"/>
          <w:rFonts w:cs="Calibri"/>
          <w:color w:val="222222"/>
          <w:shd w:val="clear" w:color="auto" w:fill="FFFFFF"/>
        </w:rPr>
        <w:footnoteReference w:id="376"/>
      </w:r>
      <w:r w:rsidR="003F308D">
        <w:rPr>
          <w:rFonts w:cs="Calibri"/>
          <w:color w:val="222222"/>
          <w:shd w:val="clear" w:color="auto" w:fill="FFFFFF"/>
        </w:rPr>
        <w:t xml:space="preserve"> </w:t>
      </w:r>
      <w:r w:rsidR="00296E06">
        <w:rPr>
          <w:rFonts w:cs="Calibri"/>
          <w:color w:val="222222"/>
          <w:shd w:val="clear" w:color="auto" w:fill="FFFFFF"/>
        </w:rPr>
        <w:t xml:space="preserve">indeed, </w:t>
      </w:r>
      <w:r w:rsidR="003F308D">
        <w:rPr>
          <w:rFonts w:cs="Calibri"/>
          <w:color w:val="222222"/>
          <w:shd w:val="clear" w:color="auto" w:fill="FFFFFF"/>
        </w:rPr>
        <w:t xml:space="preserve">eventually </w:t>
      </w:r>
      <w:r w:rsidR="00B60DF1">
        <w:rPr>
          <w:rFonts w:cs="Calibri"/>
          <w:color w:val="222222"/>
          <w:shd w:val="clear" w:color="auto" w:fill="FFFFFF"/>
        </w:rPr>
        <w:t xml:space="preserve">he is “lampooned as </w:t>
      </w:r>
      <w:r w:rsidR="0040430D">
        <w:rPr>
          <w:rFonts w:cs="Calibri"/>
          <w:color w:val="222222"/>
          <w:shd w:val="clear" w:color="auto" w:fill="FFFFFF"/>
        </w:rPr>
        <w:t>a pagan king” (</w:t>
      </w:r>
      <w:r w:rsidR="00B60DF1">
        <w:rPr>
          <w:rFonts w:cs="Calibri"/>
          <w:color w:val="222222"/>
          <w:shd w:val="clear" w:color="auto" w:fill="FFFFFF"/>
        </w:rPr>
        <w:t>12:26-31</w:t>
      </w:r>
      <w:r w:rsidR="0040430D">
        <w:rPr>
          <w:rFonts w:cs="Calibri"/>
          <w:color w:val="222222"/>
          <w:shd w:val="clear" w:color="auto" w:fill="FFFFFF"/>
        </w:rPr>
        <w:t>).</w:t>
      </w:r>
      <w:r w:rsidR="0040430D">
        <w:rPr>
          <w:rStyle w:val="FootnoteReference"/>
          <w:rFonts w:cs="Calibri"/>
          <w:color w:val="222222"/>
          <w:shd w:val="clear" w:color="auto" w:fill="FFFFFF"/>
        </w:rPr>
        <w:footnoteReference w:id="377"/>
      </w:r>
      <w:r w:rsidR="00B41E71">
        <w:rPr>
          <w:rFonts w:cs="Calibri"/>
          <w:color w:val="222222"/>
          <w:shd w:val="clear" w:color="auto" w:fill="FFFFFF"/>
        </w:rPr>
        <w:t xml:space="preserve"> </w:t>
      </w:r>
    </w:p>
    <w:p w14:paraId="7C5B6761" w14:textId="0223397E" w:rsidR="002B54E3" w:rsidRPr="001F52A8" w:rsidRDefault="00A6176B" w:rsidP="002B54E3">
      <w:pPr>
        <w:pStyle w:val="ListParagraph"/>
        <w:numPr>
          <w:ilvl w:val="0"/>
          <w:numId w:val="13"/>
        </w:numPr>
        <w:ind w:left="720"/>
        <w:rPr>
          <w:lang w:val="en-US"/>
        </w:rPr>
      </w:pPr>
      <w:r w:rsidRPr="001F52A8">
        <w:rPr>
          <w:lang w:val="en-US"/>
        </w:rPr>
        <w:t xml:space="preserve">Resistance to </w:t>
      </w:r>
      <w:r w:rsidR="00DE2E01" w:rsidRPr="001F52A8">
        <w:rPr>
          <w:lang w:val="en-US"/>
        </w:rPr>
        <w:t>“fleshly” inclinations as oppose to indulgence of them (11:2-3)</w:t>
      </w:r>
      <w:r w:rsidR="00213141">
        <w:rPr>
          <w:lang w:val="en-US"/>
        </w:rPr>
        <w:t>.</w:t>
      </w:r>
    </w:p>
    <w:p w14:paraId="48729DC1" w14:textId="245467EF" w:rsidR="002C3411" w:rsidRDefault="00403AF1" w:rsidP="00FA5C68">
      <w:pPr>
        <w:pStyle w:val="ListParagraph"/>
        <w:numPr>
          <w:ilvl w:val="0"/>
          <w:numId w:val="13"/>
        </w:numPr>
        <w:ind w:left="720"/>
        <w:rPr>
          <w:lang w:val="en-US"/>
        </w:rPr>
      </w:pPr>
      <w:r>
        <w:rPr>
          <w:lang w:val="en-US"/>
        </w:rPr>
        <w:t xml:space="preserve">Using </w:t>
      </w:r>
      <w:r w:rsidR="00E64577">
        <w:rPr>
          <w:lang w:val="en-US"/>
        </w:rPr>
        <w:t xml:space="preserve">one’s </w:t>
      </w:r>
      <w:r>
        <w:rPr>
          <w:lang w:val="en-US"/>
        </w:rPr>
        <w:t xml:space="preserve">power to protect rather than to </w:t>
      </w:r>
      <w:r w:rsidR="00A67276">
        <w:rPr>
          <w:lang w:val="en-US"/>
        </w:rPr>
        <w:t>dominate</w:t>
      </w:r>
      <w:r w:rsidR="00F5155D">
        <w:rPr>
          <w:lang w:val="en-US"/>
        </w:rPr>
        <w:t xml:space="preserve"> (11:4, </w:t>
      </w:r>
      <w:r w:rsidR="00496A7B">
        <w:rPr>
          <w:lang w:val="en-US"/>
        </w:rPr>
        <w:t>6-21)</w:t>
      </w:r>
      <w:r w:rsidR="00F73132">
        <w:rPr>
          <w:lang w:val="en-US"/>
        </w:rPr>
        <w:t xml:space="preserve">. </w:t>
      </w:r>
      <w:r w:rsidR="00223FBE">
        <w:rPr>
          <w:lang w:val="en-US"/>
        </w:rPr>
        <w:t>Further,</w:t>
      </w:r>
      <w:r w:rsidR="00A60B21">
        <w:rPr>
          <w:lang w:val="en-US"/>
        </w:rPr>
        <w:t xml:space="preserve"> idealizing </w:t>
      </w:r>
      <w:r w:rsidR="00F73132">
        <w:rPr>
          <w:lang w:val="en-US"/>
        </w:rPr>
        <w:t>David’s</w:t>
      </w:r>
      <w:r w:rsidR="00A60B21">
        <w:rPr>
          <w:lang w:val="en-US"/>
        </w:rPr>
        <w:t xml:space="preserve"> </w:t>
      </w:r>
      <w:r w:rsidR="00511E61">
        <w:rPr>
          <w:lang w:val="en-US"/>
        </w:rPr>
        <w:t>“</w:t>
      </w:r>
      <w:r w:rsidR="00A60B21">
        <w:rPr>
          <w:lang w:val="en-US"/>
        </w:rPr>
        <w:t>h</w:t>
      </w:r>
      <w:r w:rsidR="00511E61">
        <w:rPr>
          <w:lang w:val="en-US"/>
        </w:rPr>
        <w:t>egemonic masculinity</w:t>
      </w:r>
      <w:r w:rsidR="00722FEA">
        <w:rPr>
          <w:lang w:val="en-US"/>
        </w:rPr>
        <w:t xml:space="preserve">” brings </w:t>
      </w:r>
      <w:r w:rsidR="00145CD7">
        <w:rPr>
          <w:lang w:val="en-US"/>
        </w:rPr>
        <w:t>“an ethical cost</w:t>
      </w:r>
      <w:r w:rsidR="00223FBE">
        <w:rPr>
          <w:lang w:val="en-US"/>
        </w:rPr>
        <w:t>,</w:t>
      </w:r>
      <w:r w:rsidR="00145CD7">
        <w:rPr>
          <w:lang w:val="en-US"/>
        </w:rPr>
        <w:t>”</w:t>
      </w:r>
      <w:r w:rsidR="00145CD7">
        <w:rPr>
          <w:rStyle w:val="FootnoteReference"/>
          <w:lang w:bidi="he-IL"/>
        </w:rPr>
        <w:footnoteReference w:id="378"/>
      </w:r>
      <w:r w:rsidR="00511E61">
        <w:rPr>
          <w:lang w:val="en-US"/>
        </w:rPr>
        <w:t xml:space="preserve"> </w:t>
      </w:r>
      <w:r w:rsidR="00223FBE">
        <w:rPr>
          <w:lang w:val="en-US"/>
        </w:rPr>
        <w:t>and s</w:t>
      </w:r>
      <w:r w:rsidR="002A4177">
        <w:rPr>
          <w:lang w:val="en-US"/>
        </w:rPr>
        <w:t>imply d</w:t>
      </w:r>
      <w:r w:rsidR="00213141">
        <w:rPr>
          <w:lang w:val="en-US"/>
        </w:rPr>
        <w:t xml:space="preserve">escribing </w:t>
      </w:r>
      <w:r w:rsidR="002A4177">
        <w:rPr>
          <w:lang w:val="en-US"/>
        </w:rPr>
        <w:t>his relationship with Bathsheba as adultery understate</w:t>
      </w:r>
      <w:r w:rsidR="00F31876">
        <w:rPr>
          <w:lang w:val="en-US"/>
        </w:rPr>
        <w:t>s</w:t>
      </w:r>
      <w:r w:rsidR="002A4177">
        <w:rPr>
          <w:lang w:val="en-US"/>
        </w:rPr>
        <w:t xml:space="preserve"> the significance </w:t>
      </w:r>
      <w:r w:rsidR="002A0758">
        <w:rPr>
          <w:lang w:val="en-US"/>
        </w:rPr>
        <w:t>of the power differential between them</w:t>
      </w:r>
      <w:r w:rsidR="00121F6C">
        <w:rPr>
          <w:lang w:val="en-US"/>
        </w:rPr>
        <w:t>.</w:t>
      </w:r>
    </w:p>
    <w:p w14:paraId="738A08BC" w14:textId="39145240" w:rsidR="00FA5C68" w:rsidRPr="001F52A8" w:rsidRDefault="002C3411" w:rsidP="00FA5C68">
      <w:pPr>
        <w:pStyle w:val="ListParagraph"/>
        <w:numPr>
          <w:ilvl w:val="0"/>
          <w:numId w:val="13"/>
        </w:numPr>
        <w:ind w:left="720"/>
        <w:rPr>
          <w:lang w:val="en-US"/>
        </w:rPr>
      </w:pPr>
      <w:r>
        <w:rPr>
          <w:lang w:val="en-US"/>
        </w:rPr>
        <w:t>G</w:t>
      </w:r>
      <w:r w:rsidR="00413F33" w:rsidRPr="001F52A8">
        <w:rPr>
          <w:lang w:val="en-US"/>
        </w:rPr>
        <w:t>iving as opposed to taking</w:t>
      </w:r>
      <w:r w:rsidR="009E031E">
        <w:rPr>
          <w:lang w:val="en-US"/>
        </w:rPr>
        <w:t>.</w:t>
      </w:r>
      <w:r w:rsidR="00E42FDA">
        <w:rPr>
          <w:lang w:val="en-US"/>
        </w:rPr>
        <w:t xml:space="preserve"> </w:t>
      </w:r>
      <w:r w:rsidR="00D80F92">
        <w:rPr>
          <w:lang w:val="en-US"/>
        </w:rPr>
        <w:t>W</w:t>
      </w:r>
      <w:r w:rsidR="00E42FDA">
        <w:rPr>
          <w:lang w:val="en-US"/>
        </w:rPr>
        <w:t>ith</w:t>
      </w:r>
      <w:r w:rsidR="00FA5C68" w:rsidRPr="001F52A8">
        <w:rPr>
          <w:lang w:val="en-US"/>
        </w:rPr>
        <w:t xml:space="preserve"> </w:t>
      </w:r>
      <w:r w:rsidR="00496A7B">
        <w:rPr>
          <w:lang w:val="en-US"/>
        </w:rPr>
        <w:t xml:space="preserve">the </w:t>
      </w:r>
      <w:r w:rsidR="005473DB">
        <w:rPr>
          <w:lang w:val="en-US"/>
        </w:rPr>
        <w:t xml:space="preserve">narrative’s </w:t>
      </w:r>
      <w:r w:rsidR="00FA5C68" w:rsidRPr="001F52A8">
        <w:rPr>
          <w:lang w:val="en-US"/>
        </w:rPr>
        <w:t>took, took, took</w:t>
      </w:r>
      <w:r w:rsidR="00AA6B51">
        <w:rPr>
          <w:lang w:val="en-US"/>
        </w:rPr>
        <w:t>, took</w:t>
      </w:r>
      <w:r w:rsidR="00FA5C68" w:rsidRPr="001F52A8">
        <w:rPr>
          <w:lang w:val="en-US"/>
        </w:rPr>
        <w:t xml:space="preserve"> (11:4; 12:4, 9, 10)</w:t>
      </w:r>
      <w:r w:rsidR="00D80F92">
        <w:rPr>
          <w:lang w:val="en-US"/>
        </w:rPr>
        <w:t>,</w:t>
      </w:r>
      <w:r w:rsidR="00FA5C68" w:rsidRPr="001F52A8">
        <w:rPr>
          <w:lang w:val="en-US"/>
        </w:rPr>
        <w:t xml:space="preserve"> </w:t>
      </w:r>
      <w:r w:rsidR="00E42FDA">
        <w:rPr>
          <w:lang w:val="en-US"/>
        </w:rPr>
        <w:t xml:space="preserve">compare </w:t>
      </w:r>
      <w:r w:rsidR="009E031E">
        <w:rPr>
          <w:lang w:val="en-US"/>
        </w:rPr>
        <w:t>Samuel’s</w:t>
      </w:r>
      <w:r w:rsidR="00FA5C68" w:rsidRPr="001F52A8">
        <w:rPr>
          <w:lang w:val="en-US"/>
        </w:rPr>
        <w:t xml:space="preserve"> take, take, take </w:t>
      </w:r>
      <w:r w:rsidR="009E031E">
        <w:rPr>
          <w:lang w:val="en-US"/>
        </w:rPr>
        <w:t>(</w:t>
      </w:r>
      <w:r w:rsidR="00FA5C68" w:rsidRPr="001F52A8">
        <w:rPr>
          <w:lang w:val="en-US"/>
        </w:rPr>
        <w:t>1 Sam 8:11-16</w:t>
      </w:r>
      <w:r w:rsidR="009E031E">
        <w:rPr>
          <w:lang w:val="en-US"/>
        </w:rPr>
        <w:t>)</w:t>
      </w:r>
      <w:r w:rsidR="00E42FDA">
        <w:rPr>
          <w:lang w:val="en-US"/>
        </w:rPr>
        <w:t>.</w:t>
      </w:r>
      <w:r w:rsidR="00FA5C68" w:rsidRPr="001F52A8">
        <w:rPr>
          <w:lang w:val="en-US"/>
        </w:rPr>
        <w:t xml:space="preserve"> “David has become. . .</w:t>
      </w:r>
      <w:r w:rsidR="00ED4F7B">
        <w:rPr>
          <w:lang w:val="en-US"/>
        </w:rPr>
        <w:t xml:space="preserve"> </w:t>
      </w:r>
      <w:r w:rsidR="00FA5C68" w:rsidRPr="001F52A8">
        <w:rPr>
          <w:lang w:val="en-US"/>
        </w:rPr>
        <w:t>the king of whom Samuel warned.”</w:t>
      </w:r>
      <w:r w:rsidR="00FA5C68" w:rsidRPr="001F52A8">
        <w:rPr>
          <w:rStyle w:val="FootnoteReference"/>
          <w:lang w:val="en-US"/>
        </w:rPr>
        <w:footnoteReference w:id="379"/>
      </w:r>
    </w:p>
    <w:p w14:paraId="067A7EB9" w14:textId="7743C301" w:rsidR="00811826" w:rsidRDefault="00811826" w:rsidP="002B54E3">
      <w:pPr>
        <w:pStyle w:val="ListParagraph"/>
        <w:numPr>
          <w:ilvl w:val="0"/>
          <w:numId w:val="13"/>
        </w:numPr>
        <w:ind w:left="720"/>
        <w:rPr>
          <w:lang w:val="en-US"/>
        </w:rPr>
      </w:pPr>
      <w:r w:rsidRPr="001F52A8">
        <w:rPr>
          <w:lang w:val="en-US"/>
        </w:rPr>
        <w:t>Restraint</w:t>
      </w:r>
      <w:r w:rsidR="00223FBE">
        <w:rPr>
          <w:lang w:val="en-US"/>
        </w:rPr>
        <w:t>,</w:t>
      </w:r>
      <w:r w:rsidRPr="001F52A8">
        <w:rPr>
          <w:lang w:val="en-US"/>
        </w:rPr>
        <w:t xml:space="preserve"> in </w:t>
      </w:r>
      <w:r w:rsidR="00D469EB" w:rsidRPr="001F52A8">
        <w:rPr>
          <w:lang w:val="en-US"/>
        </w:rPr>
        <w:t>re</w:t>
      </w:r>
      <w:r w:rsidR="00223FBE">
        <w:rPr>
          <w:lang w:val="en-US"/>
        </w:rPr>
        <w:t>cognition</w:t>
      </w:r>
      <w:r w:rsidR="00D469EB" w:rsidRPr="001F52A8">
        <w:rPr>
          <w:lang w:val="en-US"/>
        </w:rPr>
        <w:t xml:space="preserve"> of </w:t>
      </w:r>
      <w:r w:rsidR="00B052CE" w:rsidRPr="001F52A8">
        <w:rPr>
          <w:lang w:val="en-US"/>
        </w:rPr>
        <w:t xml:space="preserve">religious commitments </w:t>
      </w:r>
      <w:r w:rsidR="00AC10D9" w:rsidRPr="001F52A8">
        <w:rPr>
          <w:lang w:val="en-US"/>
        </w:rPr>
        <w:t>as opposed to ignoring them</w:t>
      </w:r>
      <w:r w:rsidR="007E18B2">
        <w:rPr>
          <w:lang w:val="en-US"/>
        </w:rPr>
        <w:t>, in connection with</w:t>
      </w:r>
      <w:r w:rsidR="00AC10D9" w:rsidRPr="001F52A8">
        <w:rPr>
          <w:lang w:val="en-US"/>
        </w:rPr>
        <w:t xml:space="preserve"> </w:t>
      </w:r>
      <w:r w:rsidR="007E18B2">
        <w:rPr>
          <w:lang w:val="en-US"/>
        </w:rPr>
        <w:t xml:space="preserve">sex </w:t>
      </w:r>
      <w:r w:rsidR="00AC10D9" w:rsidRPr="001F52A8">
        <w:rPr>
          <w:lang w:val="en-US"/>
        </w:rPr>
        <w:t xml:space="preserve">(11:4, </w:t>
      </w:r>
      <w:r w:rsidR="00932C11">
        <w:rPr>
          <w:lang w:val="en-US"/>
        </w:rPr>
        <w:t>if she was</w:t>
      </w:r>
      <w:r w:rsidR="00990FDE">
        <w:rPr>
          <w:lang w:val="en-US"/>
        </w:rPr>
        <w:t xml:space="preserve"> still</w:t>
      </w:r>
      <w:r w:rsidR="00932C11">
        <w:rPr>
          <w:lang w:val="en-US"/>
        </w:rPr>
        <w:t xml:space="preserve"> purif</w:t>
      </w:r>
      <w:r w:rsidR="000F44A3">
        <w:rPr>
          <w:lang w:val="en-US"/>
        </w:rPr>
        <w:t>ying herself</w:t>
      </w:r>
      <w:r w:rsidR="007E18B2">
        <w:rPr>
          <w:lang w:val="en-US"/>
        </w:rPr>
        <w:t xml:space="preserve">) and </w:t>
      </w:r>
      <w:r w:rsidR="00AA6497">
        <w:rPr>
          <w:lang w:val="en-US"/>
        </w:rPr>
        <w:t>war</w:t>
      </w:r>
      <w:r w:rsidR="00BB4A74">
        <w:rPr>
          <w:lang w:val="en-US"/>
        </w:rPr>
        <w:t xml:space="preserve"> </w:t>
      </w:r>
      <w:r w:rsidR="00AA6497">
        <w:rPr>
          <w:lang w:val="en-US"/>
        </w:rPr>
        <w:t>(</w:t>
      </w:r>
      <w:r w:rsidR="000F44A3">
        <w:rPr>
          <w:lang w:val="en-US"/>
        </w:rPr>
        <w:t>11:</w:t>
      </w:r>
      <w:r w:rsidR="00AC10D9" w:rsidRPr="001F52A8">
        <w:rPr>
          <w:lang w:val="en-US"/>
        </w:rPr>
        <w:t>6-8</w:t>
      </w:r>
      <w:r w:rsidR="00AA6497">
        <w:rPr>
          <w:lang w:val="en-US"/>
        </w:rPr>
        <w:t>),</w:t>
      </w:r>
      <w:r w:rsidR="00FE68CD">
        <w:rPr>
          <w:lang w:val="en-US"/>
        </w:rPr>
        <w:t xml:space="preserve"> since e</w:t>
      </w:r>
      <w:r w:rsidR="00D04719" w:rsidRPr="001F52A8">
        <w:rPr>
          <w:lang w:val="en-US"/>
        </w:rPr>
        <w:t>ngagement in battle</w:t>
      </w:r>
      <w:r w:rsidR="002B54E3" w:rsidRPr="001F52A8">
        <w:rPr>
          <w:lang w:val="en-US"/>
        </w:rPr>
        <w:t xml:space="preserve"> </w:t>
      </w:r>
      <w:r w:rsidR="008F42E5">
        <w:rPr>
          <w:lang w:val="en-US"/>
        </w:rPr>
        <w:t xml:space="preserve">on Yahweh’s behalf </w:t>
      </w:r>
      <w:r w:rsidR="002B54E3" w:rsidRPr="001F52A8">
        <w:rPr>
          <w:lang w:val="en-US"/>
        </w:rPr>
        <w:t>requires one to</w:t>
      </w:r>
      <w:r w:rsidR="004E7483">
        <w:rPr>
          <w:lang w:val="en-US"/>
        </w:rPr>
        <w:t xml:space="preserve"> abstain from sex</w:t>
      </w:r>
      <w:r w:rsidR="000F5108" w:rsidRPr="001F52A8">
        <w:rPr>
          <w:lang w:val="en-US"/>
        </w:rPr>
        <w:t xml:space="preserve"> </w:t>
      </w:r>
      <w:r w:rsidR="00AA6497">
        <w:rPr>
          <w:lang w:val="en-US"/>
        </w:rPr>
        <w:t>(</w:t>
      </w:r>
      <w:r w:rsidR="006F673C" w:rsidRPr="001F52A8">
        <w:rPr>
          <w:lang w:val="en-US"/>
        </w:rPr>
        <w:t>as David knows</w:t>
      </w:r>
      <w:r w:rsidR="00AA6497">
        <w:rPr>
          <w:lang w:val="en-US"/>
        </w:rPr>
        <w:t>:</w:t>
      </w:r>
      <w:r w:rsidR="002664A5">
        <w:rPr>
          <w:lang w:val="en-US"/>
        </w:rPr>
        <w:t xml:space="preserve"> </w:t>
      </w:r>
      <w:r w:rsidR="006F673C" w:rsidRPr="001F52A8">
        <w:rPr>
          <w:lang w:val="en-US"/>
        </w:rPr>
        <w:t>1 Sam 21</w:t>
      </w:r>
      <w:r w:rsidR="001B5652" w:rsidRPr="001F52A8">
        <w:rPr>
          <w:lang w:val="en-US"/>
        </w:rPr>
        <w:t>:5</w:t>
      </w:r>
      <w:r w:rsidR="000F1AFC">
        <w:rPr>
          <w:lang w:val="en-US"/>
        </w:rPr>
        <w:t xml:space="preserve"> [</w:t>
      </w:r>
      <w:r w:rsidR="009A1258">
        <w:rPr>
          <w:lang w:val="en-US"/>
        </w:rPr>
        <w:t>6</w:t>
      </w:r>
      <w:r w:rsidR="000F1AFC">
        <w:rPr>
          <w:lang w:val="en-US"/>
        </w:rPr>
        <w:t>]</w:t>
      </w:r>
      <w:r w:rsidR="001B5652" w:rsidRPr="001F52A8">
        <w:rPr>
          <w:lang w:val="en-US"/>
        </w:rPr>
        <w:t>)</w:t>
      </w:r>
      <w:r w:rsidR="002664A5">
        <w:rPr>
          <w:lang w:val="en-US"/>
        </w:rPr>
        <w:t>.</w:t>
      </w:r>
    </w:p>
    <w:p w14:paraId="457A3AFC" w14:textId="6BEC5182" w:rsidR="001F37A7" w:rsidRDefault="001F37A7" w:rsidP="001F37A7">
      <w:pPr>
        <w:pStyle w:val="ListParagraph"/>
        <w:numPr>
          <w:ilvl w:val="0"/>
          <w:numId w:val="13"/>
        </w:numPr>
        <w:ind w:left="720"/>
        <w:rPr>
          <w:lang w:val="en-US"/>
        </w:rPr>
      </w:pPr>
      <w:r w:rsidRPr="001F52A8">
        <w:rPr>
          <w:lang w:val="en-US"/>
        </w:rPr>
        <w:t>Smartness as opposed to folly (11:4</w:t>
      </w:r>
      <w:r w:rsidR="00A35119">
        <w:rPr>
          <w:lang w:val="en-US"/>
        </w:rPr>
        <w:t>)</w:t>
      </w:r>
      <w:r>
        <w:rPr>
          <w:lang w:val="en-US"/>
        </w:rPr>
        <w:t xml:space="preserve">, if </w:t>
      </w:r>
      <w:r w:rsidR="003C6FA6">
        <w:rPr>
          <w:lang w:val="en-US"/>
        </w:rPr>
        <w:t>Bathsheba’s</w:t>
      </w:r>
      <w:r w:rsidR="005C4CAD">
        <w:rPr>
          <w:lang w:val="en-US"/>
        </w:rPr>
        <w:t xml:space="preserve"> washing </w:t>
      </w:r>
      <w:r w:rsidR="000C1D13">
        <w:rPr>
          <w:lang w:val="en-US"/>
        </w:rPr>
        <w:t xml:space="preserve">implies the completion of her </w:t>
      </w:r>
      <w:r w:rsidR="00BB75A7">
        <w:rPr>
          <w:lang w:val="en-US"/>
        </w:rPr>
        <w:t>purif</w:t>
      </w:r>
      <w:r w:rsidR="000C1D13">
        <w:rPr>
          <w:lang w:val="en-US"/>
        </w:rPr>
        <w:t>ying</w:t>
      </w:r>
      <w:r w:rsidR="00BB75A7">
        <w:rPr>
          <w:lang w:val="en-US"/>
        </w:rPr>
        <w:t xml:space="preserve"> after her period (when she</w:t>
      </w:r>
      <w:r>
        <w:rPr>
          <w:lang w:val="en-US"/>
        </w:rPr>
        <w:t xml:space="preserve"> was therefore particularly liable to conceive</w:t>
      </w:r>
      <w:r w:rsidR="00BB75A7">
        <w:rPr>
          <w:lang w:val="en-US"/>
        </w:rPr>
        <w:t>)</w:t>
      </w:r>
      <w:r w:rsidR="0086573B">
        <w:rPr>
          <w:lang w:val="en-US"/>
        </w:rPr>
        <w:t>.</w:t>
      </w:r>
      <w:r w:rsidR="00510F12">
        <w:rPr>
          <w:rStyle w:val="FootnoteReference"/>
          <w:lang w:val="en-US"/>
        </w:rPr>
        <w:footnoteReference w:id="380"/>
      </w:r>
      <w:r w:rsidR="0086573B">
        <w:rPr>
          <w:lang w:val="en-US"/>
        </w:rPr>
        <w:t xml:space="preserve"> </w:t>
      </w:r>
      <w:r w:rsidR="007B6BE6">
        <w:rPr>
          <w:lang w:val="en-US"/>
        </w:rPr>
        <w:t>M</w:t>
      </w:r>
      <w:r w:rsidR="0086573B">
        <w:rPr>
          <w:lang w:val="en-US"/>
        </w:rPr>
        <w:t xml:space="preserve">uch more significant is the smartness in following what is </w:t>
      </w:r>
      <w:r w:rsidR="005C4CAD">
        <w:rPr>
          <w:lang w:val="en-US"/>
        </w:rPr>
        <w:t>good in Yahweh’s eyes (11:</w:t>
      </w:r>
      <w:r w:rsidRPr="001F52A8">
        <w:rPr>
          <w:lang w:val="en-US"/>
        </w:rPr>
        <w:t>27b)</w:t>
      </w:r>
    </w:p>
    <w:p w14:paraId="32113865" w14:textId="4B5EA7D6" w:rsidR="00F464E9" w:rsidRPr="00F464E9" w:rsidRDefault="0065463B" w:rsidP="00F464E9">
      <w:pPr>
        <w:pStyle w:val="ListParagraph"/>
        <w:numPr>
          <w:ilvl w:val="0"/>
          <w:numId w:val="13"/>
        </w:numPr>
        <w:ind w:left="720"/>
        <w:rPr>
          <w:lang w:val="en-US"/>
        </w:rPr>
      </w:pPr>
      <w:r>
        <w:t>Recogni</w:t>
      </w:r>
      <w:r w:rsidR="003C4916">
        <w:t xml:space="preserve">tion of the ease with which </w:t>
      </w:r>
      <w:r w:rsidR="004F7703">
        <w:t xml:space="preserve">one thing </w:t>
      </w:r>
      <w:r w:rsidR="003C4916">
        <w:t>can lead to an</w:t>
      </w:r>
      <w:r w:rsidR="004F7703">
        <w:t>other</w:t>
      </w:r>
      <w:r w:rsidR="00741C39">
        <w:t xml:space="preserve"> (11:</w:t>
      </w:r>
      <w:r w:rsidR="00DB6F3D">
        <w:t>6-15)</w:t>
      </w:r>
      <w:r w:rsidR="00741C39">
        <w:t>: maybe at the beginning David would have been unable to imagine where the story would end.</w:t>
      </w:r>
    </w:p>
    <w:p w14:paraId="10F2017E" w14:textId="09599A24" w:rsidR="006D1AFA" w:rsidRPr="001F52A8" w:rsidRDefault="006D1AFA" w:rsidP="00762BF8">
      <w:pPr>
        <w:pStyle w:val="ListParagraph"/>
        <w:numPr>
          <w:ilvl w:val="0"/>
          <w:numId w:val="13"/>
        </w:numPr>
        <w:ind w:left="720"/>
        <w:rPr>
          <w:lang w:val="en-US"/>
        </w:rPr>
      </w:pPr>
      <w:r w:rsidRPr="001F52A8">
        <w:rPr>
          <w:lang w:val="en-US"/>
        </w:rPr>
        <w:t>Resistance to immoral expectations as opposed to obedient implementation of them (11:</w:t>
      </w:r>
      <w:r w:rsidR="00803A0E" w:rsidRPr="001F52A8">
        <w:rPr>
          <w:lang w:val="en-US"/>
        </w:rPr>
        <w:t>14-25)</w:t>
      </w:r>
      <w:r w:rsidR="00DB6F3D">
        <w:rPr>
          <w:lang w:val="en-US"/>
        </w:rPr>
        <w:t>.</w:t>
      </w:r>
    </w:p>
    <w:p w14:paraId="7BF324F3" w14:textId="6392876B" w:rsidR="00F456AF" w:rsidRPr="001F52A8" w:rsidRDefault="00BA4B37" w:rsidP="00DA1D9A">
      <w:pPr>
        <w:pStyle w:val="ListParagraph"/>
        <w:numPr>
          <w:ilvl w:val="0"/>
          <w:numId w:val="13"/>
        </w:numPr>
        <w:ind w:left="720"/>
        <w:rPr>
          <w:lang w:val="en-US"/>
        </w:rPr>
      </w:pPr>
      <w:r>
        <w:rPr>
          <w:lang w:val="en-US"/>
        </w:rPr>
        <w:t>Authenticity as opposed to cynicism (11:</w:t>
      </w:r>
      <w:r w:rsidR="001F37A7">
        <w:rPr>
          <w:lang w:val="en-US"/>
        </w:rPr>
        <w:t>25).</w:t>
      </w:r>
      <w:r w:rsidR="00E57859">
        <w:rPr>
          <w:rStyle w:val="FootnoteReference"/>
          <w:rFonts w:cs="Calibri"/>
          <w:color w:val="222222"/>
          <w:shd w:val="clear" w:color="auto" w:fill="FFFFFF"/>
        </w:rPr>
        <w:footnoteReference w:id="381"/>
      </w:r>
    </w:p>
    <w:p w14:paraId="1BF802BD" w14:textId="1980B349" w:rsidR="000126B8" w:rsidRPr="000126B8" w:rsidRDefault="000A6690" w:rsidP="000126B8">
      <w:pPr>
        <w:pStyle w:val="ListParagraph"/>
        <w:numPr>
          <w:ilvl w:val="0"/>
          <w:numId w:val="13"/>
        </w:numPr>
        <w:ind w:left="720"/>
        <w:rPr>
          <w:lang w:val="en-US"/>
        </w:rPr>
      </w:pPr>
      <w:r w:rsidRPr="001F52A8">
        <w:rPr>
          <w:lang w:val="en-US"/>
        </w:rPr>
        <w:t>Gratitude</w:t>
      </w:r>
      <w:r w:rsidR="00DA1D9A" w:rsidRPr="001F52A8">
        <w:rPr>
          <w:lang w:val="en-US"/>
        </w:rPr>
        <w:t xml:space="preserve"> for and </w:t>
      </w:r>
      <w:r w:rsidR="0090636C" w:rsidRPr="001F52A8">
        <w:rPr>
          <w:lang w:val="en-US"/>
        </w:rPr>
        <w:t xml:space="preserve">recognition </w:t>
      </w:r>
      <w:r w:rsidR="00DA1D9A" w:rsidRPr="001F52A8">
        <w:rPr>
          <w:lang w:val="en-US"/>
        </w:rPr>
        <w:t>of God’s g</w:t>
      </w:r>
      <w:r w:rsidR="008814C3">
        <w:rPr>
          <w:lang w:val="en-US"/>
        </w:rPr>
        <w:t>iving</w:t>
      </w:r>
      <w:r w:rsidR="00DA1D9A" w:rsidRPr="001F52A8">
        <w:rPr>
          <w:lang w:val="en-US"/>
        </w:rPr>
        <w:t xml:space="preserve"> as opposed to ignoring it </w:t>
      </w:r>
      <w:r w:rsidR="0019103B">
        <w:rPr>
          <w:lang w:val="en-US"/>
        </w:rPr>
        <w:t xml:space="preserve">and focusing on taking </w:t>
      </w:r>
      <w:r w:rsidR="00DA1D9A" w:rsidRPr="001F52A8">
        <w:rPr>
          <w:lang w:val="en-US"/>
        </w:rPr>
        <w:t>(</w:t>
      </w:r>
      <w:r w:rsidR="0090636C" w:rsidRPr="001F52A8">
        <w:rPr>
          <w:lang w:val="en-US"/>
        </w:rPr>
        <w:t>12:7-8</w:t>
      </w:r>
      <w:r w:rsidR="00DA1D9A" w:rsidRPr="001F52A8">
        <w:rPr>
          <w:lang w:val="en-US"/>
        </w:rPr>
        <w:t>)</w:t>
      </w:r>
      <w:r w:rsidR="000126B8">
        <w:rPr>
          <w:lang w:val="en-US"/>
        </w:rPr>
        <w:t xml:space="preserve">. </w:t>
      </w:r>
    </w:p>
    <w:p w14:paraId="1753ABA3" w14:textId="7A7CDD32" w:rsidR="00526F78" w:rsidRPr="001F52A8" w:rsidRDefault="008214B5" w:rsidP="00DA1D9A">
      <w:pPr>
        <w:pStyle w:val="ListParagraph"/>
        <w:numPr>
          <w:ilvl w:val="0"/>
          <w:numId w:val="13"/>
        </w:numPr>
        <w:ind w:left="720"/>
        <w:rPr>
          <w:lang w:val="en-US"/>
        </w:rPr>
      </w:pPr>
      <w:r w:rsidRPr="001F52A8">
        <w:rPr>
          <w:lang w:val="en-US"/>
        </w:rPr>
        <w:t xml:space="preserve">Respect </w:t>
      </w:r>
      <w:r w:rsidR="00DA1D9A" w:rsidRPr="001F52A8">
        <w:rPr>
          <w:lang w:val="en-US"/>
        </w:rPr>
        <w:t xml:space="preserve">for </w:t>
      </w:r>
      <w:r w:rsidRPr="001F52A8">
        <w:rPr>
          <w:lang w:val="en-US"/>
        </w:rPr>
        <w:t>Yahweh’</w:t>
      </w:r>
      <w:r w:rsidR="0041224F">
        <w:rPr>
          <w:lang w:val="en-US"/>
        </w:rPr>
        <w:t>s</w:t>
      </w:r>
      <w:r w:rsidRPr="001F52A8">
        <w:rPr>
          <w:lang w:val="en-US"/>
        </w:rPr>
        <w:t xml:space="preserve"> word</w:t>
      </w:r>
      <w:r w:rsidR="00DA1D9A" w:rsidRPr="001F52A8">
        <w:rPr>
          <w:lang w:val="en-US"/>
        </w:rPr>
        <w:t xml:space="preserve"> as opposed to despising it</w:t>
      </w:r>
      <w:r w:rsidR="00C636C9" w:rsidRPr="001F52A8">
        <w:rPr>
          <w:rFonts w:cstheme="minorHAnsi"/>
          <w:i/>
          <w:iCs/>
          <w:lang w:val="en-US"/>
        </w:rPr>
        <w:t xml:space="preserve"> </w:t>
      </w:r>
      <w:r w:rsidR="00DA1D9A" w:rsidRPr="001F52A8">
        <w:rPr>
          <w:rFonts w:cstheme="minorHAnsi"/>
          <w:lang w:val="en-US"/>
        </w:rPr>
        <w:t>(</w:t>
      </w:r>
      <w:r w:rsidR="00C636C9" w:rsidRPr="001F52A8">
        <w:rPr>
          <w:lang w:val="en-US"/>
        </w:rPr>
        <w:t>12:9</w:t>
      </w:r>
      <w:r w:rsidR="00DA1D9A" w:rsidRPr="001F52A8">
        <w:rPr>
          <w:lang w:val="en-US"/>
        </w:rPr>
        <w:t>)</w:t>
      </w:r>
      <w:r w:rsidR="00604A3F">
        <w:rPr>
          <w:lang w:val="en-US"/>
        </w:rPr>
        <w:t>.</w:t>
      </w:r>
      <w:r w:rsidR="00DA1D9A" w:rsidRPr="001F52A8">
        <w:rPr>
          <w:lang w:val="en-US"/>
        </w:rPr>
        <w:t xml:space="preserve"> </w:t>
      </w:r>
    </w:p>
    <w:p w14:paraId="0FE8A728" w14:textId="3630E3B4" w:rsidR="00EE3D3F" w:rsidRPr="00EE3D3F" w:rsidRDefault="00257E41" w:rsidP="00EE3D3F">
      <w:pPr>
        <w:pStyle w:val="ListParagraph"/>
        <w:numPr>
          <w:ilvl w:val="0"/>
          <w:numId w:val="13"/>
        </w:numPr>
        <w:ind w:left="720"/>
        <w:rPr>
          <w:lang w:val="en-US"/>
        </w:rPr>
      </w:pPr>
      <w:r w:rsidRPr="001F52A8">
        <w:rPr>
          <w:lang w:val="en-US"/>
        </w:rPr>
        <w:t xml:space="preserve">Respect </w:t>
      </w:r>
      <w:r w:rsidR="00526F78" w:rsidRPr="001F52A8">
        <w:rPr>
          <w:lang w:val="en-US"/>
        </w:rPr>
        <w:t xml:space="preserve">for </w:t>
      </w:r>
      <w:r w:rsidRPr="001F52A8">
        <w:rPr>
          <w:lang w:val="en-US"/>
        </w:rPr>
        <w:t xml:space="preserve">Yahweh </w:t>
      </w:r>
      <w:r w:rsidR="00526F78" w:rsidRPr="001F52A8">
        <w:rPr>
          <w:lang w:val="en-US"/>
        </w:rPr>
        <w:t>as opposed to despising him (</w:t>
      </w:r>
      <w:r w:rsidRPr="001F52A8">
        <w:rPr>
          <w:lang w:val="en-US"/>
        </w:rPr>
        <w:t>12:10</w:t>
      </w:r>
      <w:r w:rsidR="00526F78" w:rsidRPr="001F52A8">
        <w:rPr>
          <w:lang w:val="en-US"/>
        </w:rPr>
        <w:t>)</w:t>
      </w:r>
      <w:r w:rsidR="00006158">
        <w:rPr>
          <w:lang w:val="en-US"/>
        </w:rPr>
        <w:t>. “</w:t>
      </w:r>
      <w:r w:rsidR="00006158" w:rsidRPr="000126B8">
        <w:rPr>
          <w:rFonts w:cstheme="minorHAnsi"/>
        </w:rPr>
        <w:t>Arrogance is more basic than adultery</w:t>
      </w:r>
      <w:r w:rsidR="00A016C9">
        <w:rPr>
          <w:rFonts w:cstheme="minorHAnsi"/>
        </w:rPr>
        <w:t xml:space="preserve"> . . . .</w:t>
      </w:r>
      <w:r w:rsidR="00245A59" w:rsidRPr="00245A59">
        <w:rPr>
          <w:rFonts w:cs="Calibri"/>
        </w:rPr>
        <w:t xml:space="preserve"> David has become contemptuous of God</w:t>
      </w:r>
      <w:r w:rsidR="00245A59">
        <w:rPr>
          <w:rFonts w:cs="Calibri"/>
        </w:rPr>
        <w:t>.</w:t>
      </w:r>
      <w:r w:rsidR="00006158" w:rsidRPr="00245A59">
        <w:rPr>
          <w:rFonts w:cs="Calibri"/>
        </w:rPr>
        <w:t>”</w:t>
      </w:r>
      <w:r w:rsidR="00006158" w:rsidRPr="00245A59">
        <w:rPr>
          <w:rStyle w:val="FootnoteReference"/>
          <w:rFonts w:cs="Calibri"/>
        </w:rPr>
        <w:footnoteReference w:id="382"/>
      </w:r>
    </w:p>
    <w:p w14:paraId="553BC75B" w14:textId="546464DC" w:rsidR="00493C96" w:rsidRPr="00EE3D3F" w:rsidRDefault="003F5D80" w:rsidP="00EE3D3F">
      <w:pPr>
        <w:pStyle w:val="ListParagraph"/>
        <w:numPr>
          <w:ilvl w:val="0"/>
          <w:numId w:val="13"/>
        </w:numPr>
        <w:ind w:left="720"/>
        <w:rPr>
          <w:lang w:val="en-US"/>
        </w:rPr>
      </w:pPr>
      <w:r>
        <w:lastRenderedPageBreak/>
        <w:t>Commitment (</w:t>
      </w:r>
      <w:r w:rsidRPr="00EE3D3F">
        <w:rPr>
          <w:rFonts w:cs="Calibri"/>
          <w:i/>
          <w:iCs/>
        </w:rPr>
        <w:t>ḥ</w:t>
      </w:r>
      <w:r w:rsidRPr="00EE3D3F">
        <w:rPr>
          <w:i/>
          <w:iCs/>
        </w:rPr>
        <w:t>esed</w:t>
      </w:r>
      <w:r>
        <w:t>) to</w:t>
      </w:r>
      <w:r w:rsidR="00D62F9D" w:rsidRPr="001F52A8">
        <w:t xml:space="preserve"> </w:t>
      </w:r>
      <w:r w:rsidR="00365FA8" w:rsidRPr="001F52A8">
        <w:t>a person</w:t>
      </w:r>
      <w:r w:rsidR="00D62F9D" w:rsidRPr="001F52A8">
        <w:t xml:space="preserve"> such as Uriah</w:t>
      </w:r>
      <w:r w:rsidR="00365FA8" w:rsidRPr="001F52A8">
        <w:t xml:space="preserve"> </w:t>
      </w:r>
      <w:r>
        <w:t xml:space="preserve">(cf. the </w:t>
      </w:r>
      <w:r w:rsidR="00D7481E">
        <w:t xml:space="preserve">appearance of this motif in </w:t>
      </w:r>
      <w:r>
        <w:t xml:space="preserve">9:1, 3, 7; 10:2) </w:t>
      </w:r>
      <w:r w:rsidR="00365FA8" w:rsidRPr="001F52A8">
        <w:t xml:space="preserve">as opposed to </w:t>
      </w:r>
      <w:r w:rsidR="00223FBE">
        <w:t>disdain for</w:t>
      </w:r>
      <w:r w:rsidR="00493C96" w:rsidRPr="001F52A8">
        <w:t xml:space="preserve"> his rights and person</w:t>
      </w:r>
      <w:r w:rsidR="00D16424" w:rsidRPr="001F52A8">
        <w:t xml:space="preserve"> (</w:t>
      </w:r>
      <w:r w:rsidR="00A65751" w:rsidRPr="001F52A8">
        <w:t>12:9-10</w:t>
      </w:r>
      <w:r w:rsidR="00A65751" w:rsidRPr="00EE3D3F">
        <w:rPr>
          <w:rFonts w:cs="Calibri"/>
        </w:rPr>
        <w:t>)</w:t>
      </w:r>
      <w:r w:rsidR="003E55B4" w:rsidRPr="00EE3D3F">
        <w:rPr>
          <w:rFonts w:cs="Calibri"/>
        </w:rPr>
        <w:t xml:space="preserve">. </w:t>
      </w:r>
      <w:r w:rsidR="00EE3D3F" w:rsidRPr="00EE3D3F">
        <w:rPr>
          <w:rFonts w:cs="Calibri"/>
        </w:rPr>
        <w:t>“H</w:t>
      </w:r>
      <w:r w:rsidR="002242FE" w:rsidRPr="00EE3D3F">
        <w:rPr>
          <w:rFonts w:cs="Calibri"/>
        </w:rPr>
        <w:t>ierarchically organized power is defined by the powerwielder’s</w:t>
      </w:r>
      <w:r w:rsidR="00EE3D3F" w:rsidRPr="00EE3D3F">
        <w:rPr>
          <w:rFonts w:cs="Calibri"/>
        </w:rPr>
        <w:t xml:space="preserve"> </w:t>
      </w:r>
      <w:r w:rsidR="002242FE" w:rsidRPr="00EE3D3F">
        <w:rPr>
          <w:rFonts w:cs="Calibri"/>
        </w:rPr>
        <w:t>capacity to act from a distance.</w:t>
      </w:r>
      <w:r w:rsidR="00EE3D3F" w:rsidRPr="00EE3D3F">
        <w:rPr>
          <w:rFonts w:cs="Calibri"/>
        </w:rPr>
        <w:t>”</w:t>
      </w:r>
      <w:r w:rsidR="0031398E">
        <w:rPr>
          <w:rStyle w:val="FootnoteReference"/>
        </w:rPr>
        <w:footnoteReference w:id="383"/>
      </w:r>
    </w:p>
    <w:p w14:paraId="7407E97E" w14:textId="58BB9BC1" w:rsidR="004F6676" w:rsidRPr="0065463B" w:rsidRDefault="004F6676" w:rsidP="004F6676">
      <w:pPr>
        <w:pStyle w:val="ListParagraph"/>
        <w:numPr>
          <w:ilvl w:val="0"/>
          <w:numId w:val="13"/>
        </w:numPr>
        <w:ind w:left="720"/>
        <w:rPr>
          <w:lang w:val="en-US"/>
        </w:rPr>
      </w:pPr>
      <w:r>
        <w:rPr>
          <w:lang w:val="en-US"/>
        </w:rPr>
        <w:t xml:space="preserve">Transparency in relationships with one’s community as opposed to a secrecy that needs to conceal dishonor (12:12). </w:t>
      </w:r>
    </w:p>
    <w:p w14:paraId="55AD5A1F" w14:textId="4D08E83D" w:rsidR="00C96373" w:rsidRPr="00C96373" w:rsidRDefault="00585B5D" w:rsidP="00C96373">
      <w:pPr>
        <w:pStyle w:val="ListParagraph"/>
        <w:numPr>
          <w:ilvl w:val="0"/>
          <w:numId w:val="13"/>
        </w:numPr>
        <w:ind w:left="720"/>
        <w:rPr>
          <w:lang w:val="en-US"/>
        </w:rPr>
      </w:pPr>
      <w:r w:rsidRPr="001F52A8">
        <w:rPr>
          <w:lang w:val="en-US"/>
        </w:rPr>
        <w:t>Giv</w:t>
      </w:r>
      <w:r w:rsidR="00493C96" w:rsidRPr="001F52A8">
        <w:rPr>
          <w:lang w:val="en-US"/>
        </w:rPr>
        <w:t>ing</w:t>
      </w:r>
      <w:r w:rsidRPr="001F52A8">
        <w:rPr>
          <w:lang w:val="en-US"/>
        </w:rPr>
        <w:t xml:space="preserve"> Yahweh’s enemies reason to hono</w:t>
      </w:r>
      <w:r w:rsidR="00626C51" w:rsidRPr="001F52A8">
        <w:rPr>
          <w:lang w:val="en-US"/>
        </w:rPr>
        <w:t>r</w:t>
      </w:r>
      <w:r w:rsidRPr="001F52A8">
        <w:rPr>
          <w:lang w:val="en-US"/>
        </w:rPr>
        <w:t xml:space="preserve"> Yahweh </w:t>
      </w:r>
      <w:r w:rsidR="00493C96" w:rsidRPr="001F52A8">
        <w:rPr>
          <w:lang w:val="en-US"/>
        </w:rPr>
        <w:t xml:space="preserve">as opposed to </w:t>
      </w:r>
      <w:r w:rsidR="002D3CA1" w:rsidRPr="001F52A8">
        <w:rPr>
          <w:lang w:val="en-US"/>
        </w:rPr>
        <w:t xml:space="preserve">reason </w:t>
      </w:r>
      <w:r w:rsidR="00223FBE">
        <w:rPr>
          <w:lang w:val="en-US"/>
        </w:rPr>
        <w:t>for</w:t>
      </w:r>
      <w:r w:rsidR="002D3CA1" w:rsidRPr="001F52A8">
        <w:rPr>
          <w:lang w:val="en-US"/>
        </w:rPr>
        <w:t xml:space="preserve"> </w:t>
      </w:r>
      <w:r w:rsidR="00572BF3">
        <w:rPr>
          <w:lang w:val="en-US"/>
        </w:rPr>
        <w:t>feel</w:t>
      </w:r>
      <w:r w:rsidR="00223FBE">
        <w:rPr>
          <w:lang w:val="en-US"/>
        </w:rPr>
        <w:t>ing</w:t>
      </w:r>
      <w:r w:rsidR="00572BF3">
        <w:rPr>
          <w:lang w:val="en-US"/>
        </w:rPr>
        <w:t xml:space="preserve"> contempt</w:t>
      </w:r>
      <w:r w:rsidR="00572BF3" w:rsidRPr="001F52A8">
        <w:rPr>
          <w:lang w:val="en-US"/>
        </w:rPr>
        <w:t xml:space="preserve"> </w:t>
      </w:r>
      <w:r w:rsidR="00572BF3">
        <w:rPr>
          <w:lang w:val="en-US"/>
        </w:rPr>
        <w:t xml:space="preserve">for </w:t>
      </w:r>
      <w:r w:rsidR="000456B5">
        <w:rPr>
          <w:lang w:val="en-US"/>
        </w:rPr>
        <w:t>Yah</w:t>
      </w:r>
      <w:r w:rsidR="00BB2C2C">
        <w:rPr>
          <w:lang w:val="en-US"/>
        </w:rPr>
        <w:t>weh</w:t>
      </w:r>
      <w:r w:rsidR="002A59DC" w:rsidRPr="001F52A8">
        <w:rPr>
          <w:lang w:val="en-US"/>
        </w:rPr>
        <w:t xml:space="preserve"> </w:t>
      </w:r>
      <w:r w:rsidRPr="001F52A8">
        <w:rPr>
          <w:lang w:val="en-US"/>
        </w:rPr>
        <w:t>(12:</w:t>
      </w:r>
      <w:r w:rsidR="00720185" w:rsidRPr="001F52A8">
        <w:rPr>
          <w:lang w:val="en-US"/>
        </w:rPr>
        <w:t>14)</w:t>
      </w:r>
      <w:r w:rsidR="0032719F">
        <w:rPr>
          <w:lang w:val="en-US"/>
        </w:rPr>
        <w:t>.</w:t>
      </w:r>
      <w:r w:rsidR="00C96373">
        <w:rPr>
          <w:lang w:val="en-US"/>
        </w:rPr>
        <w:t xml:space="preserve"> </w:t>
      </w:r>
      <w:r w:rsidR="00C96373" w:rsidRPr="00C96373">
        <w:rPr>
          <w:rFonts w:cstheme="minorHAnsi"/>
          <w:color w:val="000000"/>
        </w:rPr>
        <w:t>“There is no crime deserving of greater guilt than to give to the heathen a reason for blaspheming.”</w:t>
      </w:r>
      <w:r w:rsidR="00C96373">
        <w:rPr>
          <w:rStyle w:val="FootnoteReference"/>
          <w:rFonts w:cstheme="minorHAnsi"/>
          <w:color w:val="000000"/>
        </w:rPr>
        <w:footnoteReference w:id="384"/>
      </w:r>
    </w:p>
    <w:p w14:paraId="7D7B0D9C" w14:textId="1E9D0A70" w:rsidR="00290565" w:rsidRPr="001F52A8" w:rsidRDefault="00D802B4" w:rsidP="000B0A0F">
      <w:pPr>
        <w:pStyle w:val="Heading2"/>
      </w:pPr>
      <w:r>
        <w:t xml:space="preserve">How Yahweh Responds to </w:t>
      </w:r>
      <w:r w:rsidR="00D44956">
        <w:t>David’s Wrongdoing</w:t>
      </w:r>
    </w:p>
    <w:p w14:paraId="5F4B303F" w14:textId="27817563" w:rsidR="00FE5CBB" w:rsidRPr="00247F06" w:rsidRDefault="00643836" w:rsidP="00D764DF">
      <w:r>
        <w:t xml:space="preserve">“David sent Joab . . . sent to inquire . . . sent aides . . . sent to Joab . . . sent by the hand of Uriah . . . sent and collected” (11:1-27), </w:t>
      </w:r>
      <w:r w:rsidR="00692578">
        <w:t xml:space="preserve">but then </w:t>
      </w:r>
      <w:r>
        <w:t>“Yahweh sent Nathan”(12:1).</w:t>
      </w:r>
      <w:r>
        <w:rPr>
          <w:rStyle w:val="FootnoteReference"/>
        </w:rPr>
        <w:footnoteReference w:id="385"/>
      </w:r>
      <w:r>
        <w:t xml:space="preserve"> </w:t>
      </w:r>
      <w:r w:rsidR="00A77B22">
        <w:t xml:space="preserve">David </w:t>
      </w:r>
      <w:r w:rsidR="00E0067F">
        <w:t>may not have</w:t>
      </w:r>
      <w:r w:rsidR="00A77B22">
        <w:t xml:space="preserve"> tr</w:t>
      </w:r>
      <w:r w:rsidR="00E0067F">
        <w:t>ied</w:t>
      </w:r>
      <w:r w:rsidR="00A77B22">
        <w:t xml:space="preserve"> hard to </w:t>
      </w:r>
      <w:r w:rsidR="00247F06">
        <w:t>conceal his affair</w:t>
      </w:r>
      <w:r w:rsidR="0076625F">
        <w:t xml:space="preserve"> but </w:t>
      </w:r>
      <w:r w:rsidR="008B73DE">
        <w:t>had ke</w:t>
      </w:r>
      <w:r w:rsidR="005902A2">
        <w:t>pt</w:t>
      </w:r>
      <w:r w:rsidR="008B73DE">
        <w:t xml:space="preserve"> the second half of the story a secret (12:12)</w:t>
      </w:r>
      <w:r w:rsidR="00E873EC">
        <w:t xml:space="preserve">; </w:t>
      </w:r>
      <w:r w:rsidR="00004643" w:rsidRPr="001F52A8">
        <w:t xml:space="preserve">army gossip </w:t>
      </w:r>
      <w:r w:rsidR="00E92559">
        <w:t xml:space="preserve">had </w:t>
      </w:r>
      <w:r w:rsidR="004F33BB">
        <w:t xml:space="preserve">apparently not </w:t>
      </w:r>
      <w:r w:rsidR="00E92559">
        <w:t xml:space="preserve">exposed the truth </w:t>
      </w:r>
      <w:r w:rsidR="00004643" w:rsidRPr="001F52A8">
        <w:t xml:space="preserve">about </w:t>
      </w:r>
      <w:r w:rsidR="003C6EDF">
        <w:t>how</w:t>
      </w:r>
      <w:r w:rsidR="00004643" w:rsidRPr="001F52A8">
        <w:t xml:space="preserve"> Uriah died</w:t>
      </w:r>
      <w:r w:rsidR="00E873EC">
        <w:t>.</w:t>
      </w:r>
      <w:r w:rsidR="004F33BB">
        <w:t xml:space="preserve"> </w:t>
      </w:r>
      <w:r w:rsidR="00692578">
        <w:t>And o</w:t>
      </w:r>
      <w:r w:rsidR="0075464E">
        <w:t xml:space="preserve">n earlier occasions </w:t>
      </w:r>
      <w:r w:rsidR="00E873EC">
        <w:t>David</w:t>
      </w:r>
      <w:r w:rsidR="0075464E">
        <w:t xml:space="preserve"> has </w:t>
      </w:r>
      <w:r w:rsidR="00C6489A">
        <w:t>acted in secret</w:t>
      </w:r>
      <w:r w:rsidR="0075464E">
        <w:t xml:space="preserve"> with impunity (</w:t>
      </w:r>
      <w:r w:rsidR="004F50D2">
        <w:t xml:space="preserve">1 Sam </w:t>
      </w:r>
      <w:r w:rsidR="00AF7718">
        <w:t xml:space="preserve">19:2; </w:t>
      </w:r>
      <w:r w:rsidR="004F50D2">
        <w:t xml:space="preserve">20:5, 19, 24; </w:t>
      </w:r>
      <w:r w:rsidR="003C30D8">
        <w:t xml:space="preserve">23:19; 26:1). </w:t>
      </w:r>
      <w:r w:rsidR="00982723">
        <w:t>But Yahweh somehow knew</w:t>
      </w:r>
      <w:r w:rsidR="00E873EC">
        <w:t xml:space="preserve"> </w:t>
      </w:r>
      <w:r w:rsidR="008C453A">
        <w:t xml:space="preserve">the whole of </w:t>
      </w:r>
      <w:r w:rsidR="00E873EC">
        <w:t xml:space="preserve">what had </w:t>
      </w:r>
      <w:r w:rsidR="008C453A">
        <w:t>happened</w:t>
      </w:r>
      <w:r w:rsidR="00E54C2E">
        <w:t>, and</w:t>
      </w:r>
      <w:r w:rsidR="00982723" w:rsidRPr="001F52A8">
        <w:t xml:space="preserve"> did not need to ask </w:t>
      </w:r>
      <w:r w:rsidR="002A2B08">
        <w:t>David</w:t>
      </w:r>
      <w:r w:rsidR="00982723" w:rsidRPr="001F52A8">
        <w:t xml:space="preserve"> embarrassing questions</w:t>
      </w:r>
      <w:r w:rsidR="00E54C2E">
        <w:t>.</w:t>
      </w:r>
      <w:r w:rsidR="00982723">
        <w:t xml:space="preserve"> </w:t>
      </w:r>
      <w:r w:rsidR="00175D46">
        <w:rPr>
          <w:rFonts w:cstheme="minorHAnsi"/>
          <w:lang w:bidi="he-IL"/>
        </w:rPr>
        <w:t>It is the second time Yahweh has sent Nathan to see David (see 7:4); their third meeting (see 1 Kgs 1:11-40) will be different again.</w:t>
      </w:r>
      <w:r w:rsidR="00175D46">
        <w:rPr>
          <w:rStyle w:val="FootnoteReference"/>
          <w:rFonts w:cstheme="minorHAnsi"/>
          <w:lang w:bidi="he-IL"/>
        </w:rPr>
        <w:footnoteReference w:id="386"/>
      </w:r>
      <w:r w:rsidR="00615F8C">
        <w:t xml:space="preserve"> </w:t>
      </w:r>
      <w:r w:rsidR="00107774">
        <w:t>Nathan</w:t>
      </w:r>
      <w:r w:rsidR="00834E1E">
        <w:t>’s</w:t>
      </w:r>
      <w:r w:rsidR="00107774" w:rsidRPr="001F52A8">
        <w:t xml:space="preserve"> parable has a devastating effect. </w:t>
      </w:r>
      <w:r w:rsidR="002A2B08">
        <w:t xml:space="preserve">Part of </w:t>
      </w:r>
      <w:r w:rsidR="00107774">
        <w:t>it</w:t>
      </w:r>
      <w:r w:rsidR="002A2B08">
        <w:t>s</w:t>
      </w:r>
      <w:r w:rsidR="000B53B0">
        <w:t xml:space="preserve"> force </w:t>
      </w:r>
      <w:r w:rsidR="002A2B08">
        <w:t xml:space="preserve">lies in </w:t>
      </w:r>
      <w:r w:rsidR="000B53B0">
        <w:t xml:space="preserve">the </w:t>
      </w:r>
      <w:r w:rsidR="00107774">
        <w:t xml:space="preserve">background of the </w:t>
      </w:r>
      <w:r w:rsidR="000B53B0">
        <w:t>king</w:t>
      </w:r>
      <w:r w:rsidR="00392F6B">
        <w:t>’s</w:t>
      </w:r>
      <w:r w:rsidR="00107774">
        <w:t xml:space="preserve"> </w:t>
      </w:r>
      <w:r w:rsidR="000B53B0">
        <w:t xml:space="preserve">responsibility </w:t>
      </w:r>
      <w:r w:rsidR="00754D23">
        <w:t xml:space="preserve">to oversee </w:t>
      </w:r>
      <w:r w:rsidR="001D23DE">
        <w:t>the</w:t>
      </w:r>
      <w:r w:rsidR="00754D23">
        <w:t xml:space="preserve"> faithful</w:t>
      </w:r>
      <w:r w:rsidR="001D23DE">
        <w:t xml:space="preserve"> </w:t>
      </w:r>
      <w:r w:rsidR="00346B14" w:rsidRPr="001F52A8">
        <w:rPr>
          <w:rFonts w:cstheme="minorHAnsi"/>
          <w:lang w:bidi="he-IL"/>
        </w:rPr>
        <w:t xml:space="preserve">exercise </w:t>
      </w:r>
      <w:r w:rsidR="005278B2">
        <w:rPr>
          <w:rFonts w:cstheme="minorHAnsi"/>
          <w:lang w:bidi="he-IL"/>
        </w:rPr>
        <w:t xml:space="preserve">of </w:t>
      </w:r>
      <w:r w:rsidR="0074698F">
        <w:rPr>
          <w:rFonts w:cstheme="minorHAnsi"/>
          <w:lang w:bidi="he-IL"/>
        </w:rPr>
        <w:t>authority</w:t>
      </w:r>
      <w:r w:rsidR="00B1049D">
        <w:rPr>
          <w:rFonts w:cstheme="minorHAnsi"/>
          <w:lang w:bidi="he-IL"/>
        </w:rPr>
        <w:t xml:space="preserve"> (8:</w:t>
      </w:r>
      <w:r w:rsidR="00F1462A">
        <w:rPr>
          <w:rFonts w:cstheme="minorHAnsi"/>
          <w:lang w:bidi="he-IL"/>
        </w:rPr>
        <w:t>14)</w:t>
      </w:r>
      <w:r w:rsidR="00E3466A">
        <w:rPr>
          <w:rFonts w:cstheme="minorHAnsi"/>
          <w:lang w:bidi="he-IL"/>
        </w:rPr>
        <w:t xml:space="preserve">. </w:t>
      </w:r>
      <w:r w:rsidR="00D764DF">
        <w:rPr>
          <w:rFonts w:cstheme="minorHAnsi"/>
          <w:lang w:bidi="he-IL"/>
        </w:rPr>
        <w:t>T</w:t>
      </w:r>
      <w:r w:rsidR="00B1049D">
        <w:rPr>
          <w:rFonts w:cstheme="minorHAnsi"/>
          <w:lang w:bidi="he-IL"/>
        </w:rPr>
        <w:t xml:space="preserve">he </w:t>
      </w:r>
      <w:r w:rsidR="00217769">
        <w:rPr>
          <w:rFonts w:cstheme="minorHAnsi"/>
          <w:lang w:bidi="he-IL"/>
        </w:rPr>
        <w:t xml:space="preserve">rich man’s </w:t>
      </w:r>
      <w:r w:rsidR="00B1049D">
        <w:rPr>
          <w:rFonts w:cstheme="minorHAnsi"/>
          <w:lang w:bidi="he-IL"/>
        </w:rPr>
        <w:t xml:space="preserve">faithless exercise of power </w:t>
      </w:r>
      <w:r w:rsidR="00217769">
        <w:rPr>
          <w:rFonts w:cstheme="minorHAnsi"/>
          <w:lang w:bidi="he-IL"/>
        </w:rPr>
        <w:t xml:space="preserve">(he “took”) </w:t>
      </w:r>
      <w:r w:rsidR="00B1049D">
        <w:rPr>
          <w:rFonts w:cstheme="minorHAnsi"/>
          <w:lang w:bidi="he-IL"/>
        </w:rPr>
        <w:t>needs confronting.</w:t>
      </w:r>
      <w:r w:rsidR="00073A62">
        <w:rPr>
          <w:rFonts w:cstheme="minorHAnsi"/>
          <w:lang w:bidi="he-IL"/>
        </w:rPr>
        <w:t xml:space="preserve"> </w:t>
      </w:r>
      <w:r w:rsidR="00175D46">
        <w:rPr>
          <w:rFonts w:cstheme="minorHAnsi"/>
          <w:lang w:bidi="he-IL"/>
        </w:rPr>
        <w:t xml:space="preserve">So </w:t>
      </w:r>
      <w:r w:rsidR="00073A62">
        <w:rPr>
          <w:rFonts w:cstheme="minorHAnsi"/>
          <w:lang w:bidi="he-IL"/>
        </w:rPr>
        <w:t>“David the roy</w:t>
      </w:r>
      <w:r w:rsidR="00E95B85">
        <w:rPr>
          <w:rFonts w:cstheme="minorHAnsi"/>
          <w:lang w:bidi="he-IL"/>
        </w:rPr>
        <w:t>a</w:t>
      </w:r>
      <w:r w:rsidR="00073A62">
        <w:rPr>
          <w:rFonts w:cstheme="minorHAnsi"/>
          <w:lang w:bidi="he-IL"/>
        </w:rPr>
        <w:t>l judge con</w:t>
      </w:r>
      <w:r w:rsidR="00E95B85">
        <w:rPr>
          <w:rFonts w:cstheme="minorHAnsi"/>
          <w:lang w:bidi="he-IL"/>
        </w:rPr>
        <w:t>demns</w:t>
      </w:r>
      <w:r w:rsidR="00073A62">
        <w:rPr>
          <w:rFonts w:cstheme="minorHAnsi"/>
          <w:lang w:bidi="he-IL"/>
        </w:rPr>
        <w:t xml:space="preserve"> David the rich </w:t>
      </w:r>
      <w:r w:rsidR="00E95B85">
        <w:rPr>
          <w:rFonts w:cstheme="minorHAnsi"/>
          <w:lang w:bidi="he-IL"/>
        </w:rPr>
        <w:t>oppressor.”</w:t>
      </w:r>
      <w:r w:rsidR="0066352C">
        <w:rPr>
          <w:rStyle w:val="FootnoteReference"/>
          <w:rFonts w:cstheme="minorHAnsi"/>
          <w:lang w:bidi="he-IL"/>
        </w:rPr>
        <w:footnoteReference w:id="387"/>
      </w:r>
      <w:r w:rsidR="00FE5CBB">
        <w:rPr>
          <w:rFonts w:cstheme="minorHAnsi"/>
          <w:lang w:bidi="he-IL"/>
        </w:rPr>
        <w:t xml:space="preserve"> </w:t>
      </w:r>
      <w:r w:rsidR="00350F82">
        <w:t>Yahweh’</w:t>
      </w:r>
      <w:r w:rsidR="00350F82" w:rsidRPr="001F52A8">
        <w:t xml:space="preserve">s reaction to David’s killing of Uriah sits alongside his </w:t>
      </w:r>
      <w:r w:rsidR="00350F82">
        <w:t>apparen</w:t>
      </w:r>
      <w:r w:rsidR="00350F82" w:rsidRPr="001F52A8">
        <w:t>tly not faulting him for executing one in every three of the Moabite military (8:2). Uriah</w:t>
      </w:r>
      <w:r w:rsidR="00431B06">
        <w:t>, too,</w:t>
      </w:r>
      <w:r w:rsidR="00350F82" w:rsidRPr="001F52A8">
        <w:t xml:space="preserve"> </w:t>
      </w:r>
      <w:r w:rsidR="00D764DF">
        <w:t>wa</w:t>
      </w:r>
      <w:r w:rsidR="00350F82" w:rsidRPr="001F52A8">
        <w:t>sn’t ethnically an Israelite</w:t>
      </w:r>
      <w:r w:rsidR="00D764DF">
        <w:t>, which</w:t>
      </w:r>
      <w:r w:rsidR="00350F82">
        <w:t xml:space="preserve"> </w:t>
      </w:r>
      <w:r w:rsidR="00D764DF">
        <w:t>perhaps gave</w:t>
      </w:r>
      <w:r w:rsidR="00350F82">
        <w:t xml:space="preserve"> David </w:t>
      </w:r>
      <w:r w:rsidR="008F5329">
        <w:t>a</w:t>
      </w:r>
      <w:r w:rsidR="00713422">
        <w:t>n</w:t>
      </w:r>
      <w:r w:rsidR="00350F82">
        <w:t xml:space="preserve"> excuse both for appropriating his wife and for having him killed.</w:t>
      </w:r>
      <w:r w:rsidR="00350F82">
        <w:rPr>
          <w:rStyle w:val="FootnoteReference"/>
        </w:rPr>
        <w:footnoteReference w:id="388"/>
      </w:r>
      <w:r w:rsidR="00350F82">
        <w:t xml:space="preserve"> Yet</w:t>
      </w:r>
      <w:r w:rsidR="00350F82" w:rsidRPr="001F52A8">
        <w:t xml:space="preserve"> </w:t>
      </w:r>
      <w:r w:rsidR="008F5329">
        <w:t>Uriah</w:t>
      </w:r>
      <w:r w:rsidR="00350F82" w:rsidRPr="001F52A8">
        <w:t xml:space="preserve"> </w:t>
      </w:r>
      <w:r w:rsidR="00D764DF">
        <w:t>wa</w:t>
      </w:r>
      <w:r w:rsidR="00350F82" w:rsidRPr="001F52A8">
        <w:t xml:space="preserve">s in the Israelite military </w:t>
      </w:r>
      <w:r w:rsidR="00350F82">
        <w:t xml:space="preserve">(indeed, he </w:t>
      </w:r>
      <w:r w:rsidR="00D764DF">
        <w:t>wa</w:t>
      </w:r>
      <w:r w:rsidR="00350F82">
        <w:t>s one of the elite “Thirty” in 23:39)</w:t>
      </w:r>
      <w:r w:rsidR="00713422">
        <w:t xml:space="preserve"> and</w:t>
      </w:r>
      <w:r w:rsidR="00350F82" w:rsidRPr="001F52A8">
        <w:t xml:space="preserve"> his name means “Yahweh is my flame/light”</w:t>
      </w:r>
      <w:r w:rsidR="00713422">
        <w:t>;</w:t>
      </w:r>
      <w:r w:rsidR="00350F82" w:rsidRPr="001F52A8">
        <w:t xml:space="preserve"> he </w:t>
      </w:r>
      <w:r w:rsidR="00D764DF">
        <w:t>wa</w:t>
      </w:r>
      <w:r w:rsidR="00350F82" w:rsidRPr="001F52A8">
        <w:t xml:space="preserve">s </w:t>
      </w:r>
      <w:r w:rsidR="00D764DF">
        <w:t>a foreigner</w:t>
      </w:r>
      <w:r w:rsidR="00350F82" w:rsidRPr="001F52A8">
        <w:t xml:space="preserve"> who</w:t>
      </w:r>
      <w:r w:rsidR="00D764DF">
        <w:t xml:space="preserve"> </w:t>
      </w:r>
      <w:r w:rsidR="00350F82" w:rsidRPr="001F52A8">
        <w:t>serv</w:t>
      </w:r>
      <w:r w:rsidR="00D764DF">
        <w:t>ed</w:t>
      </w:r>
      <w:r w:rsidR="00350F82" w:rsidRPr="001F52A8">
        <w:t xml:space="preserve"> Yahweh.</w:t>
      </w:r>
      <w:r w:rsidR="00431B06">
        <w:t xml:space="preserve"> </w:t>
      </w:r>
      <w:r w:rsidR="00D764DF">
        <w:t xml:space="preserve">And </w:t>
      </w:r>
      <w:r w:rsidR="00431B06">
        <w:t xml:space="preserve">Yahweh’s strategy worked. When Nathan told the parable, “David’s anger flared” (12:5). It is his first expression of feelings. </w:t>
      </w:r>
      <w:r w:rsidR="00D764DF">
        <w:t xml:space="preserve">And </w:t>
      </w:r>
      <w:r w:rsidR="00D8156B">
        <w:rPr>
          <w:rFonts w:ascii="Calibri" w:hAnsi="Calibri" w:cs="Calibri"/>
        </w:rPr>
        <w:t>Nathan condemn</w:t>
      </w:r>
      <w:r w:rsidR="00D764DF">
        <w:rPr>
          <w:rFonts w:ascii="Calibri" w:hAnsi="Calibri" w:cs="Calibri"/>
        </w:rPr>
        <w:t>s him</w:t>
      </w:r>
      <w:r w:rsidR="00D8156B">
        <w:rPr>
          <w:rFonts w:ascii="Calibri" w:hAnsi="Calibri" w:cs="Calibri"/>
        </w:rPr>
        <w:t xml:space="preserve"> </w:t>
      </w:r>
      <w:r w:rsidR="005E5F74">
        <w:rPr>
          <w:rFonts w:ascii="Calibri" w:hAnsi="Calibri" w:cs="Calibri"/>
        </w:rPr>
        <w:t xml:space="preserve">both </w:t>
      </w:r>
      <w:r w:rsidR="0027013F">
        <w:rPr>
          <w:rFonts w:ascii="Calibri" w:hAnsi="Calibri" w:cs="Calibri"/>
        </w:rPr>
        <w:t xml:space="preserve">in respect of Uriah, and in respect of </w:t>
      </w:r>
      <w:r w:rsidR="00437CB9">
        <w:rPr>
          <w:rFonts w:ascii="Calibri" w:hAnsi="Calibri" w:cs="Calibri"/>
        </w:rPr>
        <w:t>Uriah’s</w:t>
      </w:r>
      <w:r w:rsidR="0027013F">
        <w:rPr>
          <w:rFonts w:ascii="Calibri" w:hAnsi="Calibri" w:cs="Calibri"/>
        </w:rPr>
        <w:t xml:space="preserve"> wife.</w:t>
      </w:r>
    </w:p>
    <w:p w14:paraId="2538735D" w14:textId="77777777" w:rsidR="00265869" w:rsidRDefault="00265869" w:rsidP="00265869"/>
    <w:p w14:paraId="71788374" w14:textId="39E9C45C" w:rsidR="00B13972" w:rsidRPr="00BE76BD" w:rsidRDefault="00B13972" w:rsidP="00265869">
      <w:pPr>
        <w:pStyle w:val="Quote"/>
        <w:rPr>
          <w:rFonts w:ascii="Calibri" w:hAnsi="Calibri" w:cs="Calibri"/>
        </w:rPr>
      </w:pPr>
      <w:r w:rsidRPr="00D37006">
        <w:t>God’s reproof of adulterous</w:t>
      </w:r>
      <w:r w:rsidR="00265869">
        <w:t xml:space="preserve"> </w:t>
      </w:r>
      <w:r w:rsidRPr="00D37006">
        <w:t>King David is ample testimony that men</w:t>
      </w:r>
      <w:r w:rsidR="00265869">
        <w:t xml:space="preserve"> </w:t>
      </w:r>
      <w:r w:rsidRPr="00D37006">
        <w:rPr>
          <w:rFonts w:ascii="Calibri" w:hAnsi="Calibri" w:cs="Calibri"/>
        </w:rPr>
        <w:t>deserve greater punishment than women in violating</w:t>
      </w:r>
      <w:r w:rsidR="00265869">
        <w:rPr>
          <w:rFonts w:ascii="Calibri" w:hAnsi="Calibri" w:cs="Calibri"/>
        </w:rPr>
        <w:t xml:space="preserve"> </w:t>
      </w:r>
      <w:r w:rsidRPr="00D37006">
        <w:rPr>
          <w:rFonts w:ascii="Calibri" w:hAnsi="Calibri" w:cs="Calibri"/>
        </w:rPr>
        <w:t>the marriage bed. He said nothing to Bathsheba,</w:t>
      </w:r>
      <w:r w:rsidR="00265869">
        <w:rPr>
          <w:rFonts w:ascii="Calibri" w:hAnsi="Calibri" w:cs="Calibri"/>
        </w:rPr>
        <w:t xml:space="preserve"> </w:t>
      </w:r>
      <w:r w:rsidRPr="00D37006">
        <w:rPr>
          <w:rFonts w:ascii="Calibri" w:hAnsi="Calibri" w:cs="Calibri"/>
        </w:rPr>
        <w:t>who fell on being tempted by the king. Your lying</w:t>
      </w:r>
      <w:r w:rsidR="00265869">
        <w:rPr>
          <w:rFonts w:ascii="Calibri" w:hAnsi="Calibri" w:cs="Calibri"/>
        </w:rPr>
        <w:t xml:space="preserve"> </w:t>
      </w:r>
      <w:r w:rsidRPr="00D37006">
        <w:rPr>
          <w:rFonts w:ascii="Calibri" w:hAnsi="Calibri" w:cs="Calibri"/>
        </w:rPr>
        <w:t>insulting tongues never cease preaching that</w:t>
      </w:r>
      <w:r w:rsidR="007C57B6" w:rsidRPr="00D37006">
        <w:rPr>
          <w:rFonts w:ascii="Calibri" w:hAnsi="Calibri" w:cs="Calibri"/>
        </w:rPr>
        <w:t xml:space="preserve"> the </w:t>
      </w:r>
      <w:r w:rsidR="00364471" w:rsidRPr="00D37006">
        <w:rPr>
          <w:rFonts w:ascii="Calibri" w:hAnsi="Calibri" w:cs="Calibri"/>
          <w:i/>
          <w:iCs w:val="0"/>
        </w:rPr>
        <w:t>fons et origo</w:t>
      </w:r>
      <w:r w:rsidR="00265869">
        <w:rPr>
          <w:rFonts w:ascii="Calibri" w:hAnsi="Calibri" w:cs="Calibri"/>
          <w:i/>
          <w:iCs w:val="0"/>
        </w:rPr>
        <w:t xml:space="preserve"> </w:t>
      </w:r>
      <w:r w:rsidRPr="00D37006">
        <w:rPr>
          <w:rFonts w:ascii="Calibri" w:hAnsi="Calibri" w:cs="Calibri"/>
        </w:rPr>
        <w:t>of all fornication and adultery is</w:t>
      </w:r>
      <w:r w:rsidR="00265869">
        <w:rPr>
          <w:rFonts w:ascii="Calibri" w:hAnsi="Calibri" w:cs="Calibri"/>
        </w:rPr>
        <w:t xml:space="preserve"> </w:t>
      </w:r>
      <w:r w:rsidRPr="00D37006">
        <w:rPr>
          <w:rFonts w:ascii="Calibri" w:hAnsi="Calibri" w:cs="Calibri"/>
        </w:rPr>
        <w:t>woman. As they are supposedly cunning and shrewd</w:t>
      </w:r>
      <w:r w:rsidR="00265869">
        <w:rPr>
          <w:rFonts w:ascii="Calibri" w:hAnsi="Calibri" w:cs="Calibri"/>
        </w:rPr>
        <w:t xml:space="preserve"> </w:t>
      </w:r>
      <w:r w:rsidRPr="00D37006">
        <w:rPr>
          <w:rFonts w:ascii="Calibri" w:hAnsi="Calibri" w:cs="Calibri"/>
        </w:rPr>
        <w:t xml:space="preserve">in hiding their desires, they inveigle </w:t>
      </w:r>
      <w:r w:rsidR="007C57B6" w:rsidRPr="00D37006">
        <w:rPr>
          <w:rFonts w:ascii="Calibri" w:hAnsi="Calibri" w:cs="Calibri"/>
        </w:rPr>
        <w:t>men</w:t>
      </w:r>
      <w:r w:rsidRPr="00D37006">
        <w:rPr>
          <w:rFonts w:ascii="Calibri" w:hAnsi="Calibri" w:cs="Calibri"/>
        </w:rPr>
        <w:t xml:space="preserve"> to their</w:t>
      </w:r>
      <w:r w:rsidR="00265869">
        <w:rPr>
          <w:rFonts w:ascii="Calibri" w:hAnsi="Calibri" w:cs="Calibri"/>
        </w:rPr>
        <w:t xml:space="preserve"> </w:t>
      </w:r>
      <w:r w:rsidRPr="00D37006">
        <w:rPr>
          <w:rFonts w:ascii="Calibri" w:hAnsi="Calibri" w:cs="Calibri"/>
        </w:rPr>
        <w:t xml:space="preserve">dooms </w:t>
      </w:r>
      <w:r w:rsidRPr="00D37006">
        <w:rPr>
          <w:rFonts w:ascii="Calibri" w:hAnsi="Calibri" w:cs="Calibri"/>
        </w:rPr>
        <w:lastRenderedPageBreak/>
        <w:t>with charms and flattery—at least, this is</w:t>
      </w:r>
      <w:r w:rsidR="00265869">
        <w:rPr>
          <w:rFonts w:ascii="Calibri" w:hAnsi="Calibri" w:cs="Calibri"/>
        </w:rPr>
        <w:t xml:space="preserve"> </w:t>
      </w:r>
      <w:r w:rsidRPr="00D37006">
        <w:rPr>
          <w:rFonts w:ascii="Calibri" w:hAnsi="Calibri" w:cs="Calibri"/>
        </w:rPr>
        <w:t>how your evil minds would have it. Many of you are</w:t>
      </w:r>
      <w:r w:rsidR="00265869">
        <w:rPr>
          <w:rFonts w:ascii="Calibri" w:hAnsi="Calibri" w:cs="Calibri"/>
        </w:rPr>
        <w:t xml:space="preserve"> </w:t>
      </w:r>
      <w:r w:rsidRPr="00D37006">
        <w:rPr>
          <w:rFonts w:ascii="Calibri" w:hAnsi="Calibri" w:cs="Calibri"/>
        </w:rPr>
        <w:t>enemies of our sex, and still you know how to go to</w:t>
      </w:r>
      <w:r w:rsidR="00265869">
        <w:rPr>
          <w:rFonts w:ascii="Calibri" w:hAnsi="Calibri" w:cs="Calibri"/>
        </w:rPr>
        <w:t xml:space="preserve"> </w:t>
      </w:r>
      <w:r w:rsidRPr="00D37006">
        <w:rPr>
          <w:rFonts w:ascii="Calibri" w:hAnsi="Calibri" w:cs="Calibri"/>
        </w:rPr>
        <w:t xml:space="preserve">extremes, without opposition, or any </w:t>
      </w:r>
      <w:r w:rsidR="008A6C03" w:rsidRPr="00D37006">
        <w:rPr>
          <w:rFonts w:ascii="Calibri" w:hAnsi="Calibri" w:cs="Calibri"/>
        </w:rPr>
        <w:t xml:space="preserve">fault on </w:t>
      </w:r>
      <w:r w:rsidRPr="00D37006">
        <w:rPr>
          <w:rFonts w:ascii="Calibri" w:hAnsi="Calibri" w:cs="Calibri"/>
        </w:rPr>
        <w:t>woman’s part,</w:t>
      </w:r>
      <w:r w:rsidR="00265869">
        <w:rPr>
          <w:rFonts w:ascii="Calibri" w:hAnsi="Calibri" w:cs="Calibri"/>
        </w:rPr>
        <w:t xml:space="preserve"> </w:t>
      </w:r>
      <w:r w:rsidRPr="00D37006">
        <w:rPr>
          <w:rFonts w:ascii="Calibri" w:hAnsi="Calibri" w:cs="Calibri"/>
        </w:rPr>
        <w:t>in a way that deserves the most burning outbursts of</w:t>
      </w:r>
      <w:r w:rsidR="00265869">
        <w:rPr>
          <w:rFonts w:ascii="Calibri" w:hAnsi="Calibri" w:cs="Calibri"/>
        </w:rPr>
        <w:t xml:space="preserve"> </w:t>
      </w:r>
      <w:r w:rsidRPr="00D37006">
        <w:rPr>
          <w:rFonts w:ascii="Calibri" w:hAnsi="Calibri" w:cs="Calibri"/>
        </w:rPr>
        <w:t xml:space="preserve">God’s anger, since only </w:t>
      </w:r>
      <w:r w:rsidR="001B7072" w:rsidRPr="00D37006">
        <w:rPr>
          <w:rFonts w:ascii="Calibri" w:hAnsi="Calibri" w:cs="Calibri"/>
        </w:rPr>
        <w:t>H</w:t>
      </w:r>
      <w:r w:rsidRPr="00D37006">
        <w:rPr>
          <w:rFonts w:ascii="Calibri" w:hAnsi="Calibri" w:cs="Calibri"/>
        </w:rPr>
        <w:t xml:space="preserve">eaven’s fire </w:t>
      </w:r>
      <w:r w:rsidRPr="00BE76BD">
        <w:rPr>
          <w:rFonts w:ascii="Calibri" w:hAnsi="Calibri" w:cs="Calibri"/>
        </w:rPr>
        <w:t>is a fitting</w:t>
      </w:r>
      <w:r w:rsidR="00265869" w:rsidRPr="00BE76BD">
        <w:rPr>
          <w:rFonts w:ascii="Calibri" w:hAnsi="Calibri" w:cs="Calibri"/>
        </w:rPr>
        <w:t xml:space="preserve"> </w:t>
      </w:r>
      <w:r w:rsidRPr="00BE76BD">
        <w:rPr>
          <w:rFonts w:ascii="Calibri" w:hAnsi="Calibri" w:cs="Calibri"/>
        </w:rPr>
        <w:t xml:space="preserve">scourge for them. </w:t>
      </w:r>
      <w:r w:rsidR="001B7072" w:rsidRPr="00BE76BD">
        <w:rPr>
          <w:rStyle w:val="FootnoteReference"/>
          <w:rFonts w:ascii="Calibri" w:hAnsi="Calibri" w:cs="Calibri"/>
        </w:rPr>
        <w:footnoteReference w:id="389"/>
      </w:r>
    </w:p>
    <w:p w14:paraId="31EA3A60" w14:textId="77777777" w:rsidR="00265869" w:rsidRDefault="00265869" w:rsidP="00322897"/>
    <w:p w14:paraId="36339437" w14:textId="4B29AE7D" w:rsidR="00703721" w:rsidRDefault="008B3F4E" w:rsidP="00322897">
      <w:r>
        <w:t>I</w:t>
      </w:r>
      <w:r w:rsidR="00437CB9">
        <w:t xml:space="preserve">ssuing the rebuke implies that </w:t>
      </w:r>
      <w:r w:rsidR="00DC6F41">
        <w:t xml:space="preserve">Yahweh </w:t>
      </w:r>
      <w:r w:rsidR="00822514">
        <w:t>wants David to recognize his wrongdoing</w:t>
      </w:r>
      <w:r w:rsidR="00766BEE">
        <w:t xml:space="preserve">. </w:t>
      </w:r>
      <w:r w:rsidR="00DF68CB">
        <w:t xml:space="preserve">The pattern </w:t>
      </w:r>
      <w:r w:rsidR="00C56704">
        <w:t>follows</w:t>
      </w:r>
      <w:r w:rsidR="00DF68CB">
        <w:t xml:space="preserve"> a regular one in the Prophets</w:t>
      </w:r>
      <w:r w:rsidR="00D84078">
        <w:t>, where</w:t>
      </w:r>
      <w:r w:rsidR="00DF68CB">
        <w:t xml:space="preserve"> </w:t>
      </w:r>
      <w:r w:rsidR="009230DE">
        <w:t>indictment</w:t>
      </w:r>
      <w:r w:rsidR="00D84078">
        <w:t xml:space="preserve"> leads into</w:t>
      </w:r>
      <w:r w:rsidR="009230DE">
        <w:t xml:space="preserve"> a “therefore.” Per</w:t>
      </w:r>
      <w:r w:rsidR="00CC524C">
        <w:t xml:space="preserve">haps </w:t>
      </w:r>
      <w:r w:rsidR="002F0483">
        <w:t>it</w:t>
      </w:r>
      <w:r w:rsidR="00CC524C">
        <w:t xml:space="preserve"> implies that t</w:t>
      </w:r>
      <w:r w:rsidR="00E40C65">
        <w:t>h</w:t>
      </w:r>
      <w:r w:rsidR="00CC524C">
        <w:t>e</w:t>
      </w:r>
      <w:r w:rsidR="00E40C65">
        <w:t xml:space="preserve"> recognition will</w:t>
      </w:r>
      <w:r w:rsidR="00136016">
        <w:t xml:space="preserve"> benefi</w:t>
      </w:r>
      <w:r w:rsidR="00F13CE7">
        <w:t>t</w:t>
      </w:r>
      <w:r w:rsidR="00136016">
        <w:t xml:space="preserve"> David as a human being</w:t>
      </w:r>
      <w:r w:rsidR="00A30A91">
        <w:t>; Yahweh’s confrontation honors him as a person. It will benefi</w:t>
      </w:r>
      <w:r w:rsidR="00F13CE7">
        <w:t>t</w:t>
      </w:r>
      <w:r w:rsidR="00A30A91">
        <w:t xml:space="preserve"> </w:t>
      </w:r>
      <w:r w:rsidR="00473F4A">
        <w:t xml:space="preserve">the readers of Samuel. </w:t>
      </w:r>
      <w:r w:rsidR="00472148">
        <w:t>I</w:t>
      </w:r>
      <w:r w:rsidR="00473F4A">
        <w:t xml:space="preserve">t will </w:t>
      </w:r>
      <w:r w:rsidR="003B6B07">
        <w:t>vindicate Yahweh himself in David’s eyes and in their eyes.</w:t>
      </w:r>
      <w:r w:rsidR="00472148">
        <w:t xml:space="preserve"> And it will affirm the moral integrity of th</w:t>
      </w:r>
      <w:r w:rsidR="00B43DB0">
        <w:t>e way things work out</w:t>
      </w:r>
      <w:r w:rsidR="00472148">
        <w:t xml:space="preserve"> in the world, </w:t>
      </w:r>
      <w:r w:rsidR="00B43DB0">
        <w:t>which can</w:t>
      </w:r>
      <w:r w:rsidR="00472148">
        <w:t xml:space="preserve"> often raise questions (as they will in a moment in this story, </w:t>
      </w:r>
      <w:r w:rsidR="00C54BC0">
        <w:t xml:space="preserve">at least </w:t>
      </w:r>
      <w:r w:rsidR="00472148">
        <w:t>for modern readers).</w:t>
      </w:r>
      <w:r w:rsidR="00526683">
        <w:t xml:space="preserve"> </w:t>
      </w:r>
    </w:p>
    <w:p w14:paraId="4465F940" w14:textId="657135B8" w:rsidR="00E3749D" w:rsidRDefault="00526683" w:rsidP="0054150D">
      <w:r>
        <w:t>Yahweh</w:t>
      </w:r>
      <w:r w:rsidR="00E3749D">
        <w:t xml:space="preserve"> </w:t>
      </w:r>
      <w:r w:rsidR="0073301B">
        <w:t xml:space="preserve">wants to </w:t>
      </w:r>
      <w:r w:rsidR="00695E6D">
        <w:t>tell</w:t>
      </w:r>
      <w:r w:rsidR="0073301B">
        <w:t xml:space="preserve"> David about the </w:t>
      </w:r>
      <w:r w:rsidR="00310E08">
        <w:t>consequences that will follow</w:t>
      </w:r>
      <w:r w:rsidR="00695E6D">
        <w:t xml:space="preserve"> </w:t>
      </w:r>
      <w:r w:rsidR="00121B6E">
        <w:t xml:space="preserve">his wrongdoing </w:t>
      </w:r>
      <w:r w:rsidR="00695E6D">
        <w:t>(12:10-1</w:t>
      </w:r>
      <w:r w:rsidR="00C03B81">
        <w:t xml:space="preserve">2). </w:t>
      </w:r>
      <w:r w:rsidR="00947386" w:rsidRPr="001F52A8">
        <w:t xml:space="preserve">The principle </w:t>
      </w:r>
      <w:r w:rsidR="002F0483">
        <w:t xml:space="preserve">concerning chastisement </w:t>
      </w:r>
      <w:r w:rsidR="00947386" w:rsidRPr="001F52A8">
        <w:t>enunciated to David in connection with Solomon applies to him</w:t>
      </w:r>
      <w:r w:rsidR="0054150D">
        <w:t>, too</w:t>
      </w:r>
      <w:r w:rsidR="00AB4AD0">
        <w:t xml:space="preserve">. </w:t>
      </w:r>
      <w:r w:rsidR="00C65DEC">
        <w:t>Actually, if</w:t>
      </w:r>
      <w:r w:rsidR="004E78CC">
        <w:t xml:space="preserve"> the man in Nathan’s parable</w:t>
      </w:r>
      <w:r w:rsidR="00C13B65">
        <w:t xml:space="preserve"> deserves to die (</w:t>
      </w:r>
      <w:r w:rsidR="00C65DEC">
        <w:t>h</w:t>
      </w:r>
      <w:r w:rsidR="00002EED">
        <w:t xml:space="preserve">e is a </w:t>
      </w:r>
      <w:r w:rsidR="00002EED">
        <w:rPr>
          <w:i/>
          <w:iCs/>
        </w:rPr>
        <w:t>b</w:t>
      </w:r>
      <w:r w:rsidR="00183E79">
        <w:rPr>
          <w:i/>
          <w:iCs/>
        </w:rPr>
        <w:t>en m</w:t>
      </w:r>
      <w:r w:rsidR="00183E79">
        <w:rPr>
          <w:rFonts w:cstheme="minorHAnsi"/>
          <w:i/>
          <w:iCs/>
        </w:rPr>
        <w:t>ā</w:t>
      </w:r>
      <w:r w:rsidR="00183E79">
        <w:rPr>
          <w:i/>
          <w:iCs/>
        </w:rPr>
        <w:t>wet</w:t>
      </w:r>
      <w:r w:rsidR="00183E79">
        <w:t>, a son of death</w:t>
      </w:r>
      <w:r w:rsidR="00BD540E">
        <w:t>;</w:t>
      </w:r>
      <w:r w:rsidR="00183E79">
        <w:rPr>
          <w:i/>
          <w:iCs/>
        </w:rPr>
        <w:t xml:space="preserve"> </w:t>
      </w:r>
      <w:r w:rsidR="00C13B65">
        <w:t>12:</w:t>
      </w:r>
      <w:r w:rsidR="00002EED">
        <w:t>5</w:t>
      </w:r>
      <w:r w:rsidR="00BD540E">
        <w:t>), how much more does David</w:t>
      </w:r>
      <w:r w:rsidR="002F0483">
        <w:t xml:space="preserve"> (to whom Saul applied that expression in 1 Sam 20:31)</w:t>
      </w:r>
      <w:r w:rsidR="00BD540E">
        <w:t xml:space="preserve">. </w:t>
      </w:r>
      <w:r w:rsidR="00C65DEC">
        <w:t>But i</w:t>
      </w:r>
      <w:r w:rsidR="000644F4">
        <w:t xml:space="preserve">nstead </w:t>
      </w:r>
      <w:r w:rsidR="00AD24C7">
        <w:t xml:space="preserve">of David dying, </w:t>
      </w:r>
      <w:r w:rsidR="00D74FA6">
        <w:t xml:space="preserve">the dire consequences that </w:t>
      </w:r>
      <w:r w:rsidR="00A86FB0">
        <w:t xml:space="preserve">will </w:t>
      </w:r>
      <w:r w:rsidR="00D74FA6">
        <w:t xml:space="preserve">follow from </w:t>
      </w:r>
      <w:r w:rsidR="00C65DEC">
        <w:t>his</w:t>
      </w:r>
      <w:r w:rsidR="00D74FA6">
        <w:t xml:space="preserve"> dire action</w:t>
      </w:r>
      <w:r w:rsidR="00D01BD0">
        <w:t xml:space="preserve"> </w:t>
      </w:r>
      <w:r w:rsidR="002514E0">
        <w:t xml:space="preserve">will </w:t>
      </w:r>
      <w:r w:rsidR="00D01BD0">
        <w:t xml:space="preserve">affect him by affecting his wives and </w:t>
      </w:r>
      <w:r w:rsidR="002547B7">
        <w:t>the rest of his household.</w:t>
      </w:r>
    </w:p>
    <w:p w14:paraId="5170D548" w14:textId="24018136" w:rsidR="008E5AAC" w:rsidRDefault="004F1114" w:rsidP="001E2692">
      <w:pPr>
        <w:rPr>
          <w:rFonts w:ascii="Calibri" w:hAnsi="Calibri" w:cs="Calibri"/>
        </w:rPr>
      </w:pPr>
      <w:r>
        <w:t xml:space="preserve">Typically, Yahweh combines the idea that </w:t>
      </w:r>
      <w:r w:rsidR="00794798">
        <w:t>events will see a “natural” working out, “the sword will not depart from your house</w:t>
      </w:r>
      <w:r w:rsidR="007203B0">
        <w:t>hold</w:t>
      </w:r>
      <w:r w:rsidR="00BC0315">
        <w:t xml:space="preserve"> for all time</w:t>
      </w:r>
      <w:r w:rsidR="00794798">
        <w:t xml:space="preserve">,” </w:t>
      </w:r>
      <w:r w:rsidR="009B28D8">
        <w:t>and</w:t>
      </w:r>
      <w:r w:rsidR="00794798">
        <w:t xml:space="preserve"> the idea that he himself will act</w:t>
      </w:r>
      <w:r w:rsidR="00C65DEC">
        <w:t>:</w:t>
      </w:r>
      <w:r w:rsidR="00034CDC">
        <w:t xml:space="preserve"> </w:t>
      </w:r>
      <w:r w:rsidR="00C65DEC">
        <w:t>i</w:t>
      </w:r>
      <w:r w:rsidR="001E2692">
        <w:t>n response to David’s dire action, Yahweh will take dire action (</w:t>
      </w:r>
      <w:r w:rsidR="001E2692">
        <w:rPr>
          <w:i/>
          <w:iCs/>
        </w:rPr>
        <w:t>ra‘</w:t>
      </w:r>
      <w:r w:rsidR="001E2692">
        <w:t xml:space="preserve">; 12:9, 11). </w:t>
      </w:r>
      <w:r w:rsidR="00C65DEC">
        <w:t>“</w:t>
      </w:r>
      <w:r w:rsidR="00C65DEC" w:rsidRPr="008E5AAC">
        <w:rPr>
          <w:rFonts w:ascii="Calibri" w:hAnsi="Calibri" w:cs="Calibri"/>
        </w:rPr>
        <w:t>What do you say to this, you who believe that</w:t>
      </w:r>
      <w:r w:rsidR="00C65DEC">
        <w:t xml:space="preserve"> </w:t>
      </w:r>
      <w:r w:rsidR="00C65DEC" w:rsidRPr="008E5AAC">
        <w:rPr>
          <w:rFonts w:ascii="Calibri" w:hAnsi="Calibri" w:cs="Calibri"/>
        </w:rPr>
        <w:t>God does not judge our actions?”</w:t>
      </w:r>
      <w:r w:rsidR="00C65DEC">
        <w:rPr>
          <w:rStyle w:val="FootnoteReference"/>
          <w:rFonts w:ascii="Calibri" w:hAnsi="Calibri" w:cs="Calibri"/>
        </w:rPr>
        <w:footnoteReference w:id="390"/>
      </w:r>
      <w:r w:rsidR="00C65DEC">
        <w:rPr>
          <w:rFonts w:ascii="Calibri" w:hAnsi="Calibri" w:cs="Calibri"/>
        </w:rPr>
        <w:t xml:space="preserve"> </w:t>
      </w:r>
      <w:r w:rsidR="001E2692">
        <w:t>T</w:t>
      </w:r>
      <w:r w:rsidR="00EA460F">
        <w:t>here will be some p</w:t>
      </w:r>
      <w:r w:rsidR="00EA460F" w:rsidRPr="001F52A8">
        <w:t>oetic justice</w:t>
      </w:r>
      <w:r w:rsidR="00EA460F">
        <w:t xml:space="preserve"> about what happens:</w:t>
      </w:r>
      <w:r w:rsidR="00EA460F">
        <w:rPr>
          <w:rStyle w:val="FootnoteReference"/>
        </w:rPr>
        <w:footnoteReference w:id="391"/>
      </w:r>
      <w:r w:rsidR="00EA460F">
        <w:t xml:space="preserve"> it will involve</w:t>
      </w:r>
      <w:r w:rsidR="00EA460F" w:rsidRPr="001F52A8">
        <w:t xml:space="preserve"> sword, wives, </w:t>
      </w:r>
      <w:r w:rsidR="00EA460F">
        <w:t xml:space="preserve">and </w:t>
      </w:r>
      <w:r w:rsidR="00EA460F" w:rsidRPr="001F52A8">
        <w:t xml:space="preserve">public </w:t>
      </w:r>
      <w:r w:rsidR="00EA460F">
        <w:t>exposure</w:t>
      </w:r>
      <w:r w:rsidR="00B741D6">
        <w:t>.</w:t>
      </w:r>
      <w:r w:rsidR="001E2692">
        <w:t xml:space="preserve"> </w:t>
      </w:r>
      <w:r w:rsidR="001058F5">
        <w:t xml:space="preserve">There is a </w:t>
      </w:r>
      <w:r w:rsidR="00F71C7C">
        <w:t>moral and theological</w:t>
      </w:r>
      <w:r w:rsidR="00E51F9F">
        <w:t xml:space="preserve"> </w:t>
      </w:r>
      <w:r w:rsidR="001058F5">
        <w:t>link between the</w:t>
      </w:r>
      <w:r w:rsidR="00534351">
        <w:t xml:space="preserve"> natural and the</w:t>
      </w:r>
      <w:r w:rsidR="006F59CF">
        <w:t xml:space="preserve"> deliberate action</w:t>
      </w:r>
      <w:r w:rsidR="001A035F">
        <w:t>:</w:t>
      </w:r>
      <w:r w:rsidR="001058F5">
        <w:t xml:space="preserve"> the “natural” result will issue from the fact that “you despised me.”</w:t>
      </w:r>
      <w:r w:rsidR="00E51F9F">
        <w:t xml:space="preserve"> </w:t>
      </w:r>
      <w:r w:rsidR="00642B51">
        <w:t xml:space="preserve">The words </w:t>
      </w:r>
      <w:r w:rsidR="00D0506C">
        <w:t xml:space="preserve">about the natural outworking </w:t>
      </w:r>
      <w:r w:rsidR="00F71C7C">
        <w:t xml:space="preserve">also </w:t>
      </w:r>
      <w:r w:rsidR="00642B51">
        <w:t xml:space="preserve">make for a grievous link with David’s offhand </w:t>
      </w:r>
      <w:r w:rsidR="007026D7">
        <w:t>comment</w:t>
      </w:r>
      <w:r w:rsidR="00830F68">
        <w:t xml:space="preserve"> that</w:t>
      </w:r>
      <w:r w:rsidR="007026D7">
        <w:t xml:space="preserve"> </w:t>
      </w:r>
      <w:r w:rsidR="00591AB3">
        <w:t>“</w:t>
      </w:r>
      <w:r w:rsidR="00F80D0A">
        <w:t xml:space="preserve">the sword devours </w:t>
      </w:r>
      <w:r w:rsidR="00CE0E6B">
        <w:t>this one and</w:t>
      </w:r>
      <w:r w:rsidR="00F80D0A">
        <w:t xml:space="preserve"> that</w:t>
      </w:r>
      <w:r w:rsidR="00CE0E6B">
        <w:t xml:space="preserve"> one</w:t>
      </w:r>
      <w:r w:rsidR="00376D7E">
        <w:t>” (11:25).</w:t>
      </w:r>
      <w:r w:rsidR="005410BE">
        <w:rPr>
          <w:rStyle w:val="FootnoteReference"/>
        </w:rPr>
        <w:footnoteReference w:id="392"/>
      </w:r>
      <w:r w:rsidR="00376D7E">
        <w:t xml:space="preserve"> </w:t>
      </w:r>
    </w:p>
    <w:p w14:paraId="5F8F2CE5" w14:textId="36830D87" w:rsidR="0017592B" w:rsidRPr="0017592B" w:rsidRDefault="005E1349" w:rsidP="0017592B">
      <w:pPr>
        <w:rPr>
          <w:rFonts w:ascii="Calibri" w:hAnsi="Calibri" w:cs="Calibri"/>
        </w:rPr>
      </w:pPr>
      <w:r>
        <w:t xml:space="preserve">David </w:t>
      </w:r>
      <w:r w:rsidR="00283E41">
        <w:t xml:space="preserve">duly </w:t>
      </w:r>
      <w:r>
        <w:t xml:space="preserve">acknowledges, </w:t>
      </w:r>
      <w:r w:rsidR="0041163D" w:rsidRPr="001F52A8">
        <w:t>“I have done wrong in relation to Yahweh” (</w:t>
      </w:r>
      <w:r w:rsidR="0041163D" w:rsidRPr="001F52A8">
        <w:rPr>
          <w:rFonts w:cstheme="minorHAnsi"/>
          <w:i/>
          <w:iCs/>
        </w:rPr>
        <w:t>ḥāṭā</w:t>
      </w:r>
      <w:r w:rsidR="0041163D" w:rsidRPr="001F52A8">
        <w:rPr>
          <w:i/>
          <w:iCs/>
        </w:rPr>
        <w:t>’t</w:t>
      </w:r>
      <w:r w:rsidR="0041163D" w:rsidRPr="001F52A8">
        <w:rPr>
          <w:rFonts w:cstheme="minorHAnsi"/>
          <w:i/>
          <w:iCs/>
        </w:rPr>
        <w:t>î</w:t>
      </w:r>
      <w:r w:rsidR="0041163D" w:rsidRPr="001F52A8">
        <w:rPr>
          <w:i/>
          <w:iCs/>
        </w:rPr>
        <w:t xml:space="preserve"> lyhwh</w:t>
      </w:r>
      <w:r w:rsidR="0041163D" w:rsidRPr="001F52A8">
        <w:t>; 12:13)</w:t>
      </w:r>
      <w:r w:rsidR="0041163D">
        <w:t xml:space="preserve">. </w:t>
      </w:r>
      <w:r w:rsidR="008E394A">
        <w:t>The verb</w:t>
      </w:r>
      <w:r w:rsidR="003F2E09">
        <w:t xml:space="preserve"> is traditionally translated “sin,” </w:t>
      </w:r>
      <w:r w:rsidR="00915BCA">
        <w:t xml:space="preserve">but its implications are more relational than this </w:t>
      </w:r>
      <w:r w:rsidR="006B3818">
        <w:t>rendering</w:t>
      </w:r>
      <w:r w:rsidR="00915BCA">
        <w:t xml:space="preserve"> implies</w:t>
      </w:r>
      <w:r w:rsidR="00E35888">
        <w:t xml:space="preserve">; </w:t>
      </w:r>
      <w:r w:rsidR="007276A2">
        <w:t>Samuel</w:t>
      </w:r>
      <w:r w:rsidR="003C1F39">
        <w:t xml:space="preserve"> </w:t>
      </w:r>
      <w:r w:rsidR="003E3A70">
        <w:t xml:space="preserve">uses it </w:t>
      </w:r>
      <w:r w:rsidR="00B56D95">
        <w:t xml:space="preserve">about </w:t>
      </w:r>
      <w:r w:rsidR="009A1CD7">
        <w:t xml:space="preserve">wrongdoing in </w:t>
      </w:r>
      <w:r w:rsidR="00B56D95">
        <w:t xml:space="preserve">human relationships (e.g., 1 Sam </w:t>
      </w:r>
      <w:r w:rsidR="00B61261">
        <w:t xml:space="preserve">2:25; </w:t>
      </w:r>
      <w:r w:rsidR="00B56D95">
        <w:t>19:4</w:t>
      </w:r>
      <w:r w:rsidR="003C1F39">
        <w:t>-5</w:t>
      </w:r>
      <w:r w:rsidR="00B56D95">
        <w:t xml:space="preserve">). </w:t>
      </w:r>
      <w:r w:rsidR="00E35888">
        <w:t>“</w:t>
      </w:r>
      <w:r w:rsidR="00B56D95">
        <w:t>O</w:t>
      </w:r>
      <w:r w:rsidR="00E35888">
        <w:t>ffended” is closer</w:t>
      </w:r>
      <w:r w:rsidR="003455CA">
        <w:t xml:space="preserve">, </w:t>
      </w:r>
      <w:r w:rsidR="00137AEB">
        <w:t xml:space="preserve">though that expression </w:t>
      </w:r>
      <w:r w:rsidR="00D456FB">
        <w:t>c</w:t>
      </w:r>
      <w:r w:rsidR="00DE0CF9">
        <w:t>ould</w:t>
      </w:r>
      <w:r w:rsidR="00D456FB">
        <w:t xml:space="preserve"> imply merely a </w:t>
      </w:r>
      <w:r w:rsidR="0024026D">
        <w:t>point</w:t>
      </w:r>
      <w:r w:rsidR="00D456FB">
        <w:t xml:space="preserve"> about Yahw</w:t>
      </w:r>
      <w:r w:rsidR="000C5AE6">
        <w:t>e</w:t>
      </w:r>
      <w:r w:rsidR="00D456FB">
        <w:t xml:space="preserve">h’s feelings and not about objective wrongdoing. </w:t>
      </w:r>
      <w:r w:rsidR="003D75E4">
        <w:t>The stark simplicity of David’s words, without excuses and without appeal, emerges more clearly</w:t>
      </w:r>
      <w:r w:rsidR="000A3D97">
        <w:t xml:space="preserve"> when set alongside th</w:t>
      </w:r>
      <w:r w:rsidR="00F23422">
        <w:t>e confession</w:t>
      </w:r>
      <w:r w:rsidR="000A3D97">
        <w:t xml:space="preserve"> in Psalm 51</w:t>
      </w:r>
      <w:r w:rsidR="00C96373">
        <w:t>. T</w:t>
      </w:r>
      <w:r w:rsidR="002A5160">
        <w:t xml:space="preserve">he two confessions are </w:t>
      </w:r>
      <w:r w:rsidR="00C96373">
        <w:t xml:space="preserve">not </w:t>
      </w:r>
      <w:r w:rsidR="002A5160">
        <w:t>incompatible</w:t>
      </w:r>
      <w:r w:rsidR="00F23422">
        <w:t>.</w:t>
      </w:r>
      <w:r w:rsidR="00B350E7">
        <w:t xml:space="preserve"> </w:t>
      </w:r>
      <w:r w:rsidR="000E5CDD">
        <w:t>Either could be uttered in words but not in reality</w:t>
      </w:r>
      <w:r w:rsidR="00D63FA5">
        <w:t>, and linking the</w:t>
      </w:r>
      <w:r w:rsidR="00C96373">
        <w:t xml:space="preserve"> two could make for some irony</w:t>
      </w:r>
      <w:r w:rsidR="000E5CDD">
        <w:t xml:space="preserve">. </w:t>
      </w:r>
      <w:r w:rsidR="006F6C61">
        <w:t>But</w:t>
      </w:r>
      <w:r w:rsidR="000E5CDD">
        <w:t xml:space="preserve"> </w:t>
      </w:r>
      <w:r w:rsidR="00C96373">
        <w:t>for</w:t>
      </w:r>
      <w:r w:rsidR="0017592B">
        <w:t xml:space="preserve"> David</w:t>
      </w:r>
      <w:r w:rsidR="0017592B" w:rsidRPr="0017592B">
        <w:rPr>
          <w:rFonts w:ascii="Calibri" w:hAnsi="Calibri" w:cs="Calibri"/>
        </w:rPr>
        <w:t>,</w:t>
      </w:r>
      <w:r w:rsidR="0017592B" w:rsidRPr="0017592B">
        <w:rPr>
          <w:rFonts w:ascii="Calibri" w:hAnsi="Calibri" w:cs="Calibri"/>
          <w:color w:val="000000"/>
        </w:rPr>
        <w:t xml:space="preserve"> </w:t>
      </w:r>
      <w:r w:rsidR="0017592B">
        <w:rPr>
          <w:rFonts w:ascii="Calibri" w:hAnsi="Calibri" w:cs="Calibri"/>
          <w:color w:val="000000"/>
        </w:rPr>
        <w:t>“</w:t>
      </w:r>
      <w:r w:rsidR="0017592B" w:rsidRPr="0017592B">
        <w:rPr>
          <w:rFonts w:ascii="Calibri" w:hAnsi="Calibri" w:cs="Calibri"/>
          <w:color w:val="000000"/>
        </w:rPr>
        <w:t>the subsequent history indicates that this moment of self-recognition does not mark any fundamental change.</w:t>
      </w:r>
      <w:r w:rsidR="0017592B">
        <w:rPr>
          <w:rFonts w:ascii="Calibri" w:hAnsi="Calibri" w:cs="Calibri"/>
          <w:color w:val="000000"/>
        </w:rPr>
        <w:t>”</w:t>
      </w:r>
      <w:r w:rsidR="00E909AE">
        <w:rPr>
          <w:rStyle w:val="FootnoteReference"/>
          <w:rFonts w:ascii="Calibri" w:hAnsi="Calibri" w:cs="Calibri"/>
          <w:color w:val="000000"/>
        </w:rPr>
        <w:footnoteReference w:id="393"/>
      </w:r>
    </w:p>
    <w:p w14:paraId="177FF853" w14:textId="430A89F4" w:rsidR="00270240" w:rsidRDefault="0017592B" w:rsidP="00270240">
      <w:r>
        <w:lastRenderedPageBreak/>
        <w:t xml:space="preserve">Meanwhile, </w:t>
      </w:r>
      <w:r w:rsidR="00D7604A">
        <w:t xml:space="preserve">Nathan’s response is: </w:t>
      </w:r>
      <w:r w:rsidR="004A170A">
        <w:t>“</w:t>
      </w:r>
      <w:r w:rsidR="007C2466">
        <w:t xml:space="preserve">Indeed, </w:t>
      </w:r>
      <w:r w:rsidR="004A170A">
        <w:t xml:space="preserve">Yahweh has </w:t>
      </w:r>
      <w:r w:rsidR="00FA47DA">
        <w:t xml:space="preserve">passed on </w:t>
      </w:r>
      <w:r w:rsidR="00AF3D28">
        <w:t>your wrongdoing</w:t>
      </w:r>
      <w:r w:rsidR="007C2466">
        <w:t xml:space="preserve"> </w:t>
      </w:r>
      <w:r w:rsidR="00E7620B">
        <w:t>–</w:t>
      </w:r>
      <w:r w:rsidR="00AF3D28">
        <w:t xml:space="preserve"> you will not die</w:t>
      </w:r>
      <w:r w:rsidR="00D7604A">
        <w:t xml:space="preserve">. Nevertheless, </w:t>
      </w:r>
      <w:r w:rsidR="009579DC" w:rsidRPr="001F52A8">
        <w:t>because you definitely made Yahweh’s enemies</w:t>
      </w:r>
      <w:r w:rsidR="00215B62">
        <w:t xml:space="preserve"> </w:t>
      </w:r>
      <w:r w:rsidR="008A416A">
        <w:t>feel contempt</w:t>
      </w:r>
      <w:r w:rsidR="008A416A" w:rsidRPr="001F52A8">
        <w:t xml:space="preserve"> </w:t>
      </w:r>
      <w:r w:rsidR="009579DC" w:rsidRPr="001F52A8">
        <w:t>through this thing, indeed the son born to you will definitely die</w:t>
      </w:r>
      <w:r w:rsidR="00E7620B">
        <w:t>” (2 Sam 12:</w:t>
      </w:r>
      <w:r w:rsidR="00323AF4">
        <w:t>13-14).</w:t>
      </w:r>
      <w:r w:rsidR="00434B09">
        <w:t xml:space="preserve"> </w:t>
      </w:r>
    </w:p>
    <w:p w14:paraId="62B86991" w14:textId="77777777" w:rsidR="007B7018" w:rsidRDefault="00434B09" w:rsidP="00465561">
      <w:r>
        <w:t xml:space="preserve">“Passed on” or </w:t>
      </w:r>
      <w:r w:rsidR="00FD6E8C">
        <w:t>“</w:t>
      </w:r>
      <w:r>
        <w:t>r</w:t>
      </w:r>
      <w:r w:rsidR="002A0AFC">
        <w:t>emoved</w:t>
      </w:r>
      <w:r w:rsidR="00FD6E8C">
        <w:t>” (</w:t>
      </w:r>
      <w:r w:rsidR="00FD6E8C">
        <w:rPr>
          <w:i/>
          <w:iCs/>
        </w:rPr>
        <w:t>‘</w:t>
      </w:r>
      <w:r w:rsidR="00FD6E8C">
        <w:rPr>
          <w:rFonts w:cstheme="minorHAnsi"/>
          <w:i/>
          <w:iCs/>
        </w:rPr>
        <w:t>ā</w:t>
      </w:r>
      <w:r w:rsidR="00FD6E8C">
        <w:rPr>
          <w:i/>
          <w:iCs/>
        </w:rPr>
        <w:t xml:space="preserve">bar </w:t>
      </w:r>
      <w:r w:rsidR="00FD6E8C">
        <w:t xml:space="preserve">hiphil) </w:t>
      </w:r>
      <w:r w:rsidR="00AD7A66">
        <w:t>is a</w:t>
      </w:r>
      <w:r w:rsidR="002A0AFC">
        <w:t>n</w:t>
      </w:r>
      <w:r w:rsidR="00D04FAC">
        <w:t xml:space="preserve"> un</w:t>
      </w:r>
      <w:r w:rsidR="002A0AFC">
        <w:t>usual</w:t>
      </w:r>
      <w:r w:rsidR="00AD7A66">
        <w:t xml:space="preserve"> expression</w:t>
      </w:r>
      <w:r w:rsidR="00391D1D">
        <w:t>, and</w:t>
      </w:r>
      <w:r w:rsidR="00880B04">
        <w:t xml:space="preserve"> not a</w:t>
      </w:r>
      <w:r w:rsidR="00D04FAC">
        <w:t xml:space="preserve"> regular</w:t>
      </w:r>
      <w:r w:rsidR="00880B04">
        <w:t xml:space="preserve"> </w:t>
      </w:r>
      <w:r w:rsidR="006B472A">
        <w:t>term</w:t>
      </w:r>
      <w:r w:rsidR="00880B04">
        <w:t xml:space="preserve"> for forgiv</w:t>
      </w:r>
      <w:r w:rsidR="00403526">
        <w:t>eness</w:t>
      </w:r>
      <w:r w:rsidR="00880B04">
        <w:t xml:space="preserve"> or pardon</w:t>
      </w:r>
      <w:r w:rsidR="00F83E58">
        <w:t xml:space="preserve">, though David himself </w:t>
      </w:r>
      <w:r w:rsidR="00745FF7">
        <w:t>later uses it</w:t>
      </w:r>
      <w:r w:rsidR="00F83E58">
        <w:t xml:space="preserve"> (24:10)</w:t>
      </w:r>
      <w:r w:rsidR="00A7745F">
        <w:t>.</w:t>
      </w:r>
      <w:r w:rsidR="00CB1841">
        <w:t xml:space="preserve"> </w:t>
      </w:r>
      <w:r w:rsidR="00EA5D47">
        <w:t>To</w:t>
      </w:r>
      <w:r w:rsidR="00403526">
        <w:t xml:space="preserve"> </w:t>
      </w:r>
      <w:r w:rsidR="007C322F">
        <w:t>“</w:t>
      </w:r>
      <w:r w:rsidR="00403526">
        <w:t>fo</w:t>
      </w:r>
      <w:r w:rsidR="00EA5D47">
        <w:t>rgive</w:t>
      </w:r>
      <w:r w:rsidR="007C322F">
        <w:t>”</w:t>
      </w:r>
      <w:r w:rsidR="00EA5D47">
        <w:t xml:space="preserve"> </w:t>
      </w:r>
      <w:r w:rsidR="009330E8">
        <w:t>(</w:t>
      </w:r>
      <w:r w:rsidR="009330E8">
        <w:rPr>
          <w:i/>
          <w:iCs/>
        </w:rPr>
        <w:t>n</w:t>
      </w:r>
      <w:r w:rsidR="009330E8">
        <w:rPr>
          <w:rFonts w:cstheme="minorHAnsi"/>
          <w:i/>
          <w:iCs/>
        </w:rPr>
        <w:t>āśā’</w:t>
      </w:r>
      <w:r w:rsidR="009330E8">
        <w:rPr>
          <w:rFonts w:cstheme="minorHAnsi"/>
        </w:rPr>
        <w:t xml:space="preserve">) </w:t>
      </w:r>
      <w:r w:rsidR="00EA5D47">
        <w:t xml:space="preserve">is literally </w:t>
      </w:r>
      <w:r w:rsidR="00403526">
        <w:t>t</w:t>
      </w:r>
      <w:r w:rsidR="00EA5D47">
        <w:t>o carry</w:t>
      </w:r>
      <w:r w:rsidR="0005618F">
        <w:rPr>
          <w:rFonts w:cstheme="minorHAnsi"/>
        </w:rPr>
        <w:t xml:space="preserve">; </w:t>
      </w:r>
      <w:r w:rsidR="00784036">
        <w:rPr>
          <w:rFonts w:cstheme="minorHAnsi"/>
        </w:rPr>
        <w:t>Saul</w:t>
      </w:r>
      <w:r w:rsidR="008C7814">
        <w:t xml:space="preserve"> sp</w:t>
      </w:r>
      <w:r w:rsidR="00784036">
        <w:t>oke</w:t>
      </w:r>
      <w:r w:rsidR="008C7814">
        <w:t xml:space="preserve"> of </w:t>
      </w:r>
      <w:r w:rsidR="00784036">
        <w:t>Samuel</w:t>
      </w:r>
      <w:r w:rsidR="008C7814">
        <w:t xml:space="preserve">’s carrying </w:t>
      </w:r>
      <w:r w:rsidR="00C96373">
        <w:t>his</w:t>
      </w:r>
      <w:r w:rsidR="008C7814">
        <w:t xml:space="preserve"> wrongdoing (1 Sam 15:25), which </w:t>
      </w:r>
      <w:r w:rsidR="001E062C">
        <w:t xml:space="preserve">would </w:t>
      </w:r>
      <w:r w:rsidR="008C7814">
        <w:t>mean absorbing the consequences</w:t>
      </w:r>
      <w:r w:rsidR="00E96F95">
        <w:t xml:space="preserve"> and not making </w:t>
      </w:r>
      <w:r w:rsidR="00C96373">
        <w:t>him</w:t>
      </w:r>
      <w:r w:rsidR="00E96F95">
        <w:t xml:space="preserve"> carry them. </w:t>
      </w:r>
      <w:r w:rsidR="00C07142">
        <w:t xml:space="preserve">To </w:t>
      </w:r>
      <w:r w:rsidR="00FC0410">
        <w:t>“</w:t>
      </w:r>
      <w:r w:rsidR="00C07142">
        <w:t>p</w:t>
      </w:r>
      <w:r w:rsidR="008C7814">
        <w:t>ardon</w:t>
      </w:r>
      <w:r w:rsidR="00FC0410">
        <w:t>”</w:t>
      </w:r>
      <w:r w:rsidR="0066346C">
        <w:t xml:space="preserve"> (</w:t>
      </w:r>
      <w:r w:rsidR="00E34652">
        <w:rPr>
          <w:i/>
          <w:iCs/>
        </w:rPr>
        <w:t>s</w:t>
      </w:r>
      <w:r w:rsidR="00E34652">
        <w:rPr>
          <w:rFonts w:cstheme="minorHAnsi"/>
          <w:i/>
          <w:iCs/>
        </w:rPr>
        <w:t>ālaḥ</w:t>
      </w:r>
      <w:r w:rsidR="00FC0410">
        <w:rPr>
          <w:rFonts w:cstheme="minorHAnsi"/>
        </w:rPr>
        <w:t>) i</w:t>
      </w:r>
      <w:r w:rsidR="00A173C4">
        <w:t>s</w:t>
      </w:r>
      <w:r w:rsidR="008C7814">
        <w:t xml:space="preserve"> a</w:t>
      </w:r>
      <w:r w:rsidR="00175B03">
        <w:t xml:space="preserve"> creative, </w:t>
      </w:r>
      <w:r w:rsidR="00FC0410">
        <w:t xml:space="preserve">almost </w:t>
      </w:r>
      <w:r w:rsidR="004E04B4">
        <w:t>miraculous</w:t>
      </w:r>
      <w:r w:rsidR="00175B03">
        <w:t>,</w:t>
      </w:r>
      <w:r w:rsidR="008C7814">
        <w:t xml:space="preserve"> </w:t>
      </w:r>
      <w:r w:rsidR="004E04B4">
        <w:t>act</w:t>
      </w:r>
      <w:r w:rsidR="008C7814">
        <w:t xml:space="preserve"> whereby a person with proper authority makes </w:t>
      </w:r>
      <w:r w:rsidR="006F3A6B">
        <w:t xml:space="preserve">a </w:t>
      </w:r>
      <w:r w:rsidR="008C7814">
        <w:t>wrong</w:t>
      </w:r>
      <w:r w:rsidR="006F3A6B">
        <w:t>doing</w:t>
      </w:r>
      <w:r w:rsidR="008C7814">
        <w:t xml:space="preserve"> </w:t>
      </w:r>
      <w:r w:rsidR="00BD1A92">
        <w:t xml:space="preserve">effectively </w:t>
      </w:r>
      <w:r w:rsidR="008C7814">
        <w:t>cease to exist</w:t>
      </w:r>
      <w:r w:rsidR="00A173C4">
        <w:t xml:space="preserve">. </w:t>
      </w:r>
      <w:r w:rsidR="0097229D">
        <w:t>Nathan’s</w:t>
      </w:r>
      <w:r w:rsidR="00A173C4">
        <w:t xml:space="preserve"> verb</w:t>
      </w:r>
      <w:r w:rsidR="00CB1841">
        <w:t xml:space="preserve"> can mean “transfer” (</w:t>
      </w:r>
      <w:r w:rsidR="002030F6">
        <w:t xml:space="preserve">cf. 2 Sam </w:t>
      </w:r>
      <w:r w:rsidR="00830D37">
        <w:t>12:31)</w:t>
      </w:r>
      <w:r w:rsidR="00E02F89">
        <w:t>;</w:t>
      </w:r>
      <w:r w:rsidR="00830D37">
        <w:t xml:space="preserve"> it</w:t>
      </w:r>
      <w:r w:rsidR="00DA2F82">
        <w:t xml:space="preserve">s frightening </w:t>
      </w:r>
      <w:r w:rsidR="006B472A">
        <w:t>implication</w:t>
      </w:r>
      <w:r w:rsidR="00DA2F82">
        <w:t xml:space="preserve"> </w:t>
      </w:r>
      <w:r w:rsidR="006B472A">
        <w:t>c</w:t>
      </w:r>
      <w:r w:rsidR="00DA2F82">
        <w:t>ould be t</w:t>
      </w:r>
      <w:r w:rsidR="008C4C78">
        <w:t xml:space="preserve">hat Yahweh </w:t>
      </w:r>
      <w:r w:rsidR="00DA2F82">
        <w:t>transfer</w:t>
      </w:r>
      <w:r w:rsidR="00F83E58">
        <w:t>s</w:t>
      </w:r>
      <w:r w:rsidR="00DA2F82">
        <w:t xml:space="preserve"> the wrongdoing to David’s son</w:t>
      </w:r>
      <w:r w:rsidR="00FF7C1F">
        <w:t xml:space="preserve"> along with its punishment</w:t>
      </w:r>
      <w:r w:rsidR="00DA2F82">
        <w:t xml:space="preserve">. </w:t>
      </w:r>
      <w:r w:rsidR="00E10B80">
        <w:t>But the</w:t>
      </w:r>
      <w:r w:rsidR="00061605">
        <w:t xml:space="preserve"> other</w:t>
      </w:r>
      <w:r w:rsidR="00E10B80">
        <w:t xml:space="preserve"> occasions when </w:t>
      </w:r>
      <w:r w:rsidR="003C0F75">
        <w:t>the verb</w:t>
      </w:r>
      <w:r w:rsidR="0070496F">
        <w:t xml:space="preserve"> re</w:t>
      </w:r>
      <w:r w:rsidR="00E02F89">
        <w:t>lates</w:t>
      </w:r>
      <w:r w:rsidR="0070496F">
        <w:t xml:space="preserve"> to </w:t>
      </w:r>
      <w:r w:rsidR="003C0F75">
        <w:t xml:space="preserve">dealing with </w:t>
      </w:r>
      <w:r w:rsidR="0070496F">
        <w:t>waywardness</w:t>
      </w:r>
      <w:r w:rsidR="007601CB">
        <w:t xml:space="preserve"> </w:t>
      </w:r>
      <w:r w:rsidR="0070496F">
        <w:t>(</w:t>
      </w:r>
      <w:r w:rsidR="007601CB">
        <w:t>Job 7:21</w:t>
      </w:r>
      <w:r w:rsidR="007A0240">
        <w:t>; Zech 3:4</w:t>
      </w:r>
      <w:r w:rsidR="00EC113B">
        <w:t>)</w:t>
      </w:r>
      <w:r w:rsidR="0070496F">
        <w:t xml:space="preserve"> do not</w:t>
      </w:r>
      <w:r w:rsidR="00D64141">
        <w:t xml:space="preserve"> </w:t>
      </w:r>
      <w:r w:rsidR="00A2453E">
        <w:t xml:space="preserve">suggest passing it onto </w:t>
      </w:r>
      <w:r w:rsidR="00D64141">
        <w:t>someone</w:t>
      </w:r>
      <w:r w:rsidR="00EC113B">
        <w:t>.</w:t>
      </w:r>
      <w:r w:rsidR="006119CA">
        <w:t xml:space="preserve"> </w:t>
      </w:r>
      <w:r w:rsidR="000557D0">
        <w:t>Yet</w:t>
      </w:r>
      <w:r w:rsidR="00AC2D53">
        <w:t xml:space="preserve"> on both occasions</w:t>
      </w:r>
      <w:r w:rsidR="0071102B">
        <w:t xml:space="preserve"> </w:t>
      </w:r>
      <w:r w:rsidR="00DA7963">
        <w:t xml:space="preserve">when David is the wrongdoer, </w:t>
      </w:r>
      <w:r w:rsidR="00433192">
        <w:t>taking away the wrongdoing is accompanied by</w:t>
      </w:r>
      <w:r w:rsidR="00DA7963">
        <w:t xml:space="preserve"> calamity </w:t>
      </w:r>
      <w:r w:rsidR="005A066C">
        <w:t>coming on</w:t>
      </w:r>
      <w:r w:rsidR="00DA7963">
        <w:t xml:space="preserve"> people other than David</w:t>
      </w:r>
      <w:r w:rsidR="00564F73">
        <w:t xml:space="preserve">. </w:t>
      </w:r>
      <w:r w:rsidR="00862B39">
        <w:t xml:space="preserve">David does not </w:t>
      </w:r>
      <w:r w:rsidR="00E77FED">
        <w:t>do wrong simply as a private individual but as a father and a king</w:t>
      </w:r>
      <w:r w:rsidR="008123E8">
        <w:t xml:space="preserve">. </w:t>
      </w:r>
    </w:p>
    <w:p w14:paraId="562D6FDF" w14:textId="2829B2AD" w:rsidR="007B7018" w:rsidRDefault="008A42C2" w:rsidP="00465561">
      <w:r>
        <w:t>A</w:t>
      </w:r>
      <w:r w:rsidR="008123E8">
        <w:t>nd a</w:t>
      </w:r>
      <w:r>
        <w:t>lthough the First Testament</w:t>
      </w:r>
      <w:r w:rsidR="00422640">
        <w:t xml:space="preserve"> forbids the punishing of children </w:t>
      </w:r>
      <w:r w:rsidR="002261AD">
        <w:t xml:space="preserve">instead of </w:t>
      </w:r>
      <w:r w:rsidR="00422640">
        <w:t xml:space="preserve">their parents (Deut </w:t>
      </w:r>
      <w:r w:rsidR="00F34648">
        <w:t xml:space="preserve">24:16; </w:t>
      </w:r>
      <w:r w:rsidR="005F78BC">
        <w:t>Jer 31:29-30; Ezek 18:20</w:t>
      </w:r>
      <w:r w:rsidR="008E4CAA">
        <w:t>)</w:t>
      </w:r>
      <w:r w:rsidR="00160E36">
        <w:t>,</w:t>
      </w:r>
      <w:r w:rsidR="008E4CAA">
        <w:t xml:space="preserve"> it also </w:t>
      </w:r>
      <w:r>
        <w:t>speak</w:t>
      </w:r>
      <w:r w:rsidR="008E4CAA">
        <w:t>s</w:t>
      </w:r>
      <w:r>
        <w:t xml:space="preserve"> of Yahweh </w:t>
      </w:r>
      <w:r w:rsidR="00A368DE">
        <w:t>“</w:t>
      </w:r>
      <w:r w:rsidR="00B92FF7">
        <w:t>attending to</w:t>
      </w:r>
      <w:r w:rsidR="00A368DE">
        <w:t>”</w:t>
      </w:r>
      <w:r>
        <w:t xml:space="preserve"> </w:t>
      </w:r>
      <w:r w:rsidR="004D1CD2">
        <w:t>(</w:t>
      </w:r>
      <w:r w:rsidR="004D1CD2">
        <w:rPr>
          <w:i/>
          <w:iCs/>
        </w:rPr>
        <w:t>p</w:t>
      </w:r>
      <w:r w:rsidR="004D1CD2">
        <w:rPr>
          <w:rFonts w:cstheme="minorHAnsi"/>
          <w:i/>
          <w:iCs/>
        </w:rPr>
        <w:t>ā</w:t>
      </w:r>
      <w:r w:rsidR="004D1CD2">
        <w:rPr>
          <w:i/>
          <w:iCs/>
        </w:rPr>
        <w:t>qad ‘al</w:t>
      </w:r>
      <w:r w:rsidR="004D1CD2">
        <w:t>)</w:t>
      </w:r>
      <w:r w:rsidR="004D1CD2">
        <w:rPr>
          <w:i/>
          <w:iCs/>
        </w:rPr>
        <w:t xml:space="preserve"> </w:t>
      </w:r>
      <w:r>
        <w:t xml:space="preserve">children </w:t>
      </w:r>
      <w:r w:rsidR="00A368DE">
        <w:t>as well as</w:t>
      </w:r>
      <w:r>
        <w:t xml:space="preserve"> their parents</w:t>
      </w:r>
      <w:r w:rsidR="0040680F">
        <w:t xml:space="preserve"> in connection with the parents’ wrongdoing</w:t>
      </w:r>
      <w:r>
        <w:t xml:space="preserve"> (</w:t>
      </w:r>
      <w:r w:rsidR="00AE51C4">
        <w:t>Exod 20:5; 34:7; Num 14:18;</w:t>
      </w:r>
      <w:r w:rsidR="00FB1A07">
        <w:t xml:space="preserve"> </w:t>
      </w:r>
      <w:r w:rsidR="00AE51C4">
        <w:t>Deut 5:9</w:t>
      </w:r>
      <w:r w:rsidR="00FB1A07">
        <w:t xml:space="preserve">; Jer </w:t>
      </w:r>
      <w:r w:rsidR="007C7699">
        <w:t>29:32</w:t>
      </w:r>
      <w:r w:rsidR="00F70090">
        <w:t>)</w:t>
      </w:r>
      <w:r w:rsidR="00E02F89">
        <w:t>,</w:t>
      </w:r>
      <w:r w:rsidR="00F70090">
        <w:t xml:space="preserve"> or “requiting” (</w:t>
      </w:r>
      <w:r w:rsidR="00F70090">
        <w:rPr>
          <w:rFonts w:cstheme="minorHAnsi"/>
          <w:i/>
          <w:iCs/>
        </w:rPr>
        <w:t>š</w:t>
      </w:r>
      <w:r w:rsidR="0086681C">
        <w:rPr>
          <w:rFonts w:cstheme="minorHAnsi"/>
          <w:i/>
          <w:iCs/>
        </w:rPr>
        <w:t>ā</w:t>
      </w:r>
      <w:r w:rsidR="0086681C">
        <w:rPr>
          <w:i/>
          <w:iCs/>
        </w:rPr>
        <w:t xml:space="preserve">lam </w:t>
      </w:r>
      <w:r w:rsidR="0086681C">
        <w:t>piel</w:t>
      </w:r>
      <w:r w:rsidR="000968E5">
        <w:t>) children as well as parents</w:t>
      </w:r>
      <w:r w:rsidR="0086681C">
        <w:t xml:space="preserve"> </w:t>
      </w:r>
      <w:r w:rsidR="000968E5">
        <w:t>(</w:t>
      </w:r>
      <w:r w:rsidR="0086681C">
        <w:t>Jer</w:t>
      </w:r>
      <w:r w:rsidR="007C7699">
        <w:t xml:space="preserve"> </w:t>
      </w:r>
      <w:r w:rsidR="00FB1A07">
        <w:t>32:18</w:t>
      </w:r>
      <w:r w:rsidR="008E4CAA">
        <w:t xml:space="preserve">). </w:t>
      </w:r>
      <w:r w:rsidR="00D648FA">
        <w:t>T</w:t>
      </w:r>
      <w:r w:rsidR="00031897">
        <w:t xml:space="preserve">he second kind of </w:t>
      </w:r>
      <w:r w:rsidR="00186A45">
        <w:t>statement may presuppose</w:t>
      </w:r>
      <w:r w:rsidR="00A17A0D">
        <w:t xml:space="preserve"> that the children </w:t>
      </w:r>
      <w:r w:rsidR="001E399F">
        <w:t xml:space="preserve">are adults </w:t>
      </w:r>
      <w:r w:rsidR="00A17A0D">
        <w:t>continu</w:t>
      </w:r>
      <w:r w:rsidR="00407D4B">
        <w:t>ing</w:t>
      </w:r>
      <w:r w:rsidR="00A17A0D">
        <w:t xml:space="preserve"> </w:t>
      </w:r>
      <w:r w:rsidR="00624B16">
        <w:t>in their parents’ wrongdoing</w:t>
      </w:r>
      <w:r w:rsidR="005531DD">
        <w:t>.</w:t>
      </w:r>
      <w:r w:rsidR="002B1F05">
        <w:t xml:space="preserve"> </w:t>
      </w:r>
      <w:r w:rsidR="00D648FA">
        <w:t xml:space="preserve">Yet it </w:t>
      </w:r>
      <w:r w:rsidR="00FE4443">
        <w:t xml:space="preserve">may </w:t>
      </w:r>
      <w:r w:rsidR="00D648FA">
        <w:t xml:space="preserve">also </w:t>
      </w:r>
      <w:r w:rsidR="002D5171">
        <w:t>see</w:t>
      </w:r>
      <w:r w:rsidR="00017C9B">
        <w:t xml:space="preserve"> children a</w:t>
      </w:r>
      <w:r w:rsidR="002D5171">
        <w:t>s</w:t>
      </w:r>
      <w:r w:rsidR="00017C9B">
        <w:t xml:space="preserve"> </w:t>
      </w:r>
      <w:r w:rsidR="004A41FA">
        <w:t>“bound up in the bundle of the living</w:t>
      </w:r>
      <w:r w:rsidR="00DB1A92">
        <w:t xml:space="preserve">” </w:t>
      </w:r>
      <w:r w:rsidR="008A2950">
        <w:t>with their parents</w:t>
      </w:r>
      <w:r w:rsidR="0004668C">
        <w:t xml:space="preserve"> (1 Sam 25:29), </w:t>
      </w:r>
      <w:r w:rsidR="008A2950">
        <w:t>and parents with their childre</w:t>
      </w:r>
      <w:r w:rsidR="005B1B9C">
        <w:t>n</w:t>
      </w:r>
      <w:r w:rsidR="00DA549D">
        <w:t>.</w:t>
      </w:r>
      <w:r w:rsidR="004A41FA">
        <w:t xml:space="preserve"> </w:t>
      </w:r>
      <w:r w:rsidR="00E02F89">
        <w:t>E</w:t>
      </w:r>
      <w:r w:rsidR="00605C9E">
        <w:t>motional</w:t>
      </w:r>
      <w:r w:rsidR="00E02F89">
        <w:t>ly</w:t>
      </w:r>
      <w:r w:rsidR="00605C9E">
        <w:t xml:space="preserve"> and </w:t>
      </w:r>
      <w:r w:rsidR="005B1B9C">
        <w:t>physical</w:t>
      </w:r>
      <w:r w:rsidR="00E02F89">
        <w:t>ly,</w:t>
      </w:r>
      <w:r w:rsidR="005B1B9C">
        <w:t xml:space="preserve"> parents and children are mutually dependent at different stages of their life</w:t>
      </w:r>
      <w:r w:rsidR="00605C9E">
        <w:t xml:space="preserve">. </w:t>
      </w:r>
      <w:r w:rsidR="00231188">
        <w:t>In</w:t>
      </w:r>
      <w:r w:rsidR="00340429">
        <w:t xml:space="preserve"> David</w:t>
      </w:r>
      <w:r w:rsidR="00231188">
        <w:t>’s case it</w:t>
      </w:r>
      <w:r w:rsidR="00340429">
        <w:t xml:space="preserve"> also </w:t>
      </w:r>
      <w:r w:rsidR="00231188">
        <w:t>applies in a political</w:t>
      </w:r>
      <w:r w:rsidR="00E02F89">
        <w:t>ly</w:t>
      </w:r>
      <w:r w:rsidR="00231188">
        <w:t>.</w:t>
      </w:r>
      <w:r w:rsidR="005B1B9C">
        <w:t xml:space="preserve"> </w:t>
      </w:r>
    </w:p>
    <w:p w14:paraId="36FF7AA1" w14:textId="523F019B" w:rsidR="00CF09CC" w:rsidRDefault="00256CB1" w:rsidP="00465561">
      <w:r>
        <w:t xml:space="preserve">Here and elsewhere Yahweh </w:t>
      </w:r>
      <w:r w:rsidR="00E02F89">
        <w:t>recognizes</w:t>
      </w:r>
      <w:r w:rsidR="00EE0626">
        <w:t xml:space="preserve"> th</w:t>
      </w:r>
      <w:r>
        <w:t>ese reali</w:t>
      </w:r>
      <w:r w:rsidR="00DA3DAB">
        <w:t>ties</w:t>
      </w:r>
      <w:r w:rsidR="00EE0626">
        <w:t xml:space="preserve">. </w:t>
      </w:r>
      <w:r w:rsidR="00DA3DAB">
        <w:t xml:space="preserve">They are aspects of the way he created the world and the way he makes it work. </w:t>
      </w:r>
      <w:r w:rsidR="00E02F89">
        <w:t>H</w:t>
      </w:r>
      <w:r w:rsidR="002E45C7">
        <w:t xml:space="preserve">e has already affirmed </w:t>
      </w:r>
      <w:r w:rsidR="00032ACC">
        <w:t xml:space="preserve">it in connection with </w:t>
      </w:r>
      <w:r w:rsidR="00CE6DAB">
        <w:t xml:space="preserve">the rest of David’s household, and the ensuing narrative will portray it working out in connection with </w:t>
      </w:r>
      <w:r w:rsidR="00E02F89">
        <w:t>hi</w:t>
      </w:r>
      <w:r w:rsidR="00CE6DAB">
        <w:t>s childre</w:t>
      </w:r>
      <w:r w:rsidR="00922A81">
        <w:t>n</w:t>
      </w:r>
      <w:r w:rsidR="007D6A5F">
        <w:t xml:space="preserve"> as well as his wives</w:t>
      </w:r>
      <w:r w:rsidR="00922A81">
        <w:t xml:space="preserve">. Tamar will be raped, </w:t>
      </w:r>
      <w:r w:rsidR="00D86C88">
        <w:t xml:space="preserve">Absalom will attempt a coup, </w:t>
      </w:r>
      <w:r w:rsidR="00922A81">
        <w:t>and Amnon, Absalom</w:t>
      </w:r>
      <w:r w:rsidR="00547E53">
        <w:t>, and A</w:t>
      </w:r>
      <w:r w:rsidR="00490E91">
        <w:t>donijah</w:t>
      </w:r>
      <w:r w:rsidR="00547E53">
        <w:t xml:space="preserve"> will die</w:t>
      </w:r>
      <w:r w:rsidR="003A0426">
        <w:t xml:space="preserve"> violently</w:t>
      </w:r>
      <w:r w:rsidR="000A4412">
        <w:t xml:space="preserve">. Bathsheba’s child is not the only one who will die as a result of Yahweh’s </w:t>
      </w:r>
      <w:r w:rsidR="00394812">
        <w:t>David’s wrongdoing bring</w:t>
      </w:r>
      <w:r w:rsidR="00E02F89">
        <w:t>ing</w:t>
      </w:r>
      <w:r w:rsidR="00394812">
        <w:t xml:space="preserve"> trouble on his family and nation.</w:t>
      </w:r>
      <w:r w:rsidR="007F565F">
        <w:t xml:space="preserve"> </w:t>
      </w:r>
      <w:r w:rsidR="007E2B86">
        <w:t>“The violence he had earlier avoided” in his relationship with Saul “spirals out of control in his own life.”</w:t>
      </w:r>
      <w:r w:rsidR="007E2B86">
        <w:rPr>
          <w:rStyle w:val="FootnoteReference"/>
        </w:rPr>
        <w:footnoteReference w:id="394"/>
      </w:r>
    </w:p>
    <w:p w14:paraId="2B05D87A" w14:textId="41AAD876" w:rsidR="00E31E11" w:rsidRDefault="00CB6BA4" w:rsidP="00CF418F">
      <w:r>
        <w:t xml:space="preserve">So Yahweh </w:t>
      </w:r>
      <w:r w:rsidR="00ED7443">
        <w:t>afflict</w:t>
      </w:r>
      <w:r w:rsidR="0090795F">
        <w:t>ed</w:t>
      </w:r>
      <w:r>
        <w:t xml:space="preserve"> the child </w:t>
      </w:r>
      <w:r w:rsidR="00ED7443">
        <w:t>(</w:t>
      </w:r>
      <w:r w:rsidR="00ED7443">
        <w:rPr>
          <w:i/>
          <w:iCs/>
        </w:rPr>
        <w:t>n</w:t>
      </w:r>
      <w:r w:rsidR="00ED7443">
        <w:rPr>
          <w:rFonts w:cstheme="minorHAnsi"/>
          <w:i/>
          <w:iCs/>
        </w:rPr>
        <w:t>ā</w:t>
      </w:r>
      <w:r w:rsidR="00ED7443">
        <w:rPr>
          <w:i/>
          <w:iCs/>
        </w:rPr>
        <w:t>gap</w:t>
      </w:r>
      <w:r w:rsidR="00F22BE6">
        <w:t>), as he afflicted Nabal (1 Sam 25:</w:t>
      </w:r>
      <w:r w:rsidR="008D3D6A">
        <w:t>38).</w:t>
      </w:r>
      <w:r w:rsidR="007D67F3">
        <w:t xml:space="preserve"> </w:t>
      </w:r>
      <w:r w:rsidR="00201963">
        <w:t>The child</w:t>
      </w:r>
      <w:r w:rsidR="007D67F3">
        <w:t xml:space="preserve"> got ill, in the way that children do</w:t>
      </w:r>
      <w:r w:rsidR="0054262F">
        <w:t>, but</w:t>
      </w:r>
      <w:r w:rsidR="007D67F3">
        <w:t xml:space="preserve"> in a </w:t>
      </w:r>
      <w:r w:rsidR="00C13570">
        <w:t xml:space="preserve">premodern society, they often then die. </w:t>
      </w:r>
      <w:r w:rsidR="0054262F">
        <w:t xml:space="preserve">David </w:t>
      </w:r>
      <w:r w:rsidR="00CF418F">
        <w:t>t</w:t>
      </w:r>
      <w:r w:rsidR="0024186B">
        <w:t xml:space="preserve">herefore </w:t>
      </w:r>
      <w:r w:rsidR="00C80E71">
        <w:t>inquir</w:t>
      </w:r>
      <w:r w:rsidR="0024186B">
        <w:t>e</w:t>
      </w:r>
      <w:r w:rsidR="0054262F">
        <w:t>s</w:t>
      </w:r>
      <w:r w:rsidR="0024186B">
        <w:t xml:space="preserve"> with God</w:t>
      </w:r>
      <w:r w:rsidR="00C80E71">
        <w:t xml:space="preserve"> (</w:t>
      </w:r>
      <w:r w:rsidR="00C80E71">
        <w:rPr>
          <w:i/>
          <w:iCs/>
        </w:rPr>
        <w:t>b</w:t>
      </w:r>
      <w:r w:rsidR="00C80E71">
        <w:rPr>
          <w:rFonts w:cstheme="minorHAnsi"/>
          <w:i/>
          <w:iCs/>
        </w:rPr>
        <w:t>ā</w:t>
      </w:r>
      <w:r w:rsidR="00C80E71">
        <w:rPr>
          <w:i/>
          <w:iCs/>
        </w:rPr>
        <w:t>qa</w:t>
      </w:r>
      <w:r w:rsidR="00C80E71">
        <w:rPr>
          <w:rFonts w:cstheme="minorHAnsi"/>
          <w:i/>
          <w:iCs/>
        </w:rPr>
        <w:t>š</w:t>
      </w:r>
      <w:r w:rsidR="00C80E71">
        <w:t xml:space="preserve"> piel) concerning the child</w:t>
      </w:r>
      <w:r w:rsidR="00B92DA9">
        <w:t>.</w:t>
      </w:r>
      <w:r w:rsidR="00DC0AFD">
        <w:t xml:space="preserve"> </w:t>
      </w:r>
      <w:r w:rsidR="006C7760">
        <w:t xml:space="preserve">The First Testament </w:t>
      </w:r>
      <w:r w:rsidR="00CF418F">
        <w:t>knows</w:t>
      </w:r>
      <w:r w:rsidR="006C7760">
        <w:t xml:space="preserve"> that </w:t>
      </w:r>
      <w:r w:rsidR="00AB1461">
        <w:t xml:space="preserve">Yahweh’s declarations of intent do not close down conversation with him about </w:t>
      </w:r>
      <w:r w:rsidR="00A276D1">
        <w:t>a</w:t>
      </w:r>
      <w:r w:rsidR="00AB1461">
        <w:t xml:space="preserve"> matter, any more than they do for children in relation </w:t>
      </w:r>
      <w:r w:rsidR="004B1AF3">
        <w:t>t</w:t>
      </w:r>
      <w:r w:rsidR="00AB1461">
        <w:t>o parents.</w:t>
      </w:r>
      <w:r w:rsidR="00F50AA4">
        <w:t xml:space="preserve"> </w:t>
      </w:r>
      <w:r w:rsidR="00DC0AFD">
        <w:t>“Crying out to God is advantageous for a person both before the issue of a decree and after the issue of a decree”</w:t>
      </w:r>
      <w:r w:rsidR="002E620F">
        <w:t xml:space="preserve"> </w:t>
      </w:r>
      <w:r w:rsidR="00DC0AFD">
        <w:t>(</w:t>
      </w:r>
      <w:r w:rsidR="00DC0AFD">
        <w:rPr>
          <w:i/>
          <w:iCs/>
        </w:rPr>
        <w:t xml:space="preserve">b. </w:t>
      </w:r>
      <w:r w:rsidR="00DC0AFD">
        <w:t>Rosh Hashanah 16b).</w:t>
      </w:r>
      <w:r w:rsidR="00C630B3">
        <w:t xml:space="preserve"> </w:t>
      </w:r>
      <w:r w:rsidR="00F50AA4">
        <w:t xml:space="preserve">Yahweh </w:t>
      </w:r>
      <w:r w:rsidR="00B23EE6">
        <w:t xml:space="preserve">can relent of </w:t>
      </w:r>
      <w:r w:rsidR="005C0B8E">
        <w:t>dire trouble he has said he would do</w:t>
      </w:r>
      <w:r w:rsidR="007B7018">
        <w:t>, as he did at Sinai</w:t>
      </w:r>
      <w:r w:rsidR="00CF418F">
        <w:t xml:space="preserve">. </w:t>
      </w:r>
      <w:r w:rsidR="003751C7">
        <w:t xml:space="preserve">“Who knows” (cf. Joel 2:14; Jonah 3:9) </w:t>
      </w:r>
      <w:r w:rsidR="00F87C62">
        <w:t xml:space="preserve">whether Yahweh </w:t>
      </w:r>
      <w:r w:rsidR="00AA4C60">
        <w:t>may be gracious (</w:t>
      </w:r>
      <w:r w:rsidR="00AA4C60">
        <w:rPr>
          <w:rFonts w:cstheme="minorHAnsi"/>
          <w:i/>
          <w:iCs/>
        </w:rPr>
        <w:t>ḥā</w:t>
      </w:r>
      <w:r w:rsidR="00AA4C60">
        <w:rPr>
          <w:i/>
          <w:iCs/>
        </w:rPr>
        <w:t>nan</w:t>
      </w:r>
      <w:r w:rsidR="00E33C5B">
        <w:t xml:space="preserve">; </w:t>
      </w:r>
      <w:r w:rsidR="00F87C62">
        <w:t>2 Sam 12:22</w:t>
      </w:r>
      <w:r w:rsidR="004E59DC">
        <w:t>)</w:t>
      </w:r>
      <w:r w:rsidR="007B7018">
        <w:t>?</w:t>
      </w:r>
      <w:r w:rsidR="004E59DC">
        <w:t xml:space="preserve"> </w:t>
      </w:r>
      <w:r w:rsidR="00260E2A">
        <w:t>This</w:t>
      </w:r>
      <w:r w:rsidR="004E59DC">
        <w:t xml:space="preserve"> </w:t>
      </w:r>
      <w:r w:rsidR="007B7018">
        <w:t>verb</w:t>
      </w:r>
      <w:r w:rsidR="004E59DC">
        <w:t xml:space="preserve"> </w:t>
      </w:r>
      <w:r w:rsidR="00260E2A">
        <w:t>also</w:t>
      </w:r>
      <w:r w:rsidR="004E59DC">
        <w:t xml:space="preserve"> appears in </w:t>
      </w:r>
      <w:r w:rsidR="00306E0A">
        <w:t>th</w:t>
      </w:r>
      <w:r w:rsidR="007B7018">
        <w:t>e</w:t>
      </w:r>
      <w:r w:rsidR="00AA4C60">
        <w:t xml:space="preserve"> Sinai </w:t>
      </w:r>
      <w:r w:rsidR="00A048B0">
        <w:t>narrative</w:t>
      </w:r>
      <w:r w:rsidR="004E59DC">
        <w:t xml:space="preserve">, in a context where you cannot know whether </w:t>
      </w:r>
      <w:r w:rsidR="00023D3B">
        <w:t>Yahweh</w:t>
      </w:r>
      <w:r w:rsidR="004E59DC">
        <w:t xml:space="preserve"> will act that way</w:t>
      </w:r>
      <w:r w:rsidR="00023D3B">
        <w:t>:</w:t>
      </w:r>
      <w:r w:rsidR="00F85EC9">
        <w:t xml:space="preserve"> I decide who to be gracious to, he says (Exod 33:19). </w:t>
      </w:r>
      <w:r w:rsidR="00023D3B">
        <w:t>So w</w:t>
      </w:r>
      <w:r w:rsidR="00F85EC9">
        <w:t xml:space="preserve">ho knows? </w:t>
      </w:r>
      <w:r w:rsidR="007B7018">
        <w:t>P</w:t>
      </w:r>
      <w:r w:rsidR="00F85EC9">
        <w:t xml:space="preserve">rayer </w:t>
      </w:r>
      <w:r w:rsidR="007B7018">
        <w:t>mean</w:t>
      </w:r>
      <w:r w:rsidR="00F85EC9">
        <w:t>s tak</w:t>
      </w:r>
      <w:r w:rsidR="007B7018">
        <w:t>ing</w:t>
      </w:r>
      <w:r w:rsidR="00F85EC9">
        <w:t xml:space="preserve"> the risk of asking for things without knowing whether God will grant them. </w:t>
      </w:r>
      <w:r w:rsidR="007B7018">
        <w:t>Like t</w:t>
      </w:r>
      <w:r w:rsidR="00FC52AC">
        <w:t>h</w:t>
      </w:r>
      <w:r w:rsidR="00205CC8">
        <w:t>e Sinai</w:t>
      </w:r>
      <w:r w:rsidR="00FC52AC">
        <w:t xml:space="preserve"> narrative</w:t>
      </w:r>
      <w:r w:rsidR="007B7018">
        <w:t>, the David story</w:t>
      </w:r>
      <w:r w:rsidR="00FC52AC">
        <w:t xml:space="preserve"> walks around the mystery </w:t>
      </w:r>
      <w:r w:rsidR="00C113AA">
        <w:t xml:space="preserve">and complexity </w:t>
      </w:r>
      <w:r w:rsidR="00FC52AC">
        <w:t xml:space="preserve">of </w:t>
      </w:r>
      <w:r w:rsidR="00C113AA">
        <w:t>Yahweh’s response to his people’s waywardness</w:t>
      </w:r>
      <w:r w:rsidR="00205CC8">
        <w:t>,</w:t>
      </w:r>
      <w:r w:rsidR="00C113AA">
        <w:t xml:space="preserve"> in the way that narrative can.</w:t>
      </w:r>
    </w:p>
    <w:p w14:paraId="7861AF53" w14:textId="4C8DDC52" w:rsidR="006E77E9" w:rsidRPr="006E77E9" w:rsidRDefault="00E73AF8" w:rsidP="006E77E9">
      <w:r>
        <w:lastRenderedPageBreak/>
        <w:t>David fasted</w:t>
      </w:r>
      <w:r w:rsidR="00067789">
        <w:t xml:space="preserve">, as one may </w:t>
      </w:r>
      <w:r w:rsidR="00732613">
        <w:t xml:space="preserve">fast </w:t>
      </w:r>
      <w:r w:rsidR="00067789">
        <w:t xml:space="preserve">in penitence and </w:t>
      </w:r>
      <w:r w:rsidR="00BF7668">
        <w:t xml:space="preserve">prayer (1 Sam </w:t>
      </w:r>
      <w:r w:rsidR="00D57D4C">
        <w:t>7</w:t>
      </w:r>
      <w:r w:rsidR="00BF7668">
        <w:t>:</w:t>
      </w:r>
      <w:r w:rsidR="00C4056E">
        <w:t>5-6</w:t>
      </w:r>
      <w:r w:rsidR="00BF7668">
        <w:t>)</w:t>
      </w:r>
      <w:r w:rsidR="0054034B">
        <w:t>, and for some days</w:t>
      </w:r>
      <w:r w:rsidR="00BF7668">
        <w:t xml:space="preserve"> </w:t>
      </w:r>
      <w:r w:rsidR="00E37900">
        <w:t xml:space="preserve">would </w:t>
      </w:r>
      <w:r>
        <w:t>c</w:t>
      </w:r>
      <w:r w:rsidR="00E37900">
        <w:t>o</w:t>
      </w:r>
      <w:r>
        <w:t>me in</w:t>
      </w:r>
      <w:r w:rsidR="007F7EDB">
        <w:t xml:space="preserve"> (to the sanctuary</w:t>
      </w:r>
      <w:r w:rsidR="00622238">
        <w:t xml:space="preserve">, </w:t>
      </w:r>
      <w:r w:rsidR="002A76BE">
        <w:t>the tent he had erected for the covenant chest, in the former Jebusite sanctuary?</w:t>
      </w:r>
      <w:r w:rsidR="007F7EDB">
        <w:t>)</w:t>
      </w:r>
      <w:r w:rsidR="00622238">
        <w:rPr>
          <w:rStyle w:val="FootnoteReference"/>
        </w:rPr>
        <w:footnoteReference w:id="395"/>
      </w:r>
      <w:r w:rsidR="007F7EDB">
        <w:t xml:space="preserve"> and </w:t>
      </w:r>
      <w:r w:rsidR="00C702C7">
        <w:t>stay the night and l</w:t>
      </w:r>
      <w:r w:rsidR="00E37900">
        <w:t>ie</w:t>
      </w:r>
      <w:r w:rsidR="00C702C7">
        <w:t xml:space="preserve"> on the ground</w:t>
      </w:r>
      <w:r w:rsidR="006E1AA4">
        <w:t xml:space="preserve"> (2 Sam 12:</w:t>
      </w:r>
      <w:r w:rsidR="00C2766B">
        <w:t xml:space="preserve">16). </w:t>
      </w:r>
      <w:r w:rsidR="00836EC9">
        <w:t xml:space="preserve">But after a week the child died. </w:t>
      </w:r>
      <w:r w:rsidR="002A5916">
        <w:t>Then David got up</w:t>
      </w:r>
      <w:r w:rsidR="007B7018">
        <w:t>,</w:t>
      </w:r>
      <w:r w:rsidR="002A5916">
        <w:t xml:space="preserve"> bathed</w:t>
      </w:r>
      <w:r w:rsidR="007B7018">
        <w:t>,</w:t>
      </w:r>
      <w:r w:rsidR="002A5916">
        <w:t xml:space="preserve"> </w:t>
      </w:r>
      <w:r w:rsidR="00675CF3">
        <w:t>smartened himself up</w:t>
      </w:r>
      <w:r w:rsidR="007B7018">
        <w:t>,</w:t>
      </w:r>
      <w:r w:rsidR="002A5916">
        <w:t xml:space="preserve"> changed his clothe</w:t>
      </w:r>
      <w:r w:rsidR="00675CF3">
        <w:t>s</w:t>
      </w:r>
      <w:r w:rsidR="007B7018">
        <w:t>,</w:t>
      </w:r>
      <w:r w:rsidR="00675CF3">
        <w:t xml:space="preserve"> came into Yahweh’s</w:t>
      </w:r>
      <w:r w:rsidR="00622238">
        <w:t xml:space="preserve"> house</w:t>
      </w:r>
      <w:r w:rsidR="006660E7">
        <w:t xml:space="preserve"> (the same place?</w:t>
      </w:r>
      <w:r w:rsidR="003F6242">
        <w:t>)</w:t>
      </w:r>
      <w:r w:rsidR="006853EF">
        <w:t>,</w:t>
      </w:r>
      <w:r w:rsidR="003F6242">
        <w:t xml:space="preserve"> </w:t>
      </w:r>
      <w:r w:rsidR="006853EF">
        <w:t>and</w:t>
      </w:r>
      <w:r w:rsidR="007E3167">
        <w:t xml:space="preserve"> bowed down</w:t>
      </w:r>
      <w:r w:rsidR="003F6242">
        <w:t xml:space="preserve"> there</w:t>
      </w:r>
      <w:r w:rsidR="006853EF">
        <w:t>. T</w:t>
      </w:r>
      <w:r w:rsidR="007E3167">
        <w:t xml:space="preserve">hen </w:t>
      </w:r>
      <w:r w:rsidR="006853EF">
        <w:t xml:space="preserve">he </w:t>
      </w:r>
      <w:r w:rsidR="007B7018">
        <w:t>went</w:t>
      </w:r>
      <w:r w:rsidR="007E3167">
        <w:t xml:space="preserve"> home</w:t>
      </w:r>
      <w:r w:rsidR="00BE5CEC">
        <w:t xml:space="preserve"> and ate. </w:t>
      </w:r>
      <w:r w:rsidR="008026F7">
        <w:t>David’s behav</w:t>
      </w:r>
      <w:r w:rsidR="009B6FCD">
        <w:t>i</w:t>
      </w:r>
      <w:r w:rsidR="008026F7">
        <w:t>or is logical but</w:t>
      </w:r>
      <w:r w:rsidR="007D0DBB">
        <w:t xml:space="preserve"> </w:t>
      </w:r>
      <w:r w:rsidR="008026F7">
        <w:t>unconven</w:t>
      </w:r>
      <w:r w:rsidR="009B6FCD">
        <w:t>tional: he looks as if he is mourning when the child is still alive, then</w:t>
      </w:r>
      <w:r w:rsidR="000F47FF">
        <w:t xml:space="preserve"> </w:t>
      </w:r>
      <w:r w:rsidR="009B6FCD">
        <w:t>stops mourning when it has died</w:t>
      </w:r>
      <w:r w:rsidR="00071AB6">
        <w:t xml:space="preserve">. The </w:t>
      </w:r>
      <w:r w:rsidR="00024D73">
        <w:t>combination of logic</w:t>
      </w:r>
      <w:r w:rsidR="00234B2F">
        <w:t>al</w:t>
      </w:r>
      <w:r w:rsidR="00024D73">
        <w:t xml:space="preserve"> and </w:t>
      </w:r>
      <w:r w:rsidR="00033844">
        <w:t>remarkable</w:t>
      </w:r>
      <w:r w:rsidR="00695823">
        <w:t xml:space="preserve"> sums up aspects of David</w:t>
      </w:r>
      <w:r w:rsidR="007B7018">
        <w:t>.</w:t>
      </w:r>
    </w:p>
    <w:p w14:paraId="62383111" w14:textId="7177545A" w:rsidR="005F027D" w:rsidRDefault="005F027D" w:rsidP="005C0B8E">
      <w:r>
        <w:t xml:space="preserve">Why would </w:t>
      </w:r>
      <w:r w:rsidR="004058C0">
        <w:t>David</w:t>
      </w:r>
      <w:r>
        <w:t xml:space="preserve"> care so much about this baby among the umpteen he has fathered, </w:t>
      </w:r>
      <w:r w:rsidR="00171F8E">
        <w:t>a number</w:t>
      </w:r>
      <w:r>
        <w:t xml:space="preserve"> of whom have presumably died in infancy</w:t>
      </w:r>
      <w:r w:rsidR="00980E1E">
        <w:t xml:space="preserve"> (</w:t>
      </w:r>
      <w:r w:rsidR="00175720">
        <w:t>his second son, Chileab, certainly seems to have died at some point)</w:t>
      </w:r>
      <w:r w:rsidR="007B7018">
        <w:t>?</w:t>
      </w:r>
      <w:r w:rsidR="00EF5D01">
        <w:t xml:space="preserve"> </w:t>
      </w:r>
      <w:r w:rsidR="00E95E46">
        <w:t>T</w:t>
      </w:r>
      <w:r w:rsidR="00E10632">
        <w:t>h</w:t>
      </w:r>
      <w:r w:rsidR="004058C0">
        <w:t>is</w:t>
      </w:r>
      <w:r w:rsidR="00E10632">
        <w:t xml:space="preserve"> child’s death </w:t>
      </w:r>
      <w:r w:rsidR="00E95E46">
        <w:t xml:space="preserve">somehow </w:t>
      </w:r>
      <w:r w:rsidR="00E10632">
        <w:t>become</w:t>
      </w:r>
      <w:r w:rsidR="00E95E46">
        <w:t>s</w:t>
      </w:r>
      <w:r w:rsidR="00E10632">
        <w:t xml:space="preserve"> a symbol </w:t>
      </w:r>
      <w:r w:rsidR="00E95E46">
        <w:t xml:space="preserve">of the grim nature of this turning point in </w:t>
      </w:r>
      <w:r w:rsidR="004058C0">
        <w:t>David’</w:t>
      </w:r>
      <w:r w:rsidR="00E95E46">
        <w:t>s story.</w:t>
      </w:r>
      <w:r w:rsidR="00CD1583">
        <w:t xml:space="preserve"> </w:t>
      </w:r>
      <w:r w:rsidR="0060697B">
        <w:t>Yes, t</w:t>
      </w:r>
      <w:r w:rsidR="001722AA">
        <w:t xml:space="preserve">he man who acted </w:t>
      </w:r>
      <w:r w:rsidR="0060697B">
        <w:t xml:space="preserve">as David </w:t>
      </w:r>
      <w:r w:rsidR="001722AA">
        <w:t xml:space="preserve">did </w:t>
      </w:r>
      <w:r w:rsidR="00C805AF">
        <w:t>is “</w:t>
      </w:r>
      <w:r w:rsidR="007B7018">
        <w:t>a</w:t>
      </w:r>
      <w:r w:rsidR="00C805AF">
        <w:t xml:space="preserve"> son of death</w:t>
      </w:r>
      <w:r w:rsidR="00113D3B">
        <w:t>,</w:t>
      </w:r>
      <w:r w:rsidR="009A2402">
        <w:t>”</w:t>
      </w:r>
      <w:r w:rsidR="00113D3B">
        <w:t xml:space="preserve"> a</w:t>
      </w:r>
      <w:r w:rsidR="00E85467">
        <w:t>lmost “a dead man”</w:t>
      </w:r>
      <w:r w:rsidR="009A2402">
        <w:t xml:space="preserve"> (12:5).</w:t>
      </w:r>
      <w:r w:rsidR="00B554D6">
        <w:rPr>
          <w:rStyle w:val="FootnoteReference"/>
        </w:rPr>
        <w:footnoteReference w:id="396"/>
      </w:r>
      <w:r w:rsidR="00C70A6A">
        <w:t xml:space="preserve"> </w:t>
      </w:r>
      <w:r w:rsidR="0060697B">
        <w:t>“</w:t>
      </w:r>
      <w:r w:rsidR="008956F6">
        <w:t xml:space="preserve">I </w:t>
      </w:r>
      <w:r w:rsidR="00410D14">
        <w:t>am</w:t>
      </w:r>
      <w:r w:rsidR="008956F6">
        <w:t xml:space="preserve"> go</w:t>
      </w:r>
      <w:r w:rsidR="00410D14">
        <w:t>ing</w:t>
      </w:r>
      <w:r w:rsidR="008956F6">
        <w:t xml:space="preserve"> to him</w:t>
      </w:r>
      <w:r w:rsidR="00410D14">
        <w:t>,</w:t>
      </w:r>
      <w:r w:rsidR="008956F6">
        <w:t xml:space="preserve">” </w:t>
      </w:r>
      <w:r w:rsidR="00115487">
        <w:t xml:space="preserve">David says (12:23). </w:t>
      </w:r>
      <w:r w:rsidR="00CD1583">
        <w:t>From now on, David is on his way to dying.</w:t>
      </w:r>
    </w:p>
    <w:p w14:paraId="1357CA5C" w14:textId="4FD61893" w:rsidR="00BE5CEC" w:rsidRPr="00CA2EBA" w:rsidRDefault="007B7018" w:rsidP="005C0B8E">
      <w:r>
        <w:t>He</w:t>
      </w:r>
      <w:r w:rsidR="00BE5CEC">
        <w:t xml:space="preserve"> </w:t>
      </w:r>
      <w:r w:rsidR="00740CF3">
        <w:t>console</w:t>
      </w:r>
      <w:r w:rsidR="0036400D">
        <w:t>s</w:t>
      </w:r>
      <w:r w:rsidR="00740CF3">
        <w:t xml:space="preserve"> Bathsheba</w:t>
      </w:r>
      <w:r w:rsidR="0036400D">
        <w:t xml:space="preserve"> (n</w:t>
      </w:r>
      <w:r w:rsidR="00115487">
        <w:t>o one console</w:t>
      </w:r>
      <w:r w:rsidR="0036400D">
        <w:t>s</w:t>
      </w:r>
      <w:r w:rsidR="00115487">
        <w:t xml:space="preserve"> </w:t>
      </w:r>
      <w:r>
        <w:t>him</w:t>
      </w:r>
      <w:r w:rsidR="0036400D">
        <w:t>)</w:t>
      </w:r>
      <w:r>
        <w:t>, t</w:t>
      </w:r>
      <w:r w:rsidR="00740CF3">
        <w:t>hey ma</w:t>
      </w:r>
      <w:r w:rsidR="006A02B6">
        <w:t>k</w:t>
      </w:r>
      <w:r w:rsidR="00740CF3">
        <w:t>e love, and she g</w:t>
      </w:r>
      <w:r w:rsidR="006A02B6">
        <w:t>ets</w:t>
      </w:r>
      <w:r w:rsidR="00740CF3">
        <w:t xml:space="preserve"> pregnant with Solomon</w:t>
      </w:r>
      <w:r w:rsidR="00614D14">
        <w:t>. And “in that Yahweh loved him</w:t>
      </w:r>
      <w:r w:rsidR="00287086">
        <w:t>”</w:t>
      </w:r>
      <w:r w:rsidR="00C6568B">
        <w:t xml:space="preserve"> </w:t>
      </w:r>
      <w:r w:rsidR="00287086">
        <w:t>he</w:t>
      </w:r>
      <w:r w:rsidR="00EB6447">
        <w:t xml:space="preserve"> </w:t>
      </w:r>
      <w:r w:rsidR="006A02B6">
        <w:t>s</w:t>
      </w:r>
      <w:r w:rsidR="009615A9">
        <w:t>en</w:t>
      </w:r>
      <w:r w:rsidR="006A02B6">
        <w:t>ds again</w:t>
      </w:r>
      <w:r w:rsidR="009615A9">
        <w:t xml:space="preserve"> by means of Nathan</w:t>
      </w:r>
      <w:r w:rsidR="004A6555">
        <w:t>, and call</w:t>
      </w:r>
      <w:r w:rsidR="006A02B6">
        <w:t>s</w:t>
      </w:r>
      <w:r w:rsidR="004A6555">
        <w:t xml:space="preserve"> </w:t>
      </w:r>
      <w:r w:rsidR="004F6640">
        <w:t>the baby</w:t>
      </w:r>
      <w:r w:rsidR="004A6555">
        <w:t xml:space="preserve"> Yedidyah</w:t>
      </w:r>
      <w:r w:rsidR="009511EE">
        <w:t xml:space="preserve"> (loved by Yahweh)</w:t>
      </w:r>
      <w:r w:rsidR="0007311A">
        <w:t xml:space="preserve">, </w:t>
      </w:r>
      <w:r w:rsidR="004D2BA7">
        <w:t>“</w:t>
      </w:r>
      <w:r w:rsidR="0007311A">
        <w:t>on account of Yahweh</w:t>
      </w:r>
      <w:r w:rsidR="004D2BA7">
        <w:t>”</w:t>
      </w:r>
      <w:r w:rsidR="0007311A">
        <w:t xml:space="preserve"> (12:24-25</w:t>
      </w:r>
      <w:r w:rsidR="00EA0761">
        <w:t xml:space="preserve">). </w:t>
      </w:r>
      <w:r w:rsidR="009620EC">
        <w:t>S</w:t>
      </w:r>
      <w:r w:rsidR="00F12E8B">
        <w:t>everal subtlet</w:t>
      </w:r>
      <w:r w:rsidR="005272C6">
        <w:t>ies</w:t>
      </w:r>
      <w:r w:rsidR="00951C13">
        <w:t xml:space="preserve"> combine to underscore the positive nature </w:t>
      </w:r>
      <w:r w:rsidR="00F41BAC">
        <w:t>of th</w:t>
      </w:r>
      <w:r w:rsidR="003B4257">
        <w:t>e</w:t>
      </w:r>
      <w:r w:rsidR="00F41BAC">
        <w:t xml:space="preserve"> </w:t>
      </w:r>
      <w:r w:rsidR="0040652E">
        <w:t>paragraph</w:t>
      </w:r>
      <w:r w:rsidR="0027367D">
        <w:t>,</w:t>
      </w:r>
      <w:r w:rsidR="0040652E">
        <w:t xml:space="preserve"> </w:t>
      </w:r>
      <w:r w:rsidR="00F41BAC">
        <w:t xml:space="preserve">before </w:t>
      </w:r>
      <w:r w:rsidR="00E46115">
        <w:t>the narrative</w:t>
      </w:r>
      <w:r w:rsidR="00F41BAC">
        <w:t xml:space="preserve"> returns to con</w:t>
      </w:r>
      <w:r w:rsidR="00B51C55">
        <w:t xml:space="preserve">clude the account of the battle with the Ammonites within which </w:t>
      </w:r>
      <w:r w:rsidR="009B32D8">
        <w:t>this story has been a huge interruption.</w:t>
      </w:r>
      <w:r w:rsidR="0040652E">
        <w:t xml:space="preserve"> </w:t>
      </w:r>
      <w:r w:rsidR="00B4522D">
        <w:t xml:space="preserve">That </w:t>
      </w:r>
      <w:r w:rsidR="00A61E53">
        <w:t>first</w:t>
      </w:r>
      <w:r w:rsidR="00B4522D">
        <w:t xml:space="preserve"> clause </w:t>
      </w:r>
      <w:r w:rsidR="00A61E53">
        <w:t xml:space="preserve">(“in that . . . “) </w:t>
      </w:r>
      <w:r w:rsidR="00610122">
        <w:t xml:space="preserve">has an unusual word order, </w:t>
      </w:r>
      <w:r w:rsidR="00D20712">
        <w:t xml:space="preserve">with </w:t>
      </w:r>
      <w:r w:rsidR="00610122">
        <w:t xml:space="preserve">the subject before the verb, which </w:t>
      </w:r>
      <w:r w:rsidR="005E3E6A">
        <w:t>point</w:t>
      </w:r>
      <w:r w:rsidR="0027367D">
        <w:t>s</w:t>
      </w:r>
      <w:r w:rsidR="005E3E6A">
        <w:t xml:space="preserve"> to its leading</w:t>
      </w:r>
      <w:r w:rsidR="00A61E53">
        <w:t xml:space="preserve"> </w:t>
      </w:r>
      <w:r w:rsidR="00610122">
        <w:t xml:space="preserve">into what follows. </w:t>
      </w:r>
      <w:r w:rsidR="009C6052">
        <w:t>I</w:t>
      </w:r>
      <w:r w:rsidR="00D20712">
        <w:t>n referring</w:t>
      </w:r>
      <w:r w:rsidR="009C6052">
        <w:t xml:space="preserve"> to “love” </w:t>
      </w:r>
      <w:r w:rsidR="00D20712">
        <w:t>(</w:t>
      </w:r>
      <w:r w:rsidR="00D20712">
        <w:rPr>
          <w:i/>
          <w:iCs/>
        </w:rPr>
        <w:t>’</w:t>
      </w:r>
      <w:r w:rsidR="00D20712">
        <w:rPr>
          <w:rFonts w:cstheme="minorHAnsi"/>
          <w:i/>
          <w:iCs/>
        </w:rPr>
        <w:t>ā</w:t>
      </w:r>
      <w:r w:rsidR="00077634">
        <w:rPr>
          <w:rFonts w:cstheme="minorHAnsi"/>
          <w:i/>
          <w:iCs/>
        </w:rPr>
        <w:t>h</w:t>
      </w:r>
      <w:r w:rsidR="00476359" w:rsidRPr="001F52A8">
        <w:rPr>
          <w:rFonts w:cstheme="minorHAnsi"/>
          <w:i/>
          <w:iCs/>
        </w:rPr>
        <w:t>ē</w:t>
      </w:r>
      <w:r w:rsidR="00077634">
        <w:rPr>
          <w:rFonts w:cstheme="minorHAnsi"/>
          <w:i/>
          <w:iCs/>
        </w:rPr>
        <w:t>b</w:t>
      </w:r>
      <w:r w:rsidR="00077634">
        <w:rPr>
          <w:rFonts w:cstheme="minorHAnsi"/>
        </w:rPr>
        <w:t>)</w:t>
      </w:r>
      <w:r w:rsidR="00077634">
        <w:rPr>
          <w:rFonts w:cstheme="minorHAnsi"/>
          <w:i/>
          <w:iCs/>
        </w:rPr>
        <w:t xml:space="preserve"> </w:t>
      </w:r>
      <w:r w:rsidR="00D20712">
        <w:t xml:space="preserve">it </w:t>
      </w:r>
      <w:r w:rsidR="009C6052">
        <w:t>us</w:t>
      </w:r>
      <w:r w:rsidR="00D20712">
        <w:t>es</w:t>
      </w:r>
      <w:r w:rsidR="009C6052">
        <w:t xml:space="preserve"> the verb </w:t>
      </w:r>
      <w:r w:rsidR="009414BB">
        <w:t>that</w:t>
      </w:r>
      <w:r w:rsidR="00476359">
        <w:t xml:space="preserve"> can</w:t>
      </w:r>
      <w:r w:rsidR="009414BB">
        <w:t xml:space="preserve"> also suggest affirming and </w:t>
      </w:r>
      <w:r w:rsidR="00476359">
        <w:t>being loyal</w:t>
      </w:r>
      <w:r w:rsidR="009414BB">
        <w:t xml:space="preserve"> to, and often has political implications</w:t>
      </w:r>
      <w:r w:rsidR="000F5CE7">
        <w:t xml:space="preserve">. It is a significant and </w:t>
      </w:r>
      <w:r w:rsidR="00BE424A">
        <w:t xml:space="preserve">prophetic </w:t>
      </w:r>
      <w:r w:rsidR="000F5CE7">
        <w:t>comment on Solomon.</w:t>
      </w:r>
      <w:r w:rsidR="00BE424A">
        <w:t xml:space="preserve"> </w:t>
      </w:r>
      <w:r w:rsidR="0027367D">
        <w:t xml:space="preserve">But </w:t>
      </w:r>
      <w:r w:rsidR="008E70F0">
        <w:t>Nathan’s</w:t>
      </w:r>
      <w:r w:rsidR="00F46BB3">
        <w:t xml:space="preserve"> new sending </w:t>
      </w:r>
      <w:r w:rsidR="008E70F0">
        <w:t>that</w:t>
      </w:r>
      <w:r w:rsidR="00F46BB3">
        <w:t xml:space="preserve"> contrasts with the earlier sending </w:t>
      </w:r>
      <w:r w:rsidR="00C379F2">
        <w:t xml:space="preserve">to confront </w:t>
      </w:r>
      <w:r w:rsidR="0027367D">
        <w:t xml:space="preserve">also </w:t>
      </w:r>
      <w:r w:rsidR="0097107B">
        <w:t xml:space="preserve">brings a new name for the child. </w:t>
      </w:r>
      <w:r w:rsidR="00EA0761">
        <w:t>T</w:t>
      </w:r>
      <w:r w:rsidR="0034455E">
        <w:t xml:space="preserve">his second name does not </w:t>
      </w:r>
      <w:r w:rsidR="00E85FCA">
        <w:t>oc</w:t>
      </w:r>
      <w:r w:rsidR="0034455E">
        <w:t>cur</w:t>
      </w:r>
      <w:r w:rsidR="0097107B">
        <w:t xml:space="preserve"> anywhere else</w:t>
      </w:r>
      <w:r w:rsidR="0034455E">
        <w:t>, and the</w:t>
      </w:r>
      <w:r w:rsidR="005A2DEE">
        <w:t xml:space="preserve"> functional</w:t>
      </w:r>
      <w:r w:rsidR="0034455E">
        <w:t xml:space="preserve"> interrelationship of the two names is not</w:t>
      </w:r>
      <w:r w:rsidR="00C37445">
        <w:t xml:space="preserve"> clea</w:t>
      </w:r>
      <w:r w:rsidR="0034455E">
        <w:t>r</w:t>
      </w:r>
      <w:r w:rsidR="00EA0761">
        <w:t>,</w:t>
      </w:r>
      <w:r w:rsidR="00951631">
        <w:t xml:space="preserve"> but </w:t>
      </w:r>
      <w:r w:rsidR="00E32AAE">
        <w:t xml:space="preserve">the second name </w:t>
      </w:r>
      <w:r w:rsidR="00951631">
        <w:t xml:space="preserve">may </w:t>
      </w:r>
      <w:r w:rsidR="00E32AAE">
        <w:t xml:space="preserve">safeguard against any </w:t>
      </w:r>
      <w:r w:rsidR="002007DC">
        <w:t>possibility</w:t>
      </w:r>
      <w:r w:rsidR="00E32AAE">
        <w:t xml:space="preserve"> that the first refers only to a political </w:t>
      </w:r>
      <w:r w:rsidR="003A0A0D">
        <w:t xml:space="preserve">commitment. Further, </w:t>
      </w:r>
      <w:r w:rsidR="007F16E7">
        <w:t xml:space="preserve">the element that apparently means </w:t>
      </w:r>
      <w:r w:rsidR="003A0A0D">
        <w:t>“</w:t>
      </w:r>
      <w:r w:rsidR="007F16E7">
        <w:t>loved</w:t>
      </w:r>
      <w:r w:rsidR="003A0A0D">
        <w:t>”</w:t>
      </w:r>
      <w:r w:rsidR="00CA2EBA">
        <w:t xml:space="preserve"> </w:t>
      </w:r>
      <w:r w:rsidR="001D4D23">
        <w:t>(</w:t>
      </w:r>
      <w:r w:rsidR="00CA2EBA">
        <w:rPr>
          <w:i/>
          <w:iCs/>
        </w:rPr>
        <w:t>ydyd</w:t>
      </w:r>
      <w:r w:rsidR="001D4D23">
        <w:rPr>
          <w:i/>
          <w:iCs/>
        </w:rPr>
        <w:t>)</w:t>
      </w:r>
      <w:r w:rsidR="00CA2EBA">
        <w:t xml:space="preserve"> </w:t>
      </w:r>
      <w:r w:rsidR="007F16E7">
        <w:t xml:space="preserve">is close to </w:t>
      </w:r>
      <w:r w:rsidR="001D4D23">
        <w:t>“</w:t>
      </w:r>
      <w:r w:rsidR="007F16E7">
        <w:t>David</w:t>
      </w:r>
      <w:r w:rsidR="001D4D23">
        <w:t>”</w:t>
      </w:r>
      <w:r w:rsidR="00CA2EBA">
        <w:t xml:space="preserve"> </w:t>
      </w:r>
      <w:r w:rsidR="001D4D23">
        <w:t>(</w:t>
      </w:r>
      <w:r w:rsidR="00CA2EBA">
        <w:rPr>
          <w:i/>
          <w:iCs/>
        </w:rPr>
        <w:t>d</w:t>
      </w:r>
      <w:r w:rsidR="002B2B6D">
        <w:rPr>
          <w:i/>
          <w:iCs/>
        </w:rPr>
        <w:t>w</w:t>
      </w:r>
      <w:r w:rsidR="00CA2EBA">
        <w:rPr>
          <w:i/>
          <w:iCs/>
        </w:rPr>
        <w:t>d</w:t>
      </w:r>
      <w:r w:rsidR="001D4D23">
        <w:t>)</w:t>
      </w:r>
      <w:r w:rsidR="00CA2EBA">
        <w:t>.</w:t>
      </w:r>
      <w:r w:rsidR="00845053">
        <w:t xml:space="preserve"> </w:t>
      </w:r>
      <w:r w:rsidR="00D12204">
        <w:t>The child is</w:t>
      </w:r>
      <w:r w:rsidR="00845053">
        <w:t xml:space="preserve"> </w:t>
      </w:r>
      <w:r w:rsidR="00E8263F">
        <w:t>“Yahweh’s David</w:t>
      </w:r>
      <w:r w:rsidR="0027367D">
        <w:t>.</w:t>
      </w:r>
      <w:r w:rsidR="00D93BF3">
        <w:t>”</w:t>
      </w:r>
      <w:r w:rsidR="0027367D">
        <w:t xml:space="preserve"> T</w:t>
      </w:r>
      <w:r w:rsidR="004752E1">
        <w:t>he grimness of</w:t>
      </w:r>
      <w:r w:rsidR="0027367D">
        <w:t xml:space="preserve"> </w:t>
      </w:r>
      <w:r w:rsidR="004752E1">
        <w:t>David</w:t>
      </w:r>
      <w:r w:rsidR="0027367D">
        <w:t>’s deeds</w:t>
      </w:r>
      <w:r w:rsidR="004752E1">
        <w:t xml:space="preserve"> is not the end of the story, and Bathsheba will be instrumental in bringing this replacement child to the throne in succession to David.</w:t>
      </w:r>
      <w:r w:rsidR="00304C47">
        <w:rPr>
          <w:rStyle w:val="FootnoteReference"/>
        </w:rPr>
        <w:footnoteReference w:id="397"/>
      </w:r>
    </w:p>
    <w:p w14:paraId="093D2979" w14:textId="4914388B" w:rsidR="00B77162" w:rsidRDefault="00B77162" w:rsidP="00B77162">
      <w:pPr>
        <w:pStyle w:val="Heading2"/>
      </w:pPr>
      <w:r w:rsidRPr="001F52A8">
        <w:t xml:space="preserve">What’s Love </w:t>
      </w:r>
      <w:r>
        <w:t xml:space="preserve">or Smartness </w:t>
      </w:r>
      <w:r w:rsidRPr="001F52A8">
        <w:t xml:space="preserve">Got to Do with It </w:t>
      </w:r>
    </w:p>
    <w:p w14:paraId="714B34C2" w14:textId="44E0A585" w:rsidR="00DA7E7A" w:rsidRPr="00DA7E7A" w:rsidRDefault="00DA7E7A" w:rsidP="00DA7E7A">
      <w:r>
        <w:rPr>
          <w:rFonts w:cstheme="minorHAnsi"/>
        </w:rPr>
        <w:t xml:space="preserve">The </w:t>
      </w:r>
      <w:r w:rsidR="00F86936">
        <w:rPr>
          <w:rFonts w:cstheme="minorHAnsi"/>
        </w:rPr>
        <w:t>narrative</w:t>
      </w:r>
      <w:r>
        <w:rPr>
          <w:rFonts w:cstheme="minorHAnsi"/>
        </w:rPr>
        <w:t xml:space="preserve"> </w:t>
      </w:r>
      <w:r w:rsidR="008D57CB">
        <w:rPr>
          <w:rFonts w:cstheme="minorHAnsi"/>
        </w:rPr>
        <w:t>that follows (</w:t>
      </w:r>
      <w:r>
        <w:rPr>
          <w:rFonts w:cstheme="minorHAnsi"/>
        </w:rPr>
        <w:t>13:1 – 14:33</w:t>
      </w:r>
      <w:r w:rsidR="008D57CB">
        <w:rPr>
          <w:rFonts w:cstheme="minorHAnsi"/>
        </w:rPr>
        <w:t>)</w:t>
      </w:r>
      <w:r>
        <w:rPr>
          <w:rFonts w:cstheme="minorHAnsi"/>
        </w:rPr>
        <w:t xml:space="preserve"> is a kind of palimpsest of the preceding story,</w:t>
      </w:r>
      <w:r w:rsidR="00ED4F7B">
        <w:rPr>
          <w:rFonts w:cstheme="minorHAnsi"/>
        </w:rPr>
        <w:t xml:space="preserve"> </w:t>
      </w:r>
      <w:r>
        <w:rPr>
          <w:rFonts w:cstheme="minorHAnsi"/>
        </w:rPr>
        <w:t>though a heightened one.</w:t>
      </w:r>
      <w:r>
        <w:rPr>
          <w:rStyle w:val="FootnoteReference"/>
          <w:rFonts w:cstheme="minorHAnsi"/>
        </w:rPr>
        <w:footnoteReference w:id="398"/>
      </w:r>
    </w:p>
    <w:p w14:paraId="6D33DB67" w14:textId="77777777" w:rsidR="00DA7E7A" w:rsidRDefault="00DA7E7A" w:rsidP="00DA7E7A">
      <w:pPr>
        <w:rPr>
          <w:rFonts w:cstheme="minorHAnsi"/>
        </w:rPr>
      </w:pPr>
    </w:p>
    <w:p w14:paraId="7974F207" w14:textId="6C06D369" w:rsidR="00DA7E7A" w:rsidRDefault="00DA7E7A" w:rsidP="00DA7E7A">
      <w:pPr>
        <w:pStyle w:val="ListParagraph"/>
        <w:numPr>
          <w:ilvl w:val="0"/>
          <w:numId w:val="14"/>
        </w:numPr>
        <w:ind w:left="720"/>
        <w:rPr>
          <w:rFonts w:cstheme="minorHAnsi"/>
        </w:rPr>
      </w:pPr>
      <w:r>
        <w:rPr>
          <w:rFonts w:cstheme="minorHAnsi"/>
        </w:rPr>
        <w:t>Amnon takes David</w:t>
      </w:r>
      <w:r w:rsidR="004A23EF">
        <w:rPr>
          <w:rFonts w:cstheme="minorHAnsi"/>
        </w:rPr>
        <w:t>’s</w:t>
      </w:r>
      <w:r>
        <w:rPr>
          <w:rFonts w:cstheme="minorHAnsi"/>
        </w:rPr>
        <w:t xml:space="preserve"> place, though he “loves” (as David did not</w:t>
      </w:r>
      <w:r w:rsidR="005F1F50">
        <w:rPr>
          <w:rFonts w:cstheme="minorHAnsi"/>
        </w:rPr>
        <w:t>)</w:t>
      </w:r>
      <w:r>
        <w:rPr>
          <w:rFonts w:cstheme="minorHAnsi"/>
        </w:rPr>
        <w:t xml:space="preserve"> but also rapes and repudiates</w:t>
      </w:r>
    </w:p>
    <w:p w14:paraId="1676013D" w14:textId="77777777" w:rsidR="00DA7E7A" w:rsidRDefault="00DA7E7A" w:rsidP="00DA7E7A">
      <w:pPr>
        <w:pStyle w:val="ListParagraph"/>
        <w:numPr>
          <w:ilvl w:val="0"/>
          <w:numId w:val="14"/>
        </w:numPr>
        <w:ind w:left="720"/>
        <w:rPr>
          <w:rFonts w:cstheme="minorHAnsi"/>
        </w:rPr>
      </w:pPr>
      <w:r>
        <w:rPr>
          <w:rFonts w:cstheme="minorHAnsi"/>
        </w:rPr>
        <w:t>Tamar takes Bathsheba’s place, though she suffers more and more explicitly</w:t>
      </w:r>
    </w:p>
    <w:p w14:paraId="481A3D07" w14:textId="77777777" w:rsidR="00DA7E7A" w:rsidRDefault="00DA7E7A" w:rsidP="00DA7E7A">
      <w:pPr>
        <w:pStyle w:val="ListParagraph"/>
        <w:numPr>
          <w:ilvl w:val="0"/>
          <w:numId w:val="14"/>
        </w:numPr>
        <w:ind w:left="720"/>
        <w:rPr>
          <w:rFonts w:cstheme="minorHAnsi"/>
        </w:rPr>
      </w:pPr>
      <w:r>
        <w:rPr>
          <w:rFonts w:cstheme="minorHAnsi"/>
        </w:rPr>
        <w:t>Jonadab takes the place of David’s staff, though he is (supposedly) smarter</w:t>
      </w:r>
    </w:p>
    <w:p w14:paraId="31A41467" w14:textId="77777777" w:rsidR="00DA7E7A" w:rsidRDefault="00DA7E7A" w:rsidP="00DA7E7A">
      <w:pPr>
        <w:pStyle w:val="ListParagraph"/>
        <w:numPr>
          <w:ilvl w:val="0"/>
          <w:numId w:val="14"/>
        </w:numPr>
        <w:ind w:left="720"/>
        <w:rPr>
          <w:rFonts w:cstheme="minorHAnsi"/>
        </w:rPr>
      </w:pPr>
      <w:r>
        <w:rPr>
          <w:rFonts w:cstheme="minorHAnsi"/>
        </w:rPr>
        <w:t>Joab plays himself, acting (he thinks) in David’s interests and the people’s interests</w:t>
      </w:r>
    </w:p>
    <w:p w14:paraId="7EAF8B9B" w14:textId="77777777" w:rsidR="00DA7E7A" w:rsidRDefault="00DA7E7A" w:rsidP="00DA7E7A">
      <w:pPr>
        <w:pStyle w:val="ListParagraph"/>
        <w:numPr>
          <w:ilvl w:val="0"/>
          <w:numId w:val="14"/>
        </w:numPr>
        <w:ind w:left="720"/>
        <w:rPr>
          <w:rFonts w:cstheme="minorHAnsi"/>
        </w:rPr>
      </w:pPr>
      <w:r>
        <w:rPr>
          <w:rFonts w:cstheme="minorHAnsi"/>
        </w:rPr>
        <w:t>The smart woman takes Nathan’s place, though she follows Joab’s script rather than Yahweh’s</w:t>
      </w:r>
    </w:p>
    <w:p w14:paraId="2F8BB17F" w14:textId="77777777" w:rsidR="00DA7E7A" w:rsidRDefault="00DA7E7A" w:rsidP="00DA7E7A">
      <w:pPr>
        <w:pStyle w:val="ListParagraph"/>
        <w:numPr>
          <w:ilvl w:val="0"/>
          <w:numId w:val="14"/>
        </w:numPr>
        <w:ind w:left="720"/>
        <w:rPr>
          <w:rFonts w:cstheme="minorHAnsi"/>
        </w:rPr>
      </w:pPr>
      <w:r>
        <w:rPr>
          <w:rFonts w:cstheme="minorHAnsi"/>
        </w:rPr>
        <w:t>In the parable, the widow and the surviving son take the places of the rich and the poor man</w:t>
      </w:r>
    </w:p>
    <w:p w14:paraId="1D25161A" w14:textId="77777777" w:rsidR="00DA7E7A" w:rsidRDefault="00DA7E7A" w:rsidP="00DA7E7A">
      <w:pPr>
        <w:pStyle w:val="ListParagraph"/>
        <w:numPr>
          <w:ilvl w:val="0"/>
          <w:numId w:val="14"/>
        </w:numPr>
        <w:ind w:left="720"/>
        <w:rPr>
          <w:rFonts w:cstheme="minorHAnsi"/>
        </w:rPr>
      </w:pPr>
      <w:r>
        <w:rPr>
          <w:rFonts w:cstheme="minorHAnsi"/>
        </w:rPr>
        <w:t>In reacting to the parable, David plays himself</w:t>
      </w:r>
    </w:p>
    <w:p w14:paraId="32CDA96E" w14:textId="77777777" w:rsidR="00DA7E7A" w:rsidRDefault="00DA7E7A" w:rsidP="00DA7E7A">
      <w:pPr>
        <w:pStyle w:val="ListParagraph"/>
        <w:numPr>
          <w:ilvl w:val="0"/>
          <w:numId w:val="14"/>
        </w:numPr>
        <w:ind w:left="720"/>
        <w:rPr>
          <w:rFonts w:cstheme="minorHAnsi"/>
        </w:rPr>
      </w:pPr>
      <w:r>
        <w:rPr>
          <w:rFonts w:cstheme="minorHAnsi"/>
        </w:rPr>
        <w:lastRenderedPageBreak/>
        <w:t>As a mourner, the smart woman also takes Bathsheba’s place and David’s place</w:t>
      </w:r>
    </w:p>
    <w:p w14:paraId="16E9AD77" w14:textId="77777777" w:rsidR="00DA7E7A" w:rsidRDefault="00DA7E7A" w:rsidP="00DA7E7A">
      <w:pPr>
        <w:pStyle w:val="ListParagraph"/>
        <w:numPr>
          <w:ilvl w:val="0"/>
          <w:numId w:val="14"/>
        </w:numPr>
        <w:ind w:left="720"/>
        <w:rPr>
          <w:rFonts w:cstheme="minorHAnsi"/>
        </w:rPr>
      </w:pPr>
      <w:r>
        <w:rPr>
          <w:rFonts w:cstheme="minorHAnsi"/>
        </w:rPr>
        <w:t>Absalom takes the place of the sword</w:t>
      </w:r>
    </w:p>
    <w:p w14:paraId="4789AAB6" w14:textId="33697F41" w:rsidR="001E42C5" w:rsidRPr="00C86DCA" w:rsidRDefault="00013F2F" w:rsidP="00C86DCA">
      <w:pPr>
        <w:rPr>
          <w:rFonts w:cstheme="minorHAnsi"/>
        </w:rPr>
      </w:pPr>
      <w:r>
        <w:rPr>
          <w:rFonts w:cstheme="minorHAnsi"/>
        </w:rPr>
        <w:t>“</w:t>
      </w:r>
      <w:r w:rsidRPr="006A4686">
        <w:rPr>
          <w:rFonts w:cstheme="minorHAnsi"/>
        </w:rPr>
        <w:t>Tamar’s rape is unbearable to read. Because the narrator provides us with so much preliminary</w:t>
      </w:r>
      <w:r>
        <w:rPr>
          <w:rFonts w:cstheme="minorHAnsi"/>
        </w:rPr>
        <w:t xml:space="preserve"> </w:t>
      </w:r>
      <w:r w:rsidRPr="006A4686">
        <w:rPr>
          <w:rFonts w:cstheme="minorHAnsi"/>
        </w:rPr>
        <w:t>information about Amnon’s scheme, we watch in dread</w:t>
      </w:r>
      <w:r>
        <w:rPr>
          <w:rFonts w:cstheme="minorHAnsi"/>
        </w:rPr>
        <w:t>.”</w:t>
      </w:r>
      <w:r>
        <w:rPr>
          <w:rStyle w:val="FootnoteReference"/>
          <w:rFonts w:cstheme="minorHAnsi"/>
        </w:rPr>
        <w:footnoteReference w:id="399"/>
      </w:r>
      <w:r>
        <w:rPr>
          <w:rFonts w:cstheme="minorHAnsi"/>
        </w:rPr>
        <w:t xml:space="preserve"> </w:t>
      </w:r>
      <w:r w:rsidR="00934291">
        <w:rPr>
          <w:rFonts w:cstheme="minorHAnsi"/>
        </w:rPr>
        <w:t>Tamar is the daughter of David and the sister of Absalom. Like them, she is beautiful, and “b</w:t>
      </w:r>
      <w:r w:rsidR="00934291" w:rsidRPr="00E760CF">
        <w:rPr>
          <w:rFonts w:cstheme="minorHAnsi"/>
        </w:rPr>
        <w:t>eauty causes an awful lot of mayhem in this cycle of stories</w:t>
      </w:r>
      <w:r w:rsidR="00934291">
        <w:rPr>
          <w:rFonts w:cstheme="minorHAnsi"/>
        </w:rPr>
        <w:t>.”</w:t>
      </w:r>
      <w:r w:rsidR="00934291">
        <w:rPr>
          <w:rStyle w:val="FootnoteReference"/>
          <w:rFonts w:cstheme="minorHAnsi"/>
        </w:rPr>
        <w:footnoteReference w:id="400"/>
      </w:r>
      <w:r w:rsidR="00934291">
        <w:rPr>
          <w:rFonts w:cstheme="minorHAnsi"/>
        </w:rPr>
        <w:t xml:space="preserve"> </w:t>
      </w:r>
      <w:r w:rsidR="00BB1392">
        <w:rPr>
          <w:rFonts w:cstheme="minorHAnsi"/>
        </w:rPr>
        <w:t>For her, it means she becomes “a woman of sorrows and acquainted with grief.”</w:t>
      </w:r>
      <w:r w:rsidR="00BB1392">
        <w:rPr>
          <w:rStyle w:val="FootnoteReference"/>
          <w:rFonts w:cstheme="minorHAnsi"/>
        </w:rPr>
        <w:footnoteReference w:id="401"/>
      </w:r>
      <w:r w:rsidR="00BB1392">
        <w:rPr>
          <w:rFonts w:cstheme="minorHAnsi"/>
        </w:rPr>
        <w:t xml:space="preserve"> </w:t>
      </w:r>
      <w:r w:rsidR="00934291">
        <w:t>Her story begins with a recurrence of th</w:t>
      </w:r>
      <w:r w:rsidR="0027367D">
        <w:t>at</w:t>
      </w:r>
      <w:r w:rsidR="00934291">
        <w:t xml:space="preserve"> verb for “love,” used here with a meaning that suggests emotion rather than allegiance; indeed, it errs on the other side of this range of meaning (NRSV has “fell in love,” NJPS “became infatuated”). “</w:t>
      </w:r>
      <w:r w:rsidR="00934291" w:rsidRPr="00D06722">
        <w:rPr>
          <w:rFonts w:ascii="Calibri" w:hAnsi="Calibri" w:cs="Calibri"/>
        </w:rPr>
        <w:t>Every time we read or hear the word "love," we do well to be alert</w:t>
      </w:r>
      <w:r w:rsidR="00934291">
        <w:t xml:space="preserve"> </w:t>
      </w:r>
      <w:r w:rsidR="00934291" w:rsidRPr="00D06722">
        <w:rPr>
          <w:rFonts w:ascii="Calibri" w:hAnsi="Calibri" w:cs="Calibri"/>
        </w:rPr>
        <w:t>to what is going on</w:t>
      </w:r>
      <w:r w:rsidR="00A016C9">
        <w:rPr>
          <w:rFonts w:ascii="Calibri" w:hAnsi="Calibri" w:cs="Calibri"/>
        </w:rPr>
        <w:t xml:space="preserve"> . . . .</w:t>
      </w:r>
      <w:r w:rsidR="00934291" w:rsidRPr="00D06722">
        <w:rPr>
          <w:rFonts w:ascii="Calibri" w:hAnsi="Calibri" w:cs="Calibri"/>
        </w:rPr>
        <w:t xml:space="preserve"> No word in our language is</w:t>
      </w:r>
      <w:r w:rsidR="00934291">
        <w:rPr>
          <w:rFonts w:ascii="Calibri" w:hAnsi="Calibri" w:cs="Calibri"/>
        </w:rPr>
        <w:t xml:space="preserve"> </w:t>
      </w:r>
      <w:r w:rsidR="00934291" w:rsidRPr="00D06722">
        <w:rPr>
          <w:rFonts w:ascii="Calibri" w:hAnsi="Calibri" w:cs="Calibri"/>
        </w:rPr>
        <w:t>in more need of probing and testing of the kind that this story gives</w:t>
      </w:r>
      <w:r w:rsidR="00934291">
        <w:rPr>
          <w:rFonts w:ascii="Calibri" w:hAnsi="Calibri" w:cs="Calibri"/>
        </w:rPr>
        <w:t xml:space="preserve"> </w:t>
      </w:r>
      <w:r w:rsidR="00934291" w:rsidRPr="00D06722">
        <w:rPr>
          <w:rFonts w:ascii="Calibri" w:hAnsi="Calibri" w:cs="Calibri"/>
        </w:rPr>
        <w:t>it</w:t>
      </w:r>
      <w:r w:rsidR="00934291">
        <w:rPr>
          <w:rFonts w:ascii="Calibri" w:hAnsi="Calibri" w:cs="Calibri"/>
        </w:rPr>
        <w:t>.”</w:t>
      </w:r>
      <w:r w:rsidR="00934291">
        <w:rPr>
          <w:rStyle w:val="FootnoteReference"/>
          <w:rFonts w:ascii="Calibri" w:hAnsi="Calibri" w:cs="Calibri"/>
        </w:rPr>
        <w:footnoteReference w:id="402"/>
      </w:r>
      <w:r w:rsidR="00934291">
        <w:rPr>
          <w:rFonts w:ascii="Calibri" w:hAnsi="Calibri" w:cs="Calibri"/>
        </w:rPr>
        <w:t xml:space="preserve"> </w:t>
      </w:r>
      <w:r w:rsidR="00C352B8">
        <w:rPr>
          <w:rFonts w:ascii="Calibri" w:hAnsi="Calibri" w:cs="Calibri"/>
        </w:rPr>
        <w:t xml:space="preserve">The person who suggests to Amnon the ploy by which he can </w:t>
      </w:r>
      <w:r w:rsidR="00A75060">
        <w:rPr>
          <w:rFonts w:ascii="Calibri" w:hAnsi="Calibri" w:cs="Calibri"/>
        </w:rPr>
        <w:t xml:space="preserve">seduce or rape Tamar is </w:t>
      </w:r>
      <w:r w:rsidR="00F14302">
        <w:rPr>
          <w:rFonts w:ascii="Calibri" w:hAnsi="Calibri" w:cs="Calibri"/>
        </w:rPr>
        <w:t xml:space="preserve">their cousin Jonadab. </w:t>
      </w:r>
      <w:r w:rsidR="00F93C55">
        <w:rPr>
          <w:rFonts w:cstheme="minorHAnsi"/>
        </w:rPr>
        <w:t xml:space="preserve">As David’s nephew, Jonadab counts in a broad sense as a member of David’s household, from which </w:t>
      </w:r>
      <w:r w:rsidR="0026096A">
        <w:rPr>
          <w:rFonts w:cstheme="minorHAnsi"/>
        </w:rPr>
        <w:t>Yahweh has warned David that dire trouble w</w:t>
      </w:r>
      <w:r w:rsidR="005207A6">
        <w:rPr>
          <w:rFonts w:cstheme="minorHAnsi"/>
        </w:rPr>
        <w:t>ould</w:t>
      </w:r>
      <w:r w:rsidR="0026096A">
        <w:rPr>
          <w:rFonts w:cstheme="minorHAnsi"/>
        </w:rPr>
        <w:t xml:space="preserve"> arise</w:t>
      </w:r>
      <w:r w:rsidR="005207A6">
        <w:rPr>
          <w:rFonts w:cstheme="minorHAnsi"/>
        </w:rPr>
        <w:t xml:space="preserve"> (12:11)</w:t>
      </w:r>
      <w:r w:rsidR="0026096A">
        <w:rPr>
          <w:rFonts w:cstheme="minorHAnsi"/>
        </w:rPr>
        <w:t xml:space="preserve">. </w:t>
      </w:r>
      <w:r w:rsidR="00F14302">
        <w:rPr>
          <w:rFonts w:ascii="Calibri" w:hAnsi="Calibri" w:cs="Calibri"/>
        </w:rPr>
        <w:t xml:space="preserve">To describe </w:t>
      </w:r>
      <w:r w:rsidR="00C43F21">
        <w:rPr>
          <w:rFonts w:ascii="Calibri" w:hAnsi="Calibri" w:cs="Calibri"/>
        </w:rPr>
        <w:t>Jonadab</w:t>
      </w:r>
      <w:r w:rsidR="00F14302">
        <w:rPr>
          <w:rFonts w:ascii="Calibri" w:hAnsi="Calibri" w:cs="Calibri"/>
        </w:rPr>
        <w:t xml:space="preserve">, </w:t>
      </w:r>
      <w:r w:rsidR="00F14302">
        <w:t>t</w:t>
      </w:r>
      <w:r w:rsidR="001E42C5">
        <w:t xml:space="preserve">he story also </w:t>
      </w:r>
      <w:r w:rsidR="001069A7">
        <w:t xml:space="preserve">introduces </w:t>
      </w:r>
      <w:r w:rsidR="001E42C5">
        <w:t>the word “smart” (</w:t>
      </w:r>
      <w:r w:rsidR="001E42C5">
        <w:rPr>
          <w:rFonts w:cstheme="minorHAnsi"/>
          <w:i/>
          <w:iCs/>
        </w:rPr>
        <w:t>ḥākām</w:t>
      </w:r>
      <w:r w:rsidR="001E42C5">
        <w:rPr>
          <w:rFonts w:cstheme="minorHAnsi"/>
        </w:rPr>
        <w:t xml:space="preserve">, 13:3) for the first time in Samuel, again used with negative connotations. </w:t>
      </w:r>
      <w:r w:rsidR="00487E60">
        <w:rPr>
          <w:rFonts w:cstheme="minorHAnsi"/>
        </w:rPr>
        <w:t>Jonadab</w:t>
      </w:r>
      <w:r w:rsidR="001E42C5">
        <w:rPr>
          <w:rFonts w:cstheme="minorHAnsi"/>
        </w:rPr>
        <w:t xml:space="preserve"> is either smart in a bad sense, or not really smart in light of what happens. He is “a smart man for faithlessness” (</w:t>
      </w:r>
      <w:r w:rsidR="001E42C5">
        <w:rPr>
          <w:rFonts w:cstheme="minorHAnsi"/>
          <w:i/>
          <w:iCs/>
        </w:rPr>
        <w:t>riš‘â</w:t>
      </w:r>
      <w:r w:rsidR="001E42C5">
        <w:rPr>
          <w:rFonts w:cstheme="minorHAnsi"/>
        </w:rPr>
        <w:t>).</w:t>
      </w:r>
      <w:r w:rsidR="001E42C5">
        <w:rPr>
          <w:rStyle w:val="FootnoteReference"/>
          <w:rFonts w:cstheme="minorHAnsi"/>
        </w:rPr>
        <w:footnoteReference w:id="403"/>
      </w:r>
    </w:p>
    <w:p w14:paraId="18B5A313" w14:textId="3FD2E011" w:rsidR="00DB6DF8" w:rsidRDefault="00A84628" w:rsidP="00DB6DF8">
      <w:pPr>
        <w:rPr>
          <w:rFonts w:cstheme="minorHAnsi"/>
        </w:rPr>
      </w:pPr>
      <w:r>
        <w:rPr>
          <w:rFonts w:ascii="Calibri" w:hAnsi="Calibri" w:cs="Calibri"/>
        </w:rPr>
        <w:t xml:space="preserve">Threatened with rape, </w:t>
      </w:r>
      <w:r w:rsidR="00A66516">
        <w:rPr>
          <w:rFonts w:cstheme="minorHAnsi"/>
        </w:rPr>
        <w:t>Tamar</w:t>
      </w:r>
      <w:r w:rsidR="00DB6DF8">
        <w:rPr>
          <w:rFonts w:cstheme="minorHAnsi"/>
        </w:rPr>
        <w:t xml:space="preserve"> suggests (desperately but plausibly?) that David would not be legalistic about </w:t>
      </w:r>
      <w:r w:rsidR="00902080">
        <w:rPr>
          <w:rFonts w:cstheme="minorHAnsi"/>
        </w:rPr>
        <w:t>her being</w:t>
      </w:r>
      <w:r>
        <w:rPr>
          <w:rFonts w:cstheme="minorHAnsi"/>
        </w:rPr>
        <w:t xml:space="preserve"> Amnon’s half-sister</w:t>
      </w:r>
      <w:r w:rsidR="00F06F61">
        <w:rPr>
          <w:rFonts w:cstheme="minorHAnsi"/>
        </w:rPr>
        <w:t>. S</w:t>
      </w:r>
      <w:r w:rsidR="00DB6DF8">
        <w:rPr>
          <w:rFonts w:cstheme="minorHAnsi"/>
        </w:rPr>
        <w:t xml:space="preserve">he is beside herself to avoid being raped and </w:t>
      </w:r>
      <w:r w:rsidR="00D95497">
        <w:rPr>
          <w:rFonts w:cstheme="minorHAnsi"/>
        </w:rPr>
        <w:t xml:space="preserve">also </w:t>
      </w:r>
      <w:r w:rsidR="00DB6DF8">
        <w:rPr>
          <w:rFonts w:cstheme="minorHAnsi"/>
        </w:rPr>
        <w:t>forced to have illicit sex. Such a thing “is not done in Israel” (13:12). It “would run counter to the accepted values of the whole nation” and be an outrage (</w:t>
      </w:r>
      <w:r w:rsidR="00DB6DF8">
        <w:rPr>
          <w:i/>
          <w:iCs/>
        </w:rPr>
        <w:t>n</w:t>
      </w:r>
      <w:r w:rsidR="00DB6DF8">
        <w:rPr>
          <w:rFonts w:cstheme="minorHAnsi"/>
          <w:i/>
          <w:iCs/>
        </w:rPr>
        <w:t>əbālâ</w:t>
      </w:r>
      <w:r w:rsidR="00DB6DF8">
        <w:rPr>
          <w:rFonts w:cstheme="minorHAnsi"/>
        </w:rPr>
        <w:t>)</w:t>
      </w:r>
      <w:r w:rsidR="00D95497">
        <w:rPr>
          <w:rFonts w:cstheme="minorHAnsi"/>
        </w:rPr>
        <w:t>; i</w:t>
      </w:r>
      <w:r w:rsidR="00B24EFB">
        <w:t>t</w:t>
      </w:r>
      <w:r w:rsidR="00DB6DF8">
        <w:t xml:space="preserve"> commonly refers to sexual wrongdoing</w:t>
      </w:r>
      <w:r w:rsidR="00763A10">
        <w:t xml:space="preserve"> </w:t>
      </w:r>
      <w:r w:rsidR="003A15C4">
        <w:t xml:space="preserve">(hence Tg’s </w:t>
      </w:r>
      <w:r w:rsidR="003A15C4">
        <w:rPr>
          <w:i/>
          <w:iCs/>
        </w:rPr>
        <w:t>q</w:t>
      </w:r>
      <w:r w:rsidR="00121B9F">
        <w:rPr>
          <w:rFonts w:cstheme="minorHAnsi"/>
          <w:i/>
          <w:iCs/>
        </w:rPr>
        <w:t>ālān</w:t>
      </w:r>
      <w:r w:rsidR="00121B9F">
        <w:rPr>
          <w:rFonts w:cstheme="minorHAnsi"/>
        </w:rPr>
        <w:t>)</w:t>
      </w:r>
      <w:r w:rsidR="00DB6DF8">
        <w:t xml:space="preserve"> and to acts that cost the perpetrators their death.</w:t>
      </w:r>
      <w:r w:rsidR="00DB6DF8">
        <w:rPr>
          <w:rStyle w:val="FootnoteReference"/>
        </w:rPr>
        <w:footnoteReference w:id="404"/>
      </w:r>
      <w:r w:rsidR="00DB6DF8">
        <w:t xml:space="preserve"> </w:t>
      </w:r>
      <w:r w:rsidR="00D95497">
        <w:rPr>
          <w:rFonts w:cstheme="minorHAnsi"/>
        </w:rPr>
        <w:t>LXX and Vg have words denoting “folly,” which vastly understates the enormity of the kind of action to which the word refers.</w:t>
      </w:r>
      <w:r w:rsidR="00D95497">
        <w:t xml:space="preserve"> </w:t>
      </w:r>
      <w:r w:rsidR="004C0FF5">
        <w:rPr>
          <w:rFonts w:cstheme="minorHAnsi"/>
        </w:rPr>
        <w:t>F</w:t>
      </w:r>
      <w:r w:rsidR="001014CE">
        <w:rPr>
          <w:rFonts w:cstheme="minorHAnsi"/>
        </w:rPr>
        <w:t>orcing Tamar to have sex</w:t>
      </w:r>
      <w:r w:rsidR="00161183">
        <w:t xml:space="preserve"> will be</w:t>
      </w:r>
      <w:r w:rsidR="00DB6DF8">
        <w:t xml:space="preserve"> the kind of thing </w:t>
      </w:r>
      <w:r w:rsidR="00D95497">
        <w:t xml:space="preserve">done by </w:t>
      </w:r>
      <w:r w:rsidR="00DB6DF8">
        <w:t xml:space="preserve">dissolute and morally </w:t>
      </w:r>
      <w:r w:rsidR="0097670B">
        <w:t>blind</w:t>
      </w:r>
      <w:r w:rsidR="00DB6DF8">
        <w:t xml:space="preserve"> people (</w:t>
      </w:r>
      <w:r w:rsidR="00DB6DF8">
        <w:rPr>
          <w:i/>
          <w:iCs/>
        </w:rPr>
        <w:t>n</w:t>
      </w:r>
      <w:r w:rsidR="00DB6DF8">
        <w:rPr>
          <w:rFonts w:cstheme="minorHAnsi"/>
          <w:i/>
          <w:iCs/>
        </w:rPr>
        <w:t>əbālîm</w:t>
      </w:r>
      <w:r w:rsidR="00DB6DF8">
        <w:rPr>
          <w:rFonts w:cstheme="minorHAnsi"/>
        </w:rPr>
        <w:t xml:space="preserve">, people </w:t>
      </w:r>
      <w:r w:rsidR="00FC228D">
        <w:rPr>
          <w:rFonts w:cstheme="minorHAnsi"/>
        </w:rPr>
        <w:t>such as</w:t>
      </w:r>
      <w:r w:rsidR="00DB6DF8">
        <w:rPr>
          <w:rFonts w:cstheme="minorHAnsi"/>
        </w:rPr>
        <w:t xml:space="preserve"> Nabal), people who don’t care if they outrage the entire community and imperil their relationship with it. And like </w:t>
      </w:r>
      <w:r w:rsidR="0019022F">
        <w:rPr>
          <w:rFonts w:cstheme="minorHAnsi"/>
        </w:rPr>
        <w:t xml:space="preserve">the words of </w:t>
      </w:r>
      <w:r w:rsidR="00FC228D">
        <w:rPr>
          <w:rFonts w:cstheme="minorHAnsi"/>
        </w:rPr>
        <w:t>a p</w:t>
      </w:r>
      <w:r w:rsidR="00A77E3F">
        <w:rPr>
          <w:rFonts w:cstheme="minorHAnsi"/>
        </w:rPr>
        <w:t>e</w:t>
      </w:r>
      <w:r w:rsidR="00FC228D">
        <w:rPr>
          <w:rFonts w:cstheme="minorHAnsi"/>
        </w:rPr>
        <w:t>rson such as</w:t>
      </w:r>
      <w:r w:rsidR="00DB6DF8">
        <w:rPr>
          <w:rFonts w:cstheme="minorHAnsi"/>
        </w:rPr>
        <w:t xml:space="preserve"> Nabal </w:t>
      </w:r>
      <w:r w:rsidR="00F91247">
        <w:rPr>
          <w:rFonts w:cstheme="minorHAnsi"/>
        </w:rPr>
        <w:t xml:space="preserve">in relation to David </w:t>
      </w:r>
      <w:r w:rsidR="00DB6DF8">
        <w:rPr>
          <w:rFonts w:cstheme="minorHAnsi"/>
        </w:rPr>
        <w:t xml:space="preserve">(1 Sam 25:39), it would bring reviling on Tamar (13:12-13). </w:t>
      </w:r>
    </w:p>
    <w:p w14:paraId="0B3DDECE" w14:textId="7F372FD7" w:rsidR="00DB6DF8" w:rsidRDefault="0046360D" w:rsidP="00DB6DF8">
      <w:pPr>
        <w:rPr>
          <w:rFonts w:cstheme="minorHAnsi"/>
        </w:rPr>
      </w:pPr>
      <w:r>
        <w:rPr>
          <w:rFonts w:cstheme="minorHAnsi"/>
        </w:rPr>
        <w:t>Tamar has a lot more to say than Bathsheba</w:t>
      </w:r>
      <w:r w:rsidR="00B70475">
        <w:rPr>
          <w:rFonts w:cstheme="minorHAnsi"/>
        </w:rPr>
        <w:t>,</w:t>
      </w:r>
      <w:r w:rsidR="0076352F">
        <w:rPr>
          <w:rStyle w:val="FootnoteReference"/>
          <w:rFonts w:cstheme="minorHAnsi"/>
        </w:rPr>
        <w:footnoteReference w:id="405"/>
      </w:r>
      <w:r w:rsidR="00B70475">
        <w:rPr>
          <w:rFonts w:cstheme="minorHAnsi"/>
        </w:rPr>
        <w:t xml:space="preserve"> who uttered only the two words “I’m pregnant.”</w:t>
      </w:r>
      <w:r w:rsidR="004B509A">
        <w:rPr>
          <w:rFonts w:cstheme="minorHAnsi"/>
        </w:rPr>
        <w:t xml:space="preserve"> But</w:t>
      </w:r>
      <w:r w:rsidR="0076352F">
        <w:rPr>
          <w:rFonts w:cstheme="minorHAnsi"/>
        </w:rPr>
        <w:t xml:space="preserve"> </w:t>
      </w:r>
      <w:r w:rsidR="00DB6DF8">
        <w:rPr>
          <w:rFonts w:cstheme="minorHAnsi"/>
        </w:rPr>
        <w:t>“</w:t>
      </w:r>
      <w:r w:rsidR="0076352F">
        <w:rPr>
          <w:rFonts w:cstheme="minorHAnsi"/>
        </w:rPr>
        <w:t>he</w:t>
      </w:r>
      <w:r w:rsidR="00DB6DF8" w:rsidRPr="00BA3201">
        <w:rPr>
          <w:rFonts w:ascii="Calibri" w:hAnsi="Calibri" w:cs="Calibri"/>
        </w:rPr>
        <w:t>r rational argument was designed to</w:t>
      </w:r>
      <w:r w:rsidR="00DB6DF8">
        <w:rPr>
          <w:rFonts w:cstheme="minorHAnsi"/>
        </w:rPr>
        <w:t xml:space="preserve"> </w:t>
      </w:r>
      <w:r w:rsidR="00DB6DF8" w:rsidRPr="00BA3201">
        <w:rPr>
          <w:rFonts w:ascii="Calibri" w:hAnsi="Calibri" w:cs="Calibri"/>
        </w:rPr>
        <w:t>appeal to the mind, and in that moment Amnon was not thinking</w:t>
      </w:r>
      <w:r w:rsidR="00DB6DF8">
        <w:rPr>
          <w:rFonts w:cstheme="minorHAnsi"/>
        </w:rPr>
        <w:t xml:space="preserve"> </w:t>
      </w:r>
      <w:r w:rsidR="00DB6DF8" w:rsidRPr="00BA3201">
        <w:rPr>
          <w:rFonts w:ascii="Calibri" w:hAnsi="Calibri" w:cs="Calibri"/>
        </w:rPr>
        <w:t>with his mind.</w:t>
      </w:r>
      <w:r w:rsidR="00DB6DF8">
        <w:rPr>
          <w:rFonts w:ascii="Calibri" w:hAnsi="Calibri" w:cs="Calibri"/>
        </w:rPr>
        <w:t>”</w:t>
      </w:r>
      <w:r w:rsidR="00DB6DF8">
        <w:rPr>
          <w:rStyle w:val="FootnoteReference"/>
          <w:rFonts w:ascii="Calibri" w:hAnsi="Calibri" w:cs="Calibri"/>
        </w:rPr>
        <w:footnoteReference w:id="406"/>
      </w:r>
      <w:r w:rsidR="00DB6DF8">
        <w:rPr>
          <w:rFonts w:ascii="Calibri" w:hAnsi="Calibri" w:cs="Calibri"/>
        </w:rPr>
        <w:t xml:space="preserve"> </w:t>
      </w:r>
      <w:r w:rsidR="00DB6DF8" w:rsidRPr="006A4686">
        <w:rPr>
          <w:rFonts w:cstheme="minorHAnsi"/>
        </w:rPr>
        <w:t>Amnon</w:t>
      </w:r>
      <w:r w:rsidR="00D977C7">
        <w:rPr>
          <w:rFonts w:cstheme="minorHAnsi"/>
        </w:rPr>
        <w:t>’s not being open to</w:t>
      </w:r>
      <w:r w:rsidR="00DB6DF8">
        <w:rPr>
          <w:rFonts w:cstheme="minorHAnsi"/>
        </w:rPr>
        <w:t xml:space="preserve"> persua</w:t>
      </w:r>
      <w:r w:rsidR="00D977C7">
        <w:rPr>
          <w:rFonts w:cstheme="minorHAnsi"/>
        </w:rPr>
        <w:t>sion</w:t>
      </w:r>
      <w:r w:rsidR="00DB6DF8">
        <w:rPr>
          <w:rFonts w:cstheme="minorHAnsi"/>
        </w:rPr>
        <w:t xml:space="preserve"> raises </w:t>
      </w:r>
      <w:r w:rsidR="00735D74">
        <w:rPr>
          <w:rFonts w:cstheme="minorHAnsi"/>
        </w:rPr>
        <w:t xml:space="preserve">more sharply </w:t>
      </w:r>
      <w:r w:rsidR="00DB6DF8">
        <w:rPr>
          <w:rFonts w:cstheme="minorHAnsi"/>
        </w:rPr>
        <w:t>the question</w:t>
      </w:r>
      <w:r w:rsidR="00735D74">
        <w:rPr>
          <w:rFonts w:cstheme="minorHAnsi"/>
        </w:rPr>
        <w:t xml:space="preserve"> whether</w:t>
      </w:r>
      <w:r w:rsidR="00DB6DF8">
        <w:rPr>
          <w:rFonts w:cstheme="minorHAnsi"/>
        </w:rPr>
        <w:t xml:space="preserve"> in </w:t>
      </w:r>
      <w:r w:rsidR="00735D74">
        <w:rPr>
          <w:rFonts w:cstheme="minorHAnsi"/>
        </w:rPr>
        <w:t>any</w:t>
      </w:r>
      <w:r w:rsidR="00DB6DF8">
        <w:rPr>
          <w:rFonts w:cstheme="minorHAnsi"/>
        </w:rPr>
        <w:t xml:space="preserve"> sense </w:t>
      </w:r>
      <w:r w:rsidR="00023330">
        <w:rPr>
          <w:rFonts w:cstheme="minorHAnsi"/>
        </w:rPr>
        <w:t>his feeling</w:t>
      </w:r>
      <w:r w:rsidR="00735D74">
        <w:rPr>
          <w:rFonts w:cstheme="minorHAnsi"/>
        </w:rPr>
        <w:t xml:space="preserve"> for Tamar was actually</w:t>
      </w:r>
      <w:r w:rsidR="00DB6DF8">
        <w:rPr>
          <w:rFonts w:cstheme="minorHAnsi"/>
        </w:rPr>
        <w:t xml:space="preserve"> love</w:t>
      </w:r>
      <w:r w:rsidR="00735D74">
        <w:rPr>
          <w:rFonts w:cstheme="minorHAnsi"/>
        </w:rPr>
        <w:t>.</w:t>
      </w:r>
      <w:r w:rsidR="00DB6DF8">
        <w:rPr>
          <w:rFonts w:cstheme="minorHAnsi"/>
        </w:rPr>
        <w:t xml:space="preserve"> “He was too strong for her and </w:t>
      </w:r>
      <w:r w:rsidR="00DB6DF8">
        <w:rPr>
          <w:rFonts w:cstheme="minorHAnsi"/>
        </w:rPr>
        <w:lastRenderedPageBreak/>
        <w:t>overpowered her and laid her” (13:14). Th</w:t>
      </w:r>
      <w:r w:rsidR="00023330">
        <w:rPr>
          <w:rFonts w:cstheme="minorHAnsi"/>
        </w:rPr>
        <w:t>e</w:t>
      </w:r>
      <w:r w:rsidR="00DB6DF8">
        <w:rPr>
          <w:rFonts w:cstheme="minorHAnsi"/>
        </w:rPr>
        <w:t xml:space="preserve"> question about his </w:t>
      </w:r>
      <w:r w:rsidR="00E2305D">
        <w:rPr>
          <w:rFonts w:cstheme="minorHAnsi"/>
        </w:rPr>
        <w:t>suppos</w:t>
      </w:r>
      <w:r w:rsidR="00DB6DF8">
        <w:rPr>
          <w:rFonts w:cstheme="minorHAnsi"/>
        </w:rPr>
        <w:t>ed “love” is underlined when he then “repudiates” her (</w:t>
      </w:r>
      <w:r w:rsidR="00DB6DF8">
        <w:rPr>
          <w:rFonts w:cstheme="minorHAnsi"/>
          <w:i/>
          <w:iCs/>
        </w:rPr>
        <w:t>śānē’</w:t>
      </w:r>
      <w:r w:rsidR="00DB6DF8">
        <w:rPr>
          <w:rFonts w:cstheme="minorHAnsi"/>
        </w:rPr>
        <w:t>; 13:15). This word is the antithesis of the word for love; whereas it is conventionally translated “hate,” it is also an attitude and action word as much as an emotional one. It is thus expressed in sending her off (</w:t>
      </w:r>
      <w:r w:rsidR="00DB6DF8">
        <w:rPr>
          <w:rFonts w:cstheme="minorHAnsi"/>
          <w:i/>
          <w:iCs/>
        </w:rPr>
        <w:t xml:space="preserve">šālaḥ </w:t>
      </w:r>
      <w:r w:rsidR="00DB6DF8">
        <w:rPr>
          <w:rFonts w:cstheme="minorHAnsi"/>
        </w:rPr>
        <w:t>piel, the word for divorce), which she sees as an even more profoundly dire action than raping her. She is quite incoherent about it: “No, the cause</w:t>
      </w:r>
      <w:r w:rsidR="00A016C9">
        <w:rPr>
          <w:rFonts w:cstheme="minorHAnsi"/>
        </w:rPr>
        <w:t xml:space="preserve"> . . . .</w:t>
      </w:r>
      <w:r w:rsidR="00DB6DF8">
        <w:rPr>
          <w:rFonts w:cstheme="minorHAnsi"/>
        </w:rPr>
        <w:t xml:space="preserve"> This big dire thing</w:t>
      </w:r>
      <w:r w:rsidR="00A016C9">
        <w:rPr>
          <w:rFonts w:cstheme="minorHAnsi"/>
        </w:rPr>
        <w:t xml:space="preserve"> . . . .</w:t>
      </w:r>
      <w:r w:rsidR="00DB6DF8">
        <w:rPr>
          <w:rFonts w:cstheme="minorHAnsi"/>
        </w:rPr>
        <w:t xml:space="preserve"> More than the other thing that you did with me, sending me off . . . ” (13:16).</w:t>
      </w:r>
      <w:r w:rsidR="00885DBC">
        <w:rPr>
          <w:rFonts w:cstheme="minorHAnsi"/>
        </w:rPr>
        <w:t xml:space="preserve"> A</w:t>
      </w:r>
      <w:r w:rsidR="002105F4">
        <w:rPr>
          <w:rFonts w:cstheme="minorHAnsi"/>
        </w:rPr>
        <w:t xml:space="preserve">fter having sex with her, </w:t>
      </w:r>
      <w:r w:rsidR="00885DBC">
        <w:rPr>
          <w:rFonts w:cstheme="minorHAnsi"/>
        </w:rPr>
        <w:t>he</w:t>
      </w:r>
      <w:r w:rsidR="00DB6DF8">
        <w:rPr>
          <w:rFonts w:cstheme="minorHAnsi"/>
        </w:rPr>
        <w:t xml:space="preserve"> would be morally and socially obliged to marry her</w:t>
      </w:r>
      <w:r w:rsidR="002F4AFD">
        <w:rPr>
          <w:rFonts w:cstheme="minorHAnsi"/>
        </w:rPr>
        <w:t>,</w:t>
      </w:r>
      <w:r w:rsidR="00DB6DF8">
        <w:rPr>
          <w:rFonts w:cstheme="minorHAnsi"/>
        </w:rPr>
        <w:t xml:space="preserve"> not send her off (Exod 22:16 [15]; Deut 22:28-30)</w:t>
      </w:r>
      <w:r w:rsidR="00D3300E">
        <w:rPr>
          <w:rFonts w:cstheme="minorHAnsi"/>
        </w:rPr>
        <w:t>. H</w:t>
      </w:r>
      <w:r w:rsidR="00DB6DF8">
        <w:rPr>
          <w:rFonts w:cstheme="minorHAnsi"/>
        </w:rPr>
        <w:t xml:space="preserve">e won’t even do the right thing in that sense. </w:t>
      </w:r>
      <w:r w:rsidR="00D3300E">
        <w:rPr>
          <w:rFonts w:cstheme="minorHAnsi"/>
        </w:rPr>
        <w:t>Thus</w:t>
      </w:r>
      <w:r w:rsidR="00DB6DF8">
        <w:rPr>
          <w:rFonts w:cstheme="minorHAnsi"/>
        </w:rPr>
        <w:t xml:space="preserve"> she is desolate (</w:t>
      </w:r>
      <w:r w:rsidR="00DB6DF8">
        <w:rPr>
          <w:rFonts w:cstheme="minorHAnsi"/>
          <w:i/>
          <w:iCs/>
        </w:rPr>
        <w:t>šāmēm</w:t>
      </w:r>
      <w:r w:rsidR="00DB6DF8">
        <w:rPr>
          <w:rFonts w:cstheme="minorHAnsi"/>
        </w:rPr>
        <w:t xml:space="preserve">; 13:20), </w:t>
      </w:r>
      <w:r w:rsidR="00D95497">
        <w:rPr>
          <w:rFonts w:cstheme="minorHAnsi"/>
        </w:rPr>
        <w:t>someone</w:t>
      </w:r>
      <w:r w:rsidR="00DB6DF8">
        <w:rPr>
          <w:rFonts w:cstheme="minorHAnsi"/>
        </w:rPr>
        <w:t xml:space="preserve"> abandoned and left on her own like a town that has been attacked, conquered, devastated, and depopulated</w:t>
      </w:r>
      <w:r w:rsidR="00D95497">
        <w:rPr>
          <w:rFonts w:cstheme="minorHAnsi"/>
        </w:rPr>
        <w:t>, with a</w:t>
      </w:r>
      <w:r w:rsidR="006C6ABF">
        <w:rPr>
          <w:rFonts w:cstheme="minorHAnsi"/>
        </w:rPr>
        <w:t xml:space="preserve"> desolat</w:t>
      </w:r>
      <w:r w:rsidR="0087428F">
        <w:rPr>
          <w:rFonts w:cstheme="minorHAnsi"/>
        </w:rPr>
        <w:t>ion a little like Michal’s childlessness.</w:t>
      </w:r>
      <w:r w:rsidR="0087428F">
        <w:rPr>
          <w:rStyle w:val="FootnoteReference"/>
          <w:rFonts w:cstheme="minorHAnsi"/>
        </w:rPr>
        <w:footnoteReference w:id="407"/>
      </w:r>
      <w:r w:rsidR="0087428F">
        <w:rPr>
          <w:rFonts w:cstheme="minorHAnsi"/>
        </w:rPr>
        <w:t xml:space="preserve"> </w:t>
      </w:r>
      <w:r w:rsidR="00DB6DF8">
        <w:rPr>
          <w:rFonts w:cstheme="minorHAnsi"/>
        </w:rPr>
        <w:t>Crying out (</w:t>
      </w:r>
      <w:r w:rsidR="00DB6DF8">
        <w:rPr>
          <w:rFonts w:cstheme="minorHAnsi"/>
          <w:i/>
          <w:iCs/>
        </w:rPr>
        <w:t>zā‘aq</w:t>
      </w:r>
      <w:r w:rsidR="00DB6DF8">
        <w:rPr>
          <w:rFonts w:cstheme="minorHAnsi"/>
        </w:rPr>
        <w:t>)</w:t>
      </w:r>
      <w:r w:rsidR="00623A74">
        <w:rPr>
          <w:rFonts w:cstheme="minorHAnsi"/>
        </w:rPr>
        <w:t>,</w:t>
      </w:r>
      <w:r w:rsidR="00DB6DF8">
        <w:rPr>
          <w:rFonts w:cstheme="minorHAnsi"/>
        </w:rPr>
        <w:t xml:space="preserve"> </w:t>
      </w:r>
      <w:r w:rsidR="00E51784">
        <w:rPr>
          <w:rFonts w:cstheme="minorHAnsi"/>
        </w:rPr>
        <w:t xml:space="preserve">shouting </w:t>
      </w:r>
      <w:r w:rsidR="00DB6DF8">
        <w:rPr>
          <w:rFonts w:cstheme="minorHAnsi"/>
        </w:rPr>
        <w:t xml:space="preserve">something like </w:t>
      </w:r>
      <w:r w:rsidR="00DB6DF8" w:rsidRPr="00D84CC3">
        <w:rPr>
          <w:rFonts w:ascii="Calibri" w:eastAsia="LiberationSerif" w:hAnsi="Calibri" w:cs="Calibri"/>
        </w:rPr>
        <w:t>“rape!” or “woe” or “somebody do something</w:t>
      </w:r>
      <w:r w:rsidR="00DB6DF8">
        <w:rPr>
          <w:rFonts w:ascii="Calibri" w:hAnsi="Calibri" w:cs="Calibri"/>
        </w:rPr>
        <w:t>”</w:t>
      </w:r>
      <w:r w:rsidR="00DB6DF8">
        <w:rPr>
          <w:rStyle w:val="FootnoteReference"/>
          <w:rFonts w:ascii="Calibri" w:hAnsi="Calibri" w:cs="Calibri"/>
        </w:rPr>
        <w:footnoteReference w:id="408"/>
      </w:r>
      <w:r w:rsidR="00DB6DF8" w:rsidRPr="00D84CC3">
        <w:rPr>
          <w:rFonts w:cstheme="minorHAnsi"/>
        </w:rPr>
        <w:t xml:space="preserve"> </w:t>
      </w:r>
      <w:r w:rsidR="00DB6DF8">
        <w:rPr>
          <w:rFonts w:cstheme="minorHAnsi"/>
        </w:rPr>
        <w:t>as she walks,</w:t>
      </w:r>
      <w:r w:rsidR="00DB6DF8" w:rsidRPr="00D84CC3">
        <w:rPr>
          <w:rFonts w:ascii="Calibri" w:hAnsi="Calibri" w:cs="Calibri"/>
        </w:rPr>
        <w:t xml:space="preserve"> she</w:t>
      </w:r>
      <w:r w:rsidR="00DB6DF8">
        <w:rPr>
          <w:rFonts w:cstheme="minorHAnsi"/>
        </w:rPr>
        <w:t xml:space="preserve"> goes back</w:t>
      </w:r>
      <w:r w:rsidR="00DB6DF8">
        <w:rPr>
          <w:rFonts w:cstheme="minorHAnsi"/>
          <w:i/>
          <w:iCs/>
        </w:rPr>
        <w:t xml:space="preserve"> </w:t>
      </w:r>
      <w:r w:rsidR="00DB6DF8">
        <w:rPr>
          <w:rFonts w:cstheme="minorHAnsi"/>
        </w:rPr>
        <w:t xml:space="preserve">to the house she apparently shares with her full brother Absalom. </w:t>
      </w:r>
    </w:p>
    <w:p w14:paraId="186048C5" w14:textId="082E71BE" w:rsidR="00336DBC" w:rsidRDefault="00336DBC" w:rsidP="00336DBC">
      <w:pPr>
        <w:rPr>
          <w:rFonts w:cstheme="minorHAnsi"/>
        </w:rPr>
      </w:pPr>
      <w:r>
        <w:rPr>
          <w:rFonts w:cstheme="minorHAnsi"/>
        </w:rPr>
        <w:t>Ta</w:t>
      </w:r>
      <w:r w:rsidR="00E933F9">
        <w:rPr>
          <w:rFonts w:cstheme="minorHAnsi"/>
        </w:rPr>
        <w:t>m</w:t>
      </w:r>
      <w:r>
        <w:rPr>
          <w:rFonts w:cstheme="minorHAnsi"/>
        </w:rPr>
        <w:t>ar’s story anticipates the way rape still works.</w:t>
      </w:r>
    </w:p>
    <w:p w14:paraId="40D47486" w14:textId="77777777" w:rsidR="00336DBC" w:rsidRPr="003314AD" w:rsidRDefault="00336DBC" w:rsidP="00336DBC">
      <w:pPr>
        <w:rPr>
          <w:rFonts w:cstheme="minorHAnsi"/>
        </w:rPr>
      </w:pPr>
    </w:p>
    <w:p w14:paraId="3187130B" w14:textId="77777777" w:rsidR="00336DBC" w:rsidRPr="003314AD"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Tamar was sexually assaulted, not by a stranger, but by someone she knew.</w:t>
      </w:r>
    </w:p>
    <w:p w14:paraId="25F26916" w14:textId="77777777" w:rsidR="00336DBC" w:rsidRPr="003314AD"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The violation took place not in a dark alley or in a desolate park, but by a member of her own family in his home.</w:t>
      </w:r>
    </w:p>
    <w:p w14:paraId="5FB62D88" w14:textId="77777777" w:rsidR="00336DBC" w:rsidRPr="003314AD"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Tamar was exploited through one of her most vulnerable traits—her kindness and her upbringing to take care of the other.</w:t>
      </w:r>
    </w:p>
    <w:p w14:paraId="6AFDB19D" w14:textId="77777777" w:rsidR="00336DBC" w:rsidRPr="003314AD"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Tamar said no; her no was not respected.</w:t>
      </w:r>
    </w:p>
    <w:p w14:paraId="2193D3DD" w14:textId="77777777" w:rsidR="00336DBC" w:rsidRPr="003314AD"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When Tamar sought help, she was told to keep quiet.</w:t>
      </w:r>
    </w:p>
    <w:p w14:paraId="3F339AA1" w14:textId="77777777" w:rsidR="00336DBC" w:rsidRPr="003314AD"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The process for achieving justice and restitution was taken out of her hands entirely and carried forward by her brother—it became men's business.</w:t>
      </w:r>
    </w:p>
    <w:p w14:paraId="39BFE80F" w14:textId="78A1E9CA" w:rsidR="00336DBC" w:rsidRPr="00E23D55"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In the end, it was her perpetrator for whom her father mourned, not her.</w:t>
      </w:r>
    </w:p>
    <w:p w14:paraId="12364B90" w14:textId="77777777" w:rsidR="00336DBC" w:rsidRPr="003314AD" w:rsidRDefault="00336DBC" w:rsidP="00336DBC">
      <w:pPr>
        <w:pStyle w:val="ListParagraph"/>
        <w:numPr>
          <w:ilvl w:val="0"/>
          <w:numId w:val="15"/>
        </w:numPr>
        <w:ind w:left="720"/>
        <w:rPr>
          <w:rFonts w:asciiTheme="minorHAnsi" w:hAnsiTheme="minorHAnsi" w:cstheme="minorHAnsi"/>
        </w:rPr>
      </w:pPr>
      <w:r w:rsidRPr="003314AD">
        <w:rPr>
          <w:rFonts w:asciiTheme="minorHAnsi" w:hAnsiTheme="minorHAnsi" w:cstheme="minorHAnsi"/>
          <w:color w:val="222222"/>
        </w:rPr>
        <w:t>The end of Tamar's story happens without her.</w:t>
      </w:r>
      <w:r>
        <w:rPr>
          <w:rStyle w:val="FootnoteReference"/>
          <w:rFonts w:asciiTheme="minorHAnsi" w:hAnsiTheme="minorHAnsi" w:cstheme="minorHAnsi"/>
          <w:color w:val="222222"/>
        </w:rPr>
        <w:footnoteReference w:id="409"/>
      </w:r>
    </w:p>
    <w:p w14:paraId="7B3C66E1" w14:textId="2609D056" w:rsidR="00C76DD0" w:rsidRPr="003E2767" w:rsidRDefault="00B60B9B" w:rsidP="003E2767">
      <w:pPr>
        <w:rPr>
          <w:rFonts w:ascii="Calibri" w:hAnsi="Calibri" w:cs="Calibri"/>
        </w:rPr>
      </w:pPr>
      <w:r>
        <w:rPr>
          <w:rFonts w:cstheme="minorHAnsi"/>
        </w:rPr>
        <w:t xml:space="preserve">When she gets home, </w:t>
      </w:r>
      <w:r w:rsidR="004C5993">
        <w:rPr>
          <w:rFonts w:cstheme="minorHAnsi"/>
        </w:rPr>
        <w:t>Absalom tells her to keep quiet and not set her mind on the thing for now (13:20),</w:t>
      </w:r>
      <w:r w:rsidR="004E47F7">
        <w:rPr>
          <w:rFonts w:cstheme="minorHAnsi"/>
        </w:rPr>
        <w:t xml:space="preserve"> but his word</w:t>
      </w:r>
      <w:r w:rsidR="00A93C59">
        <w:rPr>
          <w:rFonts w:cstheme="minorHAnsi"/>
        </w:rPr>
        <w:t>s</w:t>
      </w:r>
      <w:r w:rsidR="004E47F7">
        <w:rPr>
          <w:rFonts w:cstheme="minorHAnsi"/>
        </w:rPr>
        <w:t xml:space="preserve"> hint that </w:t>
      </w:r>
      <w:r w:rsidR="0010748C">
        <w:rPr>
          <w:rFonts w:cstheme="minorHAnsi"/>
        </w:rPr>
        <w:t>t</w:t>
      </w:r>
      <w:r w:rsidR="004E47F7">
        <w:rPr>
          <w:rFonts w:cstheme="minorHAnsi"/>
        </w:rPr>
        <w:t>his urging will not be the end of the matter</w:t>
      </w:r>
      <w:r w:rsidR="00A93C59">
        <w:rPr>
          <w:rFonts w:cstheme="minorHAnsi"/>
        </w:rPr>
        <w:t xml:space="preserve">, and Jonadab will later tell David that Absalom </w:t>
      </w:r>
      <w:r w:rsidR="001A30DD">
        <w:rPr>
          <w:rFonts w:cstheme="minorHAnsi"/>
        </w:rPr>
        <w:t xml:space="preserve">is </w:t>
      </w:r>
      <w:r w:rsidR="00A93C59">
        <w:rPr>
          <w:rFonts w:cstheme="minorHAnsi"/>
        </w:rPr>
        <w:t>plot</w:t>
      </w:r>
      <w:r w:rsidR="001A30DD">
        <w:rPr>
          <w:rFonts w:cstheme="minorHAnsi"/>
        </w:rPr>
        <w:t>ting</w:t>
      </w:r>
      <w:r w:rsidR="00A93C59">
        <w:rPr>
          <w:rFonts w:cstheme="minorHAnsi"/>
        </w:rPr>
        <w:t xml:space="preserve"> action over the next two years (13:23-36). On hearing of the rape,</w:t>
      </w:r>
      <w:r w:rsidR="004E47F7">
        <w:rPr>
          <w:rFonts w:cstheme="minorHAnsi"/>
        </w:rPr>
        <w:t xml:space="preserve"> </w:t>
      </w:r>
      <w:r w:rsidR="004C5993">
        <w:rPr>
          <w:rFonts w:cstheme="minorHAnsi"/>
        </w:rPr>
        <w:t xml:space="preserve">David </w:t>
      </w:r>
      <w:r w:rsidR="007C778B">
        <w:rPr>
          <w:rFonts w:cstheme="minorHAnsi"/>
        </w:rPr>
        <w:t>i</w:t>
      </w:r>
      <w:r w:rsidR="004C5993">
        <w:rPr>
          <w:rFonts w:cstheme="minorHAnsi"/>
        </w:rPr>
        <w:t>s very angry (13:21)</w:t>
      </w:r>
      <w:r w:rsidR="007C778B">
        <w:rPr>
          <w:rFonts w:cstheme="minorHAnsi"/>
        </w:rPr>
        <w:t>, b</w:t>
      </w:r>
      <w:r w:rsidR="004C5993">
        <w:rPr>
          <w:rFonts w:cstheme="minorHAnsi"/>
        </w:rPr>
        <w:t>ut he d</w:t>
      </w:r>
      <w:r w:rsidR="007C778B">
        <w:rPr>
          <w:rFonts w:cstheme="minorHAnsi"/>
        </w:rPr>
        <w:t>oes</w:t>
      </w:r>
      <w:r w:rsidR="004C5993">
        <w:rPr>
          <w:rFonts w:cstheme="minorHAnsi"/>
        </w:rPr>
        <w:t xml:space="preserve">n’t do anything. </w:t>
      </w:r>
      <w:r w:rsidR="004E66DC">
        <w:rPr>
          <w:rFonts w:cstheme="minorHAnsi"/>
        </w:rPr>
        <w:t xml:space="preserve">Nor </w:t>
      </w:r>
      <w:r w:rsidR="0010748C">
        <w:rPr>
          <w:rFonts w:cstheme="minorHAnsi"/>
        </w:rPr>
        <w:t>does</w:t>
      </w:r>
      <w:r w:rsidR="004C5993">
        <w:rPr>
          <w:rFonts w:cstheme="minorHAnsi"/>
        </w:rPr>
        <w:t xml:space="preserve"> Yahweh send someone, as he sent Nathan.</w:t>
      </w:r>
      <w:r w:rsidR="004C5993">
        <w:rPr>
          <w:rStyle w:val="FootnoteReference"/>
          <w:rFonts w:cstheme="minorHAnsi"/>
        </w:rPr>
        <w:footnoteReference w:id="410"/>
      </w:r>
      <w:r w:rsidR="00C76DD0">
        <w:rPr>
          <w:rFonts w:cstheme="minorHAnsi"/>
        </w:rPr>
        <w:t xml:space="preserve"> But two years later, when no one would still be suspecting him, </w:t>
      </w:r>
      <w:r w:rsidR="00812549">
        <w:rPr>
          <w:rFonts w:cstheme="minorHAnsi"/>
        </w:rPr>
        <w:t>Absalom</w:t>
      </w:r>
      <w:r w:rsidR="00C76DD0">
        <w:rPr>
          <w:rFonts w:cstheme="minorHAnsi"/>
        </w:rPr>
        <w:t xml:space="preserve"> ha</w:t>
      </w:r>
      <w:r w:rsidR="0010748C">
        <w:rPr>
          <w:rFonts w:cstheme="minorHAnsi"/>
        </w:rPr>
        <w:t>s</w:t>
      </w:r>
      <w:r w:rsidR="00C76DD0">
        <w:rPr>
          <w:rFonts w:cstheme="minorHAnsi"/>
        </w:rPr>
        <w:t xml:space="preserve"> </w:t>
      </w:r>
      <w:r w:rsidR="00812549">
        <w:rPr>
          <w:rFonts w:cstheme="minorHAnsi"/>
        </w:rPr>
        <w:t>Amnon</w:t>
      </w:r>
      <w:r w:rsidR="00C76DD0">
        <w:rPr>
          <w:rFonts w:cstheme="minorHAnsi"/>
        </w:rPr>
        <w:t xml:space="preserve"> killed. </w:t>
      </w:r>
      <w:r w:rsidR="006164AC">
        <w:rPr>
          <w:rFonts w:cstheme="minorHAnsi"/>
        </w:rPr>
        <w:t xml:space="preserve">In the execution of this event, </w:t>
      </w:r>
      <w:r w:rsidR="003E2767">
        <w:rPr>
          <w:rFonts w:cstheme="minorHAnsi"/>
        </w:rPr>
        <w:t>“</w:t>
      </w:r>
      <w:r w:rsidR="003E2767" w:rsidRPr="00FC1573">
        <w:rPr>
          <w:rFonts w:ascii="Calibri" w:hAnsi="Calibri" w:cs="Calibri"/>
        </w:rPr>
        <w:t>David is</w:t>
      </w:r>
      <w:r w:rsidR="003E2767">
        <w:rPr>
          <w:rFonts w:ascii="Calibri" w:hAnsi="Calibri" w:cs="Calibri"/>
        </w:rPr>
        <w:t xml:space="preserve"> . . .</w:t>
      </w:r>
      <w:r w:rsidR="003E2767" w:rsidRPr="00FC1573">
        <w:rPr>
          <w:rFonts w:ascii="Calibri" w:hAnsi="Calibri" w:cs="Calibri"/>
        </w:rPr>
        <w:t xml:space="preserve"> set up as an accomplice to the murder of his son, just as Amnon</w:t>
      </w:r>
      <w:r w:rsidR="003E2767">
        <w:rPr>
          <w:rFonts w:cstheme="minorHAnsi"/>
        </w:rPr>
        <w:t xml:space="preserve"> </w:t>
      </w:r>
      <w:r w:rsidR="003E2767" w:rsidRPr="00FC1573">
        <w:rPr>
          <w:rFonts w:ascii="Calibri" w:hAnsi="Calibri" w:cs="Calibri"/>
        </w:rPr>
        <w:t>had previously set him up to be an accomplice to Tamar’s rape.</w:t>
      </w:r>
      <w:r w:rsidR="003E2767">
        <w:rPr>
          <w:rFonts w:ascii="Calibri" w:hAnsi="Calibri" w:cs="Calibri"/>
        </w:rPr>
        <w:t>”</w:t>
      </w:r>
      <w:r w:rsidR="003E2767">
        <w:rPr>
          <w:rStyle w:val="FootnoteReference"/>
          <w:rFonts w:ascii="Calibri" w:hAnsi="Calibri" w:cs="Calibri"/>
        </w:rPr>
        <w:footnoteReference w:id="411"/>
      </w:r>
      <w:r w:rsidR="003E2767">
        <w:rPr>
          <w:rFonts w:ascii="Calibri" w:hAnsi="Calibri" w:cs="Calibri"/>
        </w:rPr>
        <w:t xml:space="preserve"> </w:t>
      </w:r>
      <w:r w:rsidR="0010748C">
        <w:rPr>
          <w:rFonts w:ascii="Calibri" w:hAnsi="Calibri" w:cs="Calibri"/>
        </w:rPr>
        <w:t>P</w:t>
      </w:r>
      <w:r w:rsidR="008702C6">
        <w:rPr>
          <w:rFonts w:ascii="Calibri" w:hAnsi="Calibri" w:cs="Calibri"/>
        </w:rPr>
        <w:t xml:space="preserve">erhaps Absalom </w:t>
      </w:r>
      <w:r w:rsidR="00B105CF">
        <w:rPr>
          <w:rFonts w:ascii="Calibri" w:hAnsi="Calibri" w:cs="Calibri"/>
        </w:rPr>
        <w:t>maneuver</w:t>
      </w:r>
      <w:r w:rsidR="0010748C">
        <w:rPr>
          <w:rFonts w:ascii="Calibri" w:hAnsi="Calibri" w:cs="Calibri"/>
        </w:rPr>
        <w:t>s</w:t>
      </w:r>
      <w:r w:rsidR="00B105CF">
        <w:rPr>
          <w:rFonts w:ascii="Calibri" w:hAnsi="Calibri" w:cs="Calibri"/>
        </w:rPr>
        <w:t xml:space="preserve"> David into tak</w:t>
      </w:r>
      <w:r w:rsidR="002965BE">
        <w:rPr>
          <w:rFonts w:ascii="Calibri" w:hAnsi="Calibri" w:cs="Calibri"/>
        </w:rPr>
        <w:t>i</w:t>
      </w:r>
      <w:r w:rsidR="00B105CF">
        <w:rPr>
          <w:rFonts w:ascii="Calibri" w:hAnsi="Calibri" w:cs="Calibri"/>
        </w:rPr>
        <w:t>ng the action he should have taken anyway</w:t>
      </w:r>
      <w:r w:rsidR="002965BE">
        <w:rPr>
          <w:rFonts w:ascii="Calibri" w:hAnsi="Calibri" w:cs="Calibri"/>
        </w:rPr>
        <w:t>, like the other Tamar in relation to David’s ancestor Judah (Gen 38).</w:t>
      </w:r>
    </w:p>
    <w:p w14:paraId="54D232DB" w14:textId="7703CF09" w:rsidR="003474D0" w:rsidRPr="00791A1B" w:rsidRDefault="0033476E" w:rsidP="001A3AE8">
      <w:pPr>
        <w:rPr>
          <w:rFonts w:cstheme="minorHAnsi"/>
        </w:rPr>
      </w:pPr>
      <w:r>
        <w:rPr>
          <w:rFonts w:cstheme="minorHAnsi"/>
        </w:rPr>
        <w:lastRenderedPageBreak/>
        <w:t>Absalom flees and takes refuge with his grandfather</w:t>
      </w:r>
      <w:r w:rsidR="008425BD">
        <w:rPr>
          <w:rFonts w:cstheme="minorHAnsi"/>
        </w:rPr>
        <w:t xml:space="preserve"> (13:37)</w:t>
      </w:r>
      <w:r>
        <w:rPr>
          <w:rFonts w:cstheme="minorHAnsi"/>
        </w:rPr>
        <w:t xml:space="preserve">. </w:t>
      </w:r>
      <w:r w:rsidR="003474D0">
        <w:rPr>
          <w:rFonts w:cstheme="minorHAnsi"/>
        </w:rPr>
        <w:t>Knowing that David’s mind was on Absalom (though the implications of that statement are unclear),</w:t>
      </w:r>
      <w:r w:rsidR="00B871AE">
        <w:rPr>
          <w:rStyle w:val="FootnoteReference"/>
          <w:rFonts w:cstheme="minorHAnsi"/>
        </w:rPr>
        <w:footnoteReference w:id="412"/>
      </w:r>
      <w:r w:rsidR="003474D0">
        <w:rPr>
          <w:rFonts w:cstheme="minorHAnsi"/>
        </w:rPr>
        <w:t xml:space="preserve"> Joab g</w:t>
      </w:r>
      <w:r w:rsidR="000A5F46">
        <w:rPr>
          <w:rFonts w:cstheme="minorHAnsi"/>
        </w:rPr>
        <w:t>ets</w:t>
      </w:r>
      <w:r w:rsidR="003474D0">
        <w:rPr>
          <w:rFonts w:cstheme="minorHAnsi"/>
        </w:rPr>
        <w:t xml:space="preserve"> a smart woman (the second time the </w:t>
      </w:r>
      <w:r w:rsidR="00F77489">
        <w:rPr>
          <w:rFonts w:cstheme="minorHAnsi"/>
        </w:rPr>
        <w:t>adjective</w:t>
      </w:r>
      <w:r w:rsidR="003474D0">
        <w:rPr>
          <w:rFonts w:cstheme="minorHAnsi"/>
        </w:rPr>
        <w:t xml:space="preserve"> occurs in Samuel) to tell David another parable, about someone killing his brother</w:t>
      </w:r>
      <w:r w:rsidR="0010748C">
        <w:rPr>
          <w:rFonts w:cstheme="minorHAnsi"/>
        </w:rPr>
        <w:t xml:space="preserve">. </w:t>
      </w:r>
      <w:r w:rsidR="003474D0">
        <w:rPr>
          <w:rFonts w:cstheme="minorHAnsi"/>
        </w:rPr>
        <w:t xml:space="preserve">The recurrent expression “put words in her mouth” </w:t>
      </w:r>
      <w:r w:rsidR="0010748C">
        <w:rPr>
          <w:rFonts w:cstheme="minorHAnsi"/>
        </w:rPr>
        <w:t>means</w:t>
      </w:r>
      <w:r w:rsidR="003474D0">
        <w:rPr>
          <w:rFonts w:cstheme="minorHAnsi"/>
        </w:rPr>
        <w:t xml:space="preserve"> telling her the kind of thing t</w:t>
      </w:r>
      <w:r w:rsidR="0010748C">
        <w:rPr>
          <w:rFonts w:cstheme="minorHAnsi"/>
        </w:rPr>
        <w:t>o say</w:t>
      </w:r>
      <w:r w:rsidR="003474D0">
        <w:rPr>
          <w:rFonts w:cstheme="minorHAnsi"/>
        </w:rPr>
        <w:t xml:space="preserve"> (e.g., Ezra 8:17); her skill mean</w:t>
      </w:r>
      <w:r w:rsidR="0010748C">
        <w:rPr>
          <w:rFonts w:cstheme="minorHAnsi"/>
        </w:rPr>
        <w:t>s</w:t>
      </w:r>
      <w:r w:rsidR="003474D0">
        <w:rPr>
          <w:rFonts w:cstheme="minorHAnsi"/>
        </w:rPr>
        <w:t xml:space="preserve"> she c</w:t>
      </w:r>
      <w:r w:rsidR="0010748C">
        <w:rPr>
          <w:rFonts w:cstheme="minorHAnsi"/>
        </w:rPr>
        <w:t>an</w:t>
      </w:r>
      <w:r w:rsidR="003474D0">
        <w:rPr>
          <w:rFonts w:cstheme="minorHAnsi"/>
        </w:rPr>
        <w:t xml:space="preserve"> formulate the words, as is required by the conversation</w:t>
      </w:r>
      <w:r w:rsidR="0098780B">
        <w:rPr>
          <w:rFonts w:cstheme="minorHAnsi"/>
        </w:rPr>
        <w:t xml:space="preserve"> in which s</w:t>
      </w:r>
      <w:r w:rsidR="003474D0">
        <w:rPr>
          <w:rFonts w:cstheme="minorHAnsi"/>
        </w:rPr>
        <w:t>he keeps interrupting the king</w:t>
      </w:r>
      <w:r w:rsidR="0098780B">
        <w:rPr>
          <w:rFonts w:cstheme="minorHAnsi"/>
        </w:rPr>
        <w:t>.</w:t>
      </w:r>
      <w:r w:rsidR="003474D0">
        <w:rPr>
          <w:rStyle w:val="FootnoteReference"/>
          <w:rFonts w:cstheme="minorHAnsi"/>
        </w:rPr>
        <w:footnoteReference w:id="413"/>
      </w:r>
      <w:r w:rsidR="0098780B">
        <w:rPr>
          <w:rFonts w:cstheme="minorHAnsi"/>
        </w:rPr>
        <w:t xml:space="preserve"> </w:t>
      </w:r>
      <w:r w:rsidR="003474D0">
        <w:rPr>
          <w:rFonts w:cstheme="minorHAnsi"/>
        </w:rPr>
        <w:t xml:space="preserve">If anything, “she </w:t>
      </w:r>
      <w:r w:rsidR="003474D0" w:rsidRPr="00E574B4">
        <w:rPr>
          <w:rFonts w:eastAsia="Times-Roman" w:cstheme="minorHAnsi"/>
        </w:rPr>
        <w:t>shows that she might have been trained by Abigail</w:t>
      </w:r>
      <w:r w:rsidR="001E6327">
        <w:rPr>
          <w:rFonts w:eastAsia="Times-Roman" w:cstheme="minorHAnsi"/>
        </w:rPr>
        <w:t>,</w:t>
      </w:r>
      <w:r w:rsidR="003474D0">
        <w:rPr>
          <w:rFonts w:eastAsia="Times-Roman" w:cstheme="minorHAnsi"/>
        </w:rPr>
        <w:t>”</w:t>
      </w:r>
      <w:r w:rsidR="003474D0">
        <w:rPr>
          <w:rStyle w:val="FootnoteReference"/>
          <w:rFonts w:eastAsia="Times-Roman" w:cstheme="minorHAnsi"/>
        </w:rPr>
        <w:footnoteReference w:id="414"/>
      </w:r>
      <w:r w:rsidR="003474D0">
        <w:rPr>
          <w:rFonts w:eastAsia="Times-Roman" w:cstheme="minorHAnsi"/>
        </w:rPr>
        <w:t xml:space="preserve"> </w:t>
      </w:r>
      <w:r w:rsidR="001E6327">
        <w:rPr>
          <w:rFonts w:eastAsia="Times-Roman" w:cstheme="minorHAnsi"/>
        </w:rPr>
        <w:t xml:space="preserve">who </w:t>
      </w:r>
      <w:r w:rsidR="003474D0">
        <w:rPr>
          <w:rFonts w:eastAsia="Times-Roman" w:cstheme="minorHAnsi"/>
        </w:rPr>
        <w:t xml:space="preserve">was not described as “smart” </w:t>
      </w:r>
      <w:r w:rsidR="001E6327">
        <w:rPr>
          <w:rFonts w:eastAsia="Times-Roman" w:cstheme="minorHAnsi"/>
        </w:rPr>
        <w:t xml:space="preserve">but </w:t>
      </w:r>
      <w:r w:rsidR="003474D0">
        <w:rPr>
          <w:rFonts w:eastAsia="Times-Roman" w:cstheme="minorHAnsi"/>
        </w:rPr>
        <w:t xml:space="preserve">was “good in her insight” </w:t>
      </w:r>
      <w:r w:rsidR="00CD27DA">
        <w:rPr>
          <w:rFonts w:eastAsia="Times-Roman" w:cstheme="minorHAnsi"/>
        </w:rPr>
        <w:t>(25:3)</w:t>
      </w:r>
      <w:r w:rsidR="003474D0">
        <w:rPr>
          <w:rFonts w:eastAsia="Times-Roman" w:cstheme="minorHAnsi"/>
        </w:rPr>
        <w:t>.</w:t>
      </w:r>
      <w:r w:rsidR="003474D0" w:rsidRPr="00E574B4">
        <w:rPr>
          <w:rFonts w:cstheme="minorHAnsi"/>
        </w:rPr>
        <w:t xml:space="preserve"> The </w:t>
      </w:r>
      <w:r w:rsidR="00AA7527">
        <w:rPr>
          <w:rFonts w:cstheme="minorHAnsi"/>
        </w:rPr>
        <w:t xml:space="preserve">parable again portrays a </w:t>
      </w:r>
      <w:r w:rsidR="003474D0" w:rsidRPr="00E574B4">
        <w:rPr>
          <w:rFonts w:cstheme="minorHAnsi"/>
        </w:rPr>
        <w:t xml:space="preserve">situation </w:t>
      </w:r>
      <w:r w:rsidR="00AA7527">
        <w:rPr>
          <w:rFonts w:cstheme="minorHAnsi"/>
        </w:rPr>
        <w:t xml:space="preserve">that </w:t>
      </w:r>
      <w:r w:rsidR="003474D0" w:rsidRPr="00E574B4">
        <w:rPr>
          <w:rFonts w:cstheme="minorHAnsi"/>
        </w:rPr>
        <w:t>require</w:t>
      </w:r>
      <w:r w:rsidR="0010748C">
        <w:rPr>
          <w:rFonts w:cstheme="minorHAnsi"/>
        </w:rPr>
        <w:t>s</w:t>
      </w:r>
      <w:r w:rsidR="003474D0" w:rsidRPr="00E574B4">
        <w:rPr>
          <w:rFonts w:cstheme="minorHAnsi"/>
        </w:rPr>
        <w:t xml:space="preserve"> the king to take action</w:t>
      </w:r>
      <w:r w:rsidR="00CD27DA">
        <w:rPr>
          <w:rFonts w:cstheme="minorHAnsi"/>
        </w:rPr>
        <w:t>, i</w:t>
      </w:r>
      <w:r w:rsidR="003474D0" w:rsidRPr="00E574B4">
        <w:rPr>
          <w:rFonts w:cstheme="minorHAnsi"/>
        </w:rPr>
        <w:t xml:space="preserve">n this case </w:t>
      </w:r>
      <w:r w:rsidR="00EB770A">
        <w:rPr>
          <w:rFonts w:cstheme="minorHAnsi"/>
        </w:rPr>
        <w:t>restrain</w:t>
      </w:r>
      <w:r w:rsidR="00CD27DA">
        <w:rPr>
          <w:rFonts w:cstheme="minorHAnsi"/>
        </w:rPr>
        <w:t>ing</w:t>
      </w:r>
      <w:r w:rsidR="00EB770A">
        <w:rPr>
          <w:rFonts w:cstheme="minorHAnsi"/>
        </w:rPr>
        <w:t xml:space="preserve"> an</w:t>
      </w:r>
      <w:r w:rsidR="003474D0" w:rsidRPr="00E574B4">
        <w:rPr>
          <w:rFonts w:cstheme="minorHAnsi"/>
        </w:rPr>
        <w:t xml:space="preserve"> executioner</w:t>
      </w:r>
      <w:r w:rsidR="003474D0">
        <w:rPr>
          <w:rFonts w:cstheme="minorHAnsi"/>
        </w:rPr>
        <w:t xml:space="preserve"> (</w:t>
      </w:r>
      <w:r w:rsidR="00EB770A">
        <w:rPr>
          <w:rFonts w:cstheme="minorHAnsi"/>
        </w:rPr>
        <w:t xml:space="preserve">whose action would be quite proper; </w:t>
      </w:r>
      <w:r w:rsidR="003474D0">
        <w:rPr>
          <w:rFonts w:cstheme="minorHAnsi"/>
        </w:rPr>
        <w:t>to speak in terms of “blood-revenge” gives a misleading impression)</w:t>
      </w:r>
      <w:r w:rsidR="003474D0" w:rsidRPr="00E574B4">
        <w:rPr>
          <w:rFonts w:cstheme="minorHAnsi"/>
        </w:rPr>
        <w:t>. Again</w:t>
      </w:r>
      <w:r w:rsidR="003474D0">
        <w:rPr>
          <w:rFonts w:cstheme="minorHAnsi"/>
        </w:rPr>
        <w:t xml:space="preserve"> </w:t>
      </w:r>
      <w:r w:rsidR="00CD27DA">
        <w:rPr>
          <w:rFonts w:cstheme="minorHAnsi"/>
        </w:rPr>
        <w:t>David</w:t>
      </w:r>
      <w:r w:rsidR="003474D0">
        <w:rPr>
          <w:rFonts w:cstheme="minorHAnsi"/>
        </w:rPr>
        <w:t xml:space="preserve"> fails to see that the parable is about him</w:t>
      </w:r>
      <w:r w:rsidR="00491FBA">
        <w:rPr>
          <w:rFonts w:cstheme="minorHAnsi"/>
        </w:rPr>
        <w:t xml:space="preserve"> in a more personal sense</w:t>
      </w:r>
      <w:r w:rsidR="003474D0">
        <w:rPr>
          <w:rFonts w:cstheme="minorHAnsi"/>
        </w:rPr>
        <w:t>, that he is colluding with a sort-of execution in the form of Absalom’s self-imposed banishment. You</w:t>
      </w:r>
      <w:r w:rsidR="0081155E">
        <w:rPr>
          <w:rFonts w:cstheme="minorHAnsi"/>
        </w:rPr>
        <w:t>’</w:t>
      </w:r>
      <w:r w:rsidR="003474D0">
        <w:rPr>
          <w:rFonts w:cstheme="minorHAnsi"/>
        </w:rPr>
        <w:t xml:space="preserve">re smart, too, </w:t>
      </w:r>
      <w:r w:rsidR="00491FBA">
        <w:rPr>
          <w:rFonts w:cstheme="minorHAnsi"/>
        </w:rPr>
        <w:t>the woman</w:t>
      </w:r>
      <w:r w:rsidR="003474D0">
        <w:rPr>
          <w:rFonts w:cstheme="minorHAnsi"/>
        </w:rPr>
        <w:t xml:space="preserve"> tells </w:t>
      </w:r>
      <w:r w:rsidR="00491FBA">
        <w:rPr>
          <w:rFonts w:cstheme="minorHAnsi"/>
        </w:rPr>
        <w:t>David.</w:t>
      </w:r>
      <w:r w:rsidR="003474D0">
        <w:rPr>
          <w:rFonts w:cstheme="minorHAnsi"/>
        </w:rPr>
        <w:t xml:space="preserve"> If only he had been.</w:t>
      </w:r>
      <w:r w:rsidR="001A3AE8">
        <w:rPr>
          <w:rFonts w:cstheme="minorHAnsi"/>
        </w:rPr>
        <w:t xml:space="preserve"> </w:t>
      </w:r>
      <w:r w:rsidR="003474D0">
        <w:rPr>
          <w:rFonts w:cstheme="minorHAnsi"/>
        </w:rPr>
        <w:t>“</w:t>
      </w:r>
      <w:r w:rsidR="003474D0" w:rsidRPr="00791A1B">
        <w:rPr>
          <w:rFonts w:ascii="Calibri" w:hAnsi="Calibri" w:cs="Calibri"/>
        </w:rPr>
        <w:t>Just as her phony widowhood duped David, her flattery obstructs David from interrogating her</w:t>
      </w:r>
      <w:r w:rsidR="003474D0">
        <w:rPr>
          <w:rFonts w:ascii="Calibri" w:hAnsi="Calibri" w:cs="Calibri"/>
        </w:rPr>
        <w:t xml:space="preserve"> </w:t>
      </w:r>
      <w:r w:rsidR="003474D0" w:rsidRPr="00791A1B">
        <w:rPr>
          <w:rFonts w:ascii="Calibri" w:hAnsi="Calibri" w:cs="Calibri"/>
        </w:rPr>
        <w:t>further. She</w:t>
      </w:r>
      <w:r w:rsidR="003474D0">
        <w:rPr>
          <w:rFonts w:cstheme="minorHAnsi"/>
        </w:rPr>
        <w:t xml:space="preserve"> </w:t>
      </w:r>
      <w:r w:rsidR="003474D0" w:rsidRPr="00791A1B">
        <w:rPr>
          <w:rFonts w:ascii="Calibri" w:hAnsi="Calibri" w:cs="Calibri"/>
        </w:rPr>
        <w:t>is indeed wise</w:t>
      </w:r>
      <w:r w:rsidR="003474D0">
        <w:rPr>
          <w:rFonts w:ascii="Calibri" w:hAnsi="Calibri" w:cs="Calibri"/>
        </w:rPr>
        <w:t>.”</w:t>
      </w:r>
      <w:r w:rsidR="003474D0">
        <w:rPr>
          <w:rStyle w:val="FootnoteReference"/>
          <w:rFonts w:ascii="Calibri" w:hAnsi="Calibri" w:cs="Calibri"/>
        </w:rPr>
        <w:footnoteReference w:id="415"/>
      </w:r>
    </w:p>
    <w:p w14:paraId="6E15A858" w14:textId="31C753F6" w:rsidR="003474D0" w:rsidRDefault="003474D0" w:rsidP="003474D0">
      <w:r>
        <w:rPr>
          <w:rFonts w:cstheme="minorHAnsi"/>
        </w:rPr>
        <w:t xml:space="preserve">David gets Absalom brought back, </w:t>
      </w:r>
      <w:r w:rsidR="0010748C">
        <w:rPr>
          <w:rFonts w:cstheme="minorHAnsi"/>
        </w:rPr>
        <w:t xml:space="preserve">but </w:t>
      </w:r>
      <w:r>
        <w:rPr>
          <w:rFonts w:cstheme="minorHAnsi"/>
        </w:rPr>
        <w:t>confine</w:t>
      </w:r>
      <w:r w:rsidR="0010748C">
        <w:rPr>
          <w:rFonts w:cstheme="minorHAnsi"/>
        </w:rPr>
        <w:t>s him</w:t>
      </w:r>
      <w:r>
        <w:rPr>
          <w:rFonts w:cstheme="minorHAnsi"/>
        </w:rPr>
        <w:t xml:space="preserve"> to his own house, but </w:t>
      </w:r>
      <w:r w:rsidR="001A3AE8">
        <w:rPr>
          <w:rFonts w:cstheme="minorHAnsi"/>
        </w:rPr>
        <w:t>then</w:t>
      </w:r>
      <w:r w:rsidR="0010748C">
        <w:rPr>
          <w:rFonts w:cstheme="minorHAnsi"/>
        </w:rPr>
        <w:t xml:space="preserve"> has him</w:t>
      </w:r>
      <w:r w:rsidR="001A3AE8">
        <w:rPr>
          <w:rFonts w:cstheme="minorHAnsi"/>
        </w:rPr>
        <w:t xml:space="preserve"> </w:t>
      </w:r>
      <w:r>
        <w:rPr>
          <w:rFonts w:cstheme="minorHAnsi"/>
        </w:rPr>
        <w:t xml:space="preserve">brought back to see </w:t>
      </w:r>
      <w:r w:rsidR="0010748C">
        <w:rPr>
          <w:rFonts w:cstheme="minorHAnsi"/>
        </w:rPr>
        <w:t>David</w:t>
      </w:r>
      <w:r>
        <w:rPr>
          <w:rFonts w:cstheme="minorHAnsi"/>
        </w:rPr>
        <w:t xml:space="preserve"> after two more years. He bows to the ground before David, and David hugs him.</w:t>
      </w:r>
    </w:p>
    <w:p w14:paraId="44393079" w14:textId="587330EF" w:rsidR="00082E7A" w:rsidRDefault="00082E7A" w:rsidP="00082E7A">
      <w:pPr>
        <w:pStyle w:val="Heading2"/>
      </w:pPr>
      <w:r>
        <w:t>The Sword Never Depart</w:t>
      </w:r>
      <w:r w:rsidR="001E29A0">
        <w:t xml:space="preserve">s </w:t>
      </w:r>
    </w:p>
    <w:p w14:paraId="5AF56F5C" w14:textId="77777777" w:rsidR="00E60014" w:rsidRDefault="00C64838" w:rsidP="001B65CE">
      <w:pPr>
        <w:rPr>
          <w:rFonts w:cstheme="minorHAnsi"/>
        </w:rPr>
      </w:pPr>
      <w:r>
        <w:t xml:space="preserve">While </w:t>
      </w:r>
      <w:r w:rsidR="00014B96">
        <w:t>t</w:t>
      </w:r>
      <w:r>
        <w:t xml:space="preserve">he story of Tamar has a significance in its own right, </w:t>
      </w:r>
      <w:r w:rsidR="004D6F9B">
        <w:t xml:space="preserve">it starts with Absalom and </w:t>
      </w:r>
      <w:r w:rsidR="0071440F">
        <w:t xml:space="preserve">with </w:t>
      </w:r>
      <w:r w:rsidR="004D6F9B">
        <w:t>a reference to Tamar as his sister</w:t>
      </w:r>
      <w:r w:rsidR="005E7DE8">
        <w:t xml:space="preserve">, and </w:t>
      </w:r>
      <w:r w:rsidR="00E60014">
        <w:t xml:space="preserve">it </w:t>
      </w:r>
      <w:r w:rsidR="005E7DE8">
        <w:t xml:space="preserve">leads directly </w:t>
      </w:r>
      <w:r w:rsidR="003E1256">
        <w:t xml:space="preserve">into </w:t>
      </w:r>
      <w:r w:rsidR="00346B7E">
        <w:t>the</w:t>
      </w:r>
      <w:r w:rsidR="003E1256">
        <w:t xml:space="preserve"> account of Absalom’s coup</w:t>
      </w:r>
      <w:r>
        <w:t xml:space="preserve"> that occup</w:t>
      </w:r>
      <w:r w:rsidR="00346B7E">
        <w:t>ies</w:t>
      </w:r>
      <w:r>
        <w:t xml:space="preserve"> 2 Samuel 15 – 20.</w:t>
      </w:r>
      <w:r w:rsidR="00014B96">
        <w:t xml:space="preserve"> </w:t>
      </w:r>
      <w:r w:rsidR="004B6189">
        <w:rPr>
          <w:rFonts w:cstheme="minorHAnsi"/>
        </w:rPr>
        <w:t>“</w:t>
      </w:r>
      <w:r w:rsidR="004B6189" w:rsidRPr="00536FCB">
        <w:rPr>
          <w:rFonts w:cstheme="minorHAnsi"/>
        </w:rPr>
        <w:t>David's strategically motivated</w:t>
      </w:r>
      <w:r w:rsidR="004B6189">
        <w:rPr>
          <w:rFonts w:cstheme="minorHAnsi"/>
        </w:rPr>
        <w:t xml:space="preserve"> </w:t>
      </w:r>
      <w:r w:rsidR="004B6189" w:rsidRPr="00536FCB">
        <w:rPr>
          <w:rFonts w:cstheme="minorHAnsi"/>
        </w:rPr>
        <w:t>marriages have resulted in numerous offspring, initially symbols of</w:t>
      </w:r>
      <w:r w:rsidR="004B6189">
        <w:rPr>
          <w:rFonts w:cstheme="minorHAnsi"/>
        </w:rPr>
        <w:t xml:space="preserve"> </w:t>
      </w:r>
      <w:r w:rsidR="004B6189" w:rsidRPr="00536FCB">
        <w:rPr>
          <w:rFonts w:cstheme="minorHAnsi"/>
        </w:rPr>
        <w:t>his power, who become a gravely destabilizing force.</w:t>
      </w:r>
      <w:r w:rsidR="004B6189">
        <w:rPr>
          <w:rFonts w:cstheme="minorHAnsi"/>
        </w:rPr>
        <w:t>”</w:t>
      </w:r>
      <w:r w:rsidR="004B6189" w:rsidRPr="001F52A8">
        <w:rPr>
          <w:rStyle w:val="FootnoteReference"/>
          <w:rFonts w:ascii="Calibri" w:hAnsi="Calibri" w:cs="Calibri"/>
        </w:rPr>
        <w:footnoteReference w:id="416"/>
      </w:r>
      <w:r w:rsidR="004B6189">
        <w:rPr>
          <w:rFonts w:cstheme="minorHAnsi"/>
        </w:rPr>
        <w:t xml:space="preserve"> </w:t>
      </w:r>
      <w:r w:rsidR="0069227F">
        <w:t xml:space="preserve">The </w:t>
      </w:r>
      <w:r w:rsidR="003E64DD">
        <w:t xml:space="preserve">Tamar story has </w:t>
      </w:r>
      <w:r w:rsidR="0069227F">
        <w:t>portray</w:t>
      </w:r>
      <w:r w:rsidR="003E64DD">
        <w:t>ed</w:t>
      </w:r>
      <w:r w:rsidR="0069227F">
        <w:t xml:space="preserve"> the enormity of Amnon’s wrongdoing, </w:t>
      </w:r>
      <w:r w:rsidR="006C176E">
        <w:t>Tamar’s</w:t>
      </w:r>
      <w:r w:rsidR="0069227F">
        <w:t xml:space="preserve"> suffering and loss, </w:t>
      </w:r>
      <w:r w:rsidR="006C176E">
        <w:t>Absalom’s</w:t>
      </w:r>
      <w:r w:rsidR="0069227F">
        <w:t xml:space="preserve"> hardnosed cunning,</w:t>
      </w:r>
      <w:r w:rsidR="003E64DD">
        <w:t xml:space="preserve"> </w:t>
      </w:r>
      <w:r w:rsidR="006C176E">
        <w:t>Joab’s</w:t>
      </w:r>
      <w:r w:rsidR="0069227F">
        <w:t xml:space="preserve"> manipulative shrewdness</w:t>
      </w:r>
      <w:r w:rsidR="00E60014">
        <w:t>,</w:t>
      </w:r>
      <w:r w:rsidR="0069227F">
        <w:t xml:space="preserve"> and </w:t>
      </w:r>
      <w:r w:rsidR="006C176E">
        <w:t>David’s</w:t>
      </w:r>
      <w:r w:rsidR="0069227F">
        <w:t xml:space="preserve"> simple-minded</w:t>
      </w:r>
      <w:r w:rsidR="0069227F" w:rsidRPr="004C5913">
        <w:t xml:space="preserve"> </w:t>
      </w:r>
      <w:r w:rsidR="0069227F">
        <w:t>naivety</w:t>
      </w:r>
      <w:r w:rsidR="006513A9">
        <w:t xml:space="preserve">. </w:t>
      </w:r>
      <w:r w:rsidR="001B65CE">
        <w:rPr>
          <w:rFonts w:cstheme="minorHAnsi"/>
        </w:rPr>
        <w:t>“</w:t>
      </w:r>
      <w:r w:rsidR="001B65CE" w:rsidRPr="008D4450">
        <w:rPr>
          <w:rFonts w:ascii="Calibri" w:hAnsi="Calibri" w:cs="Calibri"/>
        </w:rPr>
        <w:t>The bitterness of David's tragedy is that he not only cannot spare</w:t>
      </w:r>
      <w:r w:rsidR="001B65CE">
        <w:rPr>
          <w:rFonts w:cstheme="minorHAnsi"/>
        </w:rPr>
        <w:t xml:space="preserve"> </w:t>
      </w:r>
      <w:r w:rsidR="001B65CE" w:rsidRPr="008D4450">
        <w:rPr>
          <w:rFonts w:ascii="Calibri" w:hAnsi="Calibri" w:cs="Calibri"/>
        </w:rPr>
        <w:t>his children misery, but he even plays an unwitting role in the tragic</w:t>
      </w:r>
      <w:r w:rsidR="001B65CE">
        <w:rPr>
          <w:rFonts w:cstheme="minorHAnsi"/>
        </w:rPr>
        <w:t xml:space="preserve"> </w:t>
      </w:r>
      <w:r w:rsidR="001B65CE" w:rsidRPr="008D4450">
        <w:rPr>
          <w:rFonts w:ascii="Calibri" w:hAnsi="Calibri" w:cs="Calibri"/>
        </w:rPr>
        <w:t>fates they suffer</w:t>
      </w:r>
      <w:r w:rsidR="001B65CE">
        <w:rPr>
          <w:rFonts w:ascii="Calibri" w:hAnsi="Calibri" w:cs="Calibri"/>
        </w:rPr>
        <w:t>.”</w:t>
      </w:r>
      <w:r w:rsidR="001B65CE">
        <w:rPr>
          <w:rStyle w:val="FootnoteReference"/>
          <w:rFonts w:ascii="Calibri" w:hAnsi="Calibri" w:cs="Calibri"/>
        </w:rPr>
        <w:footnoteReference w:id="417"/>
      </w:r>
      <w:r w:rsidR="001B65CE">
        <w:rPr>
          <w:rFonts w:cstheme="minorHAnsi"/>
        </w:rPr>
        <w:t xml:space="preserve"> </w:t>
      </w:r>
      <w:r w:rsidR="0069227F">
        <w:t xml:space="preserve">He </w:t>
      </w:r>
      <w:r w:rsidR="001E4BAC">
        <w:t>d</w:t>
      </w:r>
      <w:r w:rsidR="00E22E31">
        <w:t>oes</w:t>
      </w:r>
      <w:r w:rsidR="0069227F">
        <w:t>n’t know what to do, and Joab want</w:t>
      </w:r>
      <w:r w:rsidR="00E22E31">
        <w:t>s</w:t>
      </w:r>
      <w:r w:rsidR="0069227F">
        <w:t xml:space="preserve"> to get a grip of the situation.</w:t>
      </w:r>
      <w:r w:rsidR="0069227F">
        <w:rPr>
          <w:rStyle w:val="FootnoteReference"/>
        </w:rPr>
        <w:footnoteReference w:id="418"/>
      </w:r>
      <w:r w:rsidR="0069227F">
        <w:t xml:space="preserve"> </w:t>
      </w:r>
      <w:r w:rsidR="007D2206">
        <w:t xml:space="preserve">The narrative </w:t>
      </w:r>
      <w:r w:rsidR="00C931DF">
        <w:t>ha</w:t>
      </w:r>
      <w:r w:rsidR="0069227F">
        <w:t xml:space="preserve">sn’t necessarily </w:t>
      </w:r>
      <w:r w:rsidR="00C931DF">
        <w:t>impl</w:t>
      </w:r>
      <w:r w:rsidR="006D7482">
        <w:t>i</w:t>
      </w:r>
      <w:r w:rsidR="00C931DF">
        <w:t>ed</w:t>
      </w:r>
      <w:r w:rsidR="0069227F">
        <w:t xml:space="preserve"> that Absalom acted outrageously. Given David’s softness, he might seem to have taken proper redress on Amnon.</w:t>
      </w:r>
      <w:r w:rsidR="00B86BBA" w:rsidRPr="00B86BBA">
        <w:t xml:space="preserve"> </w:t>
      </w:r>
      <w:r w:rsidR="00B174D9">
        <w:t xml:space="preserve">Nevertheless, </w:t>
      </w:r>
      <w:r w:rsidR="00B86BBA">
        <w:t>“</w:t>
      </w:r>
      <w:r w:rsidR="00B174D9">
        <w:rPr>
          <w:rFonts w:ascii="Calibri" w:hAnsi="Calibri" w:cs="Calibri"/>
        </w:rPr>
        <w:t>i</w:t>
      </w:r>
      <w:r w:rsidR="00B86BBA" w:rsidRPr="007C074E">
        <w:rPr>
          <w:rFonts w:ascii="Calibri" w:hAnsi="Calibri" w:cs="Calibri"/>
        </w:rPr>
        <w:t>f the death of Bathsheba’s firstborn to</w:t>
      </w:r>
      <w:r w:rsidR="00B86BBA">
        <w:t xml:space="preserve"> </w:t>
      </w:r>
      <w:r w:rsidR="00B86BBA" w:rsidRPr="007C074E">
        <w:rPr>
          <w:rFonts w:ascii="Calibri" w:hAnsi="Calibri" w:cs="Calibri"/>
        </w:rPr>
        <w:t>David began the fulfillment of Nathan’s dark prophecy, the actions</w:t>
      </w:r>
      <w:r w:rsidR="00B86BBA">
        <w:t xml:space="preserve"> </w:t>
      </w:r>
      <w:r w:rsidR="00B86BBA" w:rsidRPr="007C074E">
        <w:rPr>
          <w:rFonts w:ascii="Calibri" w:hAnsi="Calibri" w:cs="Calibri"/>
        </w:rPr>
        <w:t>of Amnon and Absalom brought it to a full flowering that would</w:t>
      </w:r>
      <w:r w:rsidR="00B86BBA">
        <w:t xml:space="preserve"> </w:t>
      </w:r>
      <w:r w:rsidR="00B86BBA" w:rsidRPr="007C074E">
        <w:rPr>
          <w:rFonts w:ascii="Calibri" w:hAnsi="Calibri" w:cs="Calibri"/>
        </w:rPr>
        <w:t>ultimately bear even more bitter fruit in Absalom’s revolt.</w:t>
      </w:r>
      <w:r w:rsidR="00B86BBA">
        <w:rPr>
          <w:rFonts w:ascii="Calibri" w:hAnsi="Calibri" w:cs="Calibri"/>
        </w:rPr>
        <w:t>”</w:t>
      </w:r>
      <w:r w:rsidR="00B86BBA">
        <w:rPr>
          <w:rStyle w:val="FootnoteReference"/>
          <w:rFonts w:ascii="Calibri" w:hAnsi="Calibri" w:cs="Calibri"/>
        </w:rPr>
        <w:footnoteReference w:id="419"/>
      </w:r>
      <w:r w:rsidR="00B86BBA">
        <w:t xml:space="preserve"> </w:t>
      </w:r>
      <w:r w:rsidR="00975DFD">
        <w:t>T</w:t>
      </w:r>
      <w:r w:rsidR="0069227F">
        <w:t xml:space="preserve">he account of his popularity and </w:t>
      </w:r>
      <w:r w:rsidR="00F20156">
        <w:t>further</w:t>
      </w:r>
      <w:r w:rsidR="0069227F">
        <w:t xml:space="preserve"> ruthlessness </w:t>
      </w:r>
      <w:r w:rsidR="004C4726">
        <w:t>(14:</w:t>
      </w:r>
      <w:r w:rsidR="00F20156">
        <w:t>25-33)</w:t>
      </w:r>
      <w:r w:rsidR="0069227F">
        <w:t xml:space="preserve"> especially forms background to what will follow.</w:t>
      </w:r>
      <w:r w:rsidR="002A0D65">
        <w:t xml:space="preserve"> The narrative thus hint</w:t>
      </w:r>
      <w:r w:rsidR="00BF65B4">
        <w:t>s</w:t>
      </w:r>
      <w:r w:rsidR="002A0D65">
        <w:t xml:space="preserve"> that Absalom’s restoration will not be the end of the story, as 11:1 – 12:31 hinted that the death and birth of the two sons would not be the end of its story. </w:t>
      </w:r>
      <w:r w:rsidR="0069227F" w:rsidRPr="00550C14">
        <w:rPr>
          <w:rFonts w:cstheme="minorHAnsi"/>
        </w:rPr>
        <w:t xml:space="preserve">Perhaps even </w:t>
      </w:r>
      <w:r w:rsidR="0069227F">
        <w:rPr>
          <w:rFonts w:cstheme="minorHAnsi"/>
        </w:rPr>
        <w:t>“</w:t>
      </w:r>
      <w:r w:rsidR="0069227F" w:rsidRPr="00550C14">
        <w:rPr>
          <w:rFonts w:cstheme="minorHAnsi"/>
        </w:rPr>
        <w:t xml:space="preserve">David’s failure </w:t>
      </w:r>
      <w:r w:rsidR="0069227F" w:rsidRPr="00550C14">
        <w:rPr>
          <w:rFonts w:cstheme="minorHAnsi"/>
        </w:rPr>
        <w:lastRenderedPageBreak/>
        <w:t>to address the rape of Tamar and his unwillingness</w:t>
      </w:r>
      <w:r w:rsidR="0069227F">
        <w:rPr>
          <w:rFonts w:cstheme="minorHAnsi"/>
        </w:rPr>
        <w:t xml:space="preserve"> </w:t>
      </w:r>
      <w:r w:rsidR="0069227F" w:rsidRPr="00550C14">
        <w:rPr>
          <w:rFonts w:cstheme="minorHAnsi"/>
        </w:rPr>
        <w:t>to acknowledge the justice of Absalom in executing Amnon for</w:t>
      </w:r>
      <w:r w:rsidR="0069227F">
        <w:rPr>
          <w:rFonts w:cstheme="minorHAnsi"/>
        </w:rPr>
        <w:t xml:space="preserve"> </w:t>
      </w:r>
      <w:r w:rsidR="0069227F" w:rsidRPr="00550C14">
        <w:rPr>
          <w:rFonts w:cstheme="minorHAnsi"/>
        </w:rPr>
        <w:t>this crime were the chief factors that pushed Absalom to the point of</w:t>
      </w:r>
      <w:r w:rsidR="0069227F">
        <w:rPr>
          <w:rFonts w:cstheme="minorHAnsi"/>
        </w:rPr>
        <w:t xml:space="preserve"> </w:t>
      </w:r>
      <w:r w:rsidR="0069227F" w:rsidRPr="00550C14">
        <w:rPr>
          <w:rFonts w:cstheme="minorHAnsi"/>
        </w:rPr>
        <w:t>usurping his father’s throne.</w:t>
      </w:r>
      <w:r w:rsidR="0069227F">
        <w:rPr>
          <w:rFonts w:cstheme="minorHAnsi"/>
        </w:rPr>
        <w:t>”</w:t>
      </w:r>
      <w:r w:rsidR="0069227F">
        <w:rPr>
          <w:rStyle w:val="FootnoteReference"/>
          <w:rFonts w:cstheme="minorHAnsi"/>
        </w:rPr>
        <w:footnoteReference w:id="420"/>
      </w:r>
      <w:r w:rsidR="00462240">
        <w:rPr>
          <w:rFonts w:cstheme="minorHAnsi"/>
        </w:rPr>
        <w:t xml:space="preserve"> </w:t>
      </w:r>
      <w:r w:rsidR="00A54955">
        <w:rPr>
          <w:rFonts w:cstheme="minorHAnsi"/>
        </w:rPr>
        <w:t xml:space="preserve">It’s questionable whether Joab was acting in David’s interests or in Israel’s, and whether the woman was being smart </w:t>
      </w:r>
      <w:r w:rsidR="00E60014">
        <w:rPr>
          <w:rFonts w:cstheme="minorHAnsi"/>
        </w:rPr>
        <w:t xml:space="preserve">with </w:t>
      </w:r>
      <w:r w:rsidR="00A54955">
        <w:rPr>
          <w:rFonts w:cstheme="minorHAnsi"/>
        </w:rPr>
        <w:t>Joab</w:t>
      </w:r>
      <w:r w:rsidR="00E60014">
        <w:rPr>
          <w:rFonts w:cstheme="minorHAnsi"/>
        </w:rPr>
        <w:t>’s message, like</w:t>
      </w:r>
      <w:r w:rsidR="00A54955">
        <w:rPr>
          <w:rFonts w:cstheme="minorHAnsi"/>
        </w:rPr>
        <w:t xml:space="preserve"> Nathan.</w:t>
      </w:r>
      <w:r w:rsidR="002C2E33">
        <w:rPr>
          <w:rFonts w:cstheme="minorHAnsi"/>
        </w:rPr>
        <w:t xml:space="preserve"> She/he</w:t>
      </w:r>
      <w:r w:rsidR="00F8107F">
        <w:rPr>
          <w:rFonts w:cstheme="minorHAnsi"/>
        </w:rPr>
        <w:t xml:space="preserve"> says David is acting against the people</w:t>
      </w:r>
      <w:r w:rsidR="002C2E33">
        <w:rPr>
          <w:rFonts w:cstheme="minorHAnsi"/>
        </w:rPr>
        <w:t xml:space="preserve"> and she/</w:t>
      </w:r>
      <w:r w:rsidR="00F8107F">
        <w:rPr>
          <w:rFonts w:cstheme="minorHAnsi"/>
        </w:rPr>
        <w:t xml:space="preserve">he is doing the opposite – </w:t>
      </w:r>
      <w:r w:rsidR="001079E2">
        <w:rPr>
          <w:rFonts w:cstheme="minorHAnsi"/>
        </w:rPr>
        <w:t>and</w:t>
      </w:r>
      <w:r w:rsidR="00F8107F">
        <w:rPr>
          <w:rFonts w:cstheme="minorHAnsi"/>
        </w:rPr>
        <w:t xml:space="preserve"> they </w:t>
      </w:r>
      <w:r w:rsidR="001079E2">
        <w:rPr>
          <w:rFonts w:cstheme="minorHAnsi"/>
        </w:rPr>
        <w:t xml:space="preserve">love Absalom and thus </w:t>
      </w:r>
      <w:r w:rsidR="00F8107F">
        <w:rPr>
          <w:rFonts w:cstheme="minorHAnsi"/>
        </w:rPr>
        <w:t>would agree (14:25-27).</w:t>
      </w:r>
      <w:r w:rsidR="00A54955">
        <w:rPr>
          <w:rFonts w:cstheme="minorHAnsi"/>
        </w:rPr>
        <w:t xml:space="preserve"> </w:t>
      </w:r>
      <w:r w:rsidR="00652916">
        <w:rPr>
          <w:rFonts w:cstheme="minorHAnsi"/>
        </w:rPr>
        <w:t>Joab</w:t>
      </w:r>
      <w:r w:rsidR="00A54955">
        <w:rPr>
          <w:rFonts w:cstheme="minorHAnsi"/>
        </w:rPr>
        <w:t xml:space="preserve"> is always problematic in the way he “serves” David.</w:t>
      </w:r>
      <w:r w:rsidR="00652916">
        <w:rPr>
          <w:rFonts w:cstheme="minorHAnsi"/>
        </w:rPr>
        <w:t xml:space="preserve"> </w:t>
      </w:r>
    </w:p>
    <w:p w14:paraId="188A1A0F" w14:textId="1BE1A551" w:rsidR="00082E7A" w:rsidRPr="00BA4F24" w:rsidRDefault="00082E7A" w:rsidP="00082E7A">
      <w:r>
        <w:t xml:space="preserve">The narrative </w:t>
      </w:r>
      <w:r w:rsidR="00470B5F">
        <w:t xml:space="preserve">goes on to </w:t>
      </w:r>
      <w:r>
        <w:t xml:space="preserve">portray the fulfillment of Nathan’s threat that dire trouble would arise out of his own household, that someone else would bed his wives, and that a sword would be whirling through </w:t>
      </w:r>
      <w:r w:rsidR="00E60014">
        <w:t>hi</w:t>
      </w:r>
      <w:r>
        <w:t xml:space="preserve">s household, </w:t>
      </w:r>
      <w:r w:rsidR="00072662">
        <w:t>for all time</w:t>
      </w:r>
      <w:r>
        <w:t xml:space="preserve"> (</w:t>
      </w:r>
      <w:r>
        <w:rPr>
          <w:i/>
          <w:iCs/>
        </w:rPr>
        <w:t>‘ad-‘</w:t>
      </w:r>
      <w:r>
        <w:rPr>
          <w:rFonts w:cstheme="minorHAnsi"/>
          <w:i/>
          <w:iCs/>
        </w:rPr>
        <w:t>ôlām</w:t>
      </w:r>
      <w:r>
        <w:rPr>
          <w:rFonts w:cstheme="minorHAnsi"/>
        </w:rPr>
        <w:t>; 12:10-11)</w:t>
      </w:r>
      <w:r>
        <w:t xml:space="preserve">. </w:t>
      </w:r>
      <w:r w:rsidR="0073476D">
        <w:t>The story of Tamar and Amnon has not referred to Yahweh’s activity (though the smart woman and David speak of him)</w:t>
      </w:r>
      <w:r w:rsidR="00FE49D6">
        <w:t>; although it</w:t>
      </w:r>
      <w:r w:rsidR="0073476D">
        <w:t xml:space="preserve"> has points of comparison and contrast with 1 Samuel 25, this lack of reference to Yahweh is one of the contrasts (see especially 25:38).</w:t>
      </w:r>
      <w:r w:rsidR="0073476D">
        <w:rPr>
          <w:rStyle w:val="FootnoteReference"/>
        </w:rPr>
        <w:footnoteReference w:id="421"/>
      </w:r>
      <w:r w:rsidR="00FE49D6">
        <w:t xml:space="preserve"> In the chapters that follow, </w:t>
      </w:r>
      <w:r>
        <w:t xml:space="preserve">Yahweh does not need to intervene to make </w:t>
      </w:r>
      <w:r w:rsidR="001A2F85">
        <w:t>things</w:t>
      </w:r>
      <w:r>
        <w:t xml:space="preserve"> happen, as he did to bring Saul to the throne and David to the throne. </w:t>
      </w:r>
      <w:r w:rsidR="001A2F85">
        <w:t>Things</w:t>
      </w:r>
      <w:r>
        <w:t xml:space="preserve"> happen by the natural course of events as human beings (especially Absalom) make their decisions. </w:t>
      </w:r>
      <w:r w:rsidR="00005893">
        <w:rPr>
          <w:rFonts w:ascii="Calibri" w:hAnsi="Calibri" w:cs="Calibri"/>
        </w:rPr>
        <w:t xml:space="preserve">Does trouble regularly </w:t>
      </w:r>
      <w:r w:rsidR="00886969">
        <w:rPr>
          <w:rFonts w:ascii="Calibri" w:hAnsi="Calibri" w:cs="Calibri"/>
        </w:rPr>
        <w:t xml:space="preserve">arise naturally – it is grace </w:t>
      </w:r>
      <w:r w:rsidR="00A60A4D">
        <w:rPr>
          <w:rFonts w:ascii="Calibri" w:hAnsi="Calibri" w:cs="Calibri"/>
        </w:rPr>
        <w:t xml:space="preserve">that </w:t>
      </w:r>
      <w:r w:rsidR="00005893">
        <w:rPr>
          <w:rFonts w:ascii="Calibri" w:hAnsi="Calibri" w:cs="Calibri"/>
        </w:rPr>
        <w:t>need</w:t>
      </w:r>
      <w:r w:rsidR="00A60A4D">
        <w:rPr>
          <w:rFonts w:ascii="Calibri" w:hAnsi="Calibri" w:cs="Calibri"/>
        </w:rPr>
        <w:t>s</w:t>
      </w:r>
      <w:r w:rsidR="00005893">
        <w:rPr>
          <w:rFonts w:ascii="Calibri" w:hAnsi="Calibri" w:cs="Calibri"/>
        </w:rPr>
        <w:t xml:space="preserve"> divine intervention</w:t>
      </w:r>
      <w:r w:rsidR="00A60A4D">
        <w:rPr>
          <w:rFonts w:ascii="Calibri" w:hAnsi="Calibri" w:cs="Calibri"/>
        </w:rPr>
        <w:t>?</w:t>
      </w:r>
    </w:p>
    <w:p w14:paraId="4CF1F4E8" w14:textId="0A732308" w:rsidR="00082E7A" w:rsidRPr="007049D2" w:rsidRDefault="007049D2" w:rsidP="007049D2">
      <w:pPr>
        <w:rPr>
          <w:rFonts w:ascii="Calibri" w:hAnsi="Calibri" w:cs="Calibri"/>
        </w:rPr>
      </w:pPr>
      <w:r>
        <w:rPr>
          <w:rFonts w:ascii="Calibri" w:hAnsi="Calibri" w:cs="Calibri"/>
        </w:rPr>
        <w:t>“</w:t>
      </w:r>
      <w:r w:rsidRPr="00701D80">
        <w:rPr>
          <w:rFonts w:ascii="Calibri" w:hAnsi="Calibri" w:cs="Calibri"/>
        </w:rPr>
        <w:t>David is ultimately decrowned by Absalom</w:t>
      </w:r>
      <w:r>
        <w:rPr>
          <w:rFonts w:ascii="Calibri" w:hAnsi="Calibri" w:cs="Calibri"/>
        </w:rPr>
        <w:t>.” In Samuel as a whole, “</w:t>
      </w:r>
      <w:r w:rsidRPr="00701D80">
        <w:rPr>
          <w:rFonts w:ascii="Calibri" w:hAnsi="Calibri" w:cs="Calibri"/>
        </w:rPr>
        <w:t>as a dialogic hero, David is crowned and decrowned</w:t>
      </w:r>
      <w:r>
        <w:rPr>
          <w:rFonts w:ascii="Calibri" w:hAnsi="Calibri" w:cs="Calibri"/>
        </w:rPr>
        <w:t>.”</w:t>
      </w:r>
      <w:r w:rsidRPr="00701D80">
        <w:rPr>
          <w:rStyle w:val="FootnoteReference"/>
          <w:rFonts w:ascii="Calibri" w:hAnsi="Calibri" w:cs="Calibri"/>
        </w:rPr>
        <w:footnoteReference w:id="422"/>
      </w:r>
      <w:r>
        <w:rPr>
          <w:rFonts w:ascii="Calibri" w:hAnsi="Calibri" w:cs="Calibri"/>
        </w:rPr>
        <w:t xml:space="preserve"> </w:t>
      </w:r>
      <w:r w:rsidR="00082E7A">
        <w:t xml:space="preserve">It is impossible to make coherent sense of </w:t>
      </w:r>
      <w:r w:rsidR="00B71032">
        <w:t>hi</w:t>
      </w:r>
      <w:r w:rsidR="00082E7A">
        <w:t>s successive attitudes after Absalom’s return and then in light of his coup</w:t>
      </w:r>
      <w:r w:rsidR="00450445">
        <w:t>.</w:t>
      </w:r>
      <w:r w:rsidR="00780D31" w:rsidRPr="00780D31">
        <w:rPr>
          <w:rFonts w:cstheme="minorHAnsi"/>
        </w:rPr>
        <w:t xml:space="preserve"> </w:t>
      </w:r>
      <w:r w:rsidR="00082E7A" w:rsidRPr="00780D31">
        <w:rPr>
          <w:rFonts w:cstheme="minorHAnsi"/>
        </w:rPr>
        <w:t>There</w:t>
      </w:r>
      <w:r w:rsidR="00082E7A">
        <w:t xml:space="preserve"> is </w:t>
      </w:r>
      <w:r w:rsidR="008C627E">
        <w:t xml:space="preserve">negligent </w:t>
      </w:r>
      <w:r w:rsidR="004049FF">
        <w:t>administration</w:t>
      </w:r>
      <w:r w:rsidR="00404C70">
        <w:t xml:space="preserve"> of justice</w:t>
      </w:r>
      <w:r w:rsidR="00444F61">
        <w:t xml:space="preserve">, if Absalom’s </w:t>
      </w:r>
      <w:r w:rsidR="00A60164">
        <w:t>insinuations are</w:t>
      </w:r>
      <w:r w:rsidR="003F12BB">
        <w:t xml:space="preserve"> justified</w:t>
      </w:r>
      <w:r w:rsidR="004049FF">
        <w:t xml:space="preserve"> (15:1-6)</w:t>
      </w:r>
      <w:r w:rsidR="003F12BB">
        <w:t>. There is</w:t>
      </w:r>
      <w:r w:rsidR="004049FF">
        <w:t xml:space="preserve"> </w:t>
      </w:r>
      <w:r w:rsidR="00082E7A">
        <w:t xml:space="preserve">careless ingenuousness </w:t>
      </w:r>
      <w:r w:rsidR="00450109">
        <w:t xml:space="preserve">that </w:t>
      </w:r>
      <w:r w:rsidR="00E168D0">
        <w:t>suggest</w:t>
      </w:r>
      <w:r w:rsidR="00450109">
        <w:t>s David is affected by</w:t>
      </w:r>
      <w:r w:rsidR="00E168D0">
        <w:t xml:space="preserve"> </w:t>
      </w:r>
      <w:r w:rsidR="00450445" w:rsidRPr="00780D31">
        <w:rPr>
          <w:rFonts w:cstheme="minorHAnsi"/>
        </w:rPr>
        <w:t>“middle-aged torpor”</w:t>
      </w:r>
      <w:r w:rsidR="00450445">
        <w:rPr>
          <w:rStyle w:val="FootnoteReference"/>
          <w:rFonts w:cstheme="minorHAnsi"/>
        </w:rPr>
        <w:footnoteReference w:id="423"/>
      </w:r>
      <w:r w:rsidR="00450445" w:rsidRPr="00780D31">
        <w:rPr>
          <w:rFonts w:cstheme="minorHAnsi"/>
        </w:rPr>
        <w:t xml:space="preserve"> </w:t>
      </w:r>
      <w:r w:rsidR="008D6E3A">
        <w:rPr>
          <w:rFonts w:cstheme="minorHAnsi"/>
        </w:rPr>
        <w:t xml:space="preserve">when Absalom is taking Yahweh’s name in vain </w:t>
      </w:r>
      <w:r w:rsidR="00082E7A">
        <w:t>(15:</w:t>
      </w:r>
      <w:r w:rsidR="004049FF">
        <w:t>7</w:t>
      </w:r>
      <w:r w:rsidR="00082E7A">
        <w:t>-12)</w:t>
      </w:r>
      <w:r w:rsidR="00A60164">
        <w:t xml:space="preserve">. There is </w:t>
      </w:r>
      <w:r w:rsidR="00082E7A">
        <w:t>panicked disarray</w:t>
      </w:r>
      <w:r w:rsidR="007B49F6">
        <w:t xml:space="preserve"> </w:t>
      </w:r>
      <w:r w:rsidR="00161598">
        <w:t xml:space="preserve">and retreat </w:t>
      </w:r>
      <w:r w:rsidR="007B49F6">
        <w:t>that in</w:t>
      </w:r>
      <w:r w:rsidR="00161598">
        <w:t>volv</w:t>
      </w:r>
      <w:r w:rsidR="007B49F6">
        <w:t xml:space="preserve">es </w:t>
      </w:r>
      <w:r w:rsidR="00852061">
        <w:t xml:space="preserve">David’s </w:t>
      </w:r>
      <w:r w:rsidR="00A52273">
        <w:t>leaving his wives behind for Absalom</w:t>
      </w:r>
      <w:r w:rsidR="007711FA">
        <w:t>, unwisely and coldly</w:t>
      </w:r>
      <w:r w:rsidR="00082E7A">
        <w:t xml:space="preserve"> (15:13-</w:t>
      </w:r>
      <w:r w:rsidR="00DE1E9C">
        <w:t>18</w:t>
      </w:r>
      <w:r w:rsidR="00082E7A">
        <w:t>)</w:t>
      </w:r>
      <w:r w:rsidR="00A60164">
        <w:t xml:space="preserve">. </w:t>
      </w:r>
      <w:r w:rsidR="00C66FA4">
        <w:t xml:space="preserve">There is </w:t>
      </w:r>
      <w:r w:rsidR="00C07638">
        <w:t>generous</w:t>
      </w:r>
      <w:r w:rsidR="00ED4F7B">
        <w:t xml:space="preserve"> </w:t>
      </w:r>
      <w:r w:rsidR="00DE1E9C">
        <w:t>concern for a Gittite (15:19-23)</w:t>
      </w:r>
      <w:r w:rsidR="00C66FA4">
        <w:t>. There is</w:t>
      </w:r>
      <w:r w:rsidR="00DE1E9C">
        <w:t xml:space="preserve"> </w:t>
      </w:r>
      <w:r w:rsidR="00082E7A">
        <w:t xml:space="preserve">tentative hopefulness </w:t>
      </w:r>
      <w:r w:rsidR="00215FD4">
        <w:t xml:space="preserve">in Yahweh </w:t>
      </w:r>
      <w:r w:rsidR="00F366C9">
        <w:t>and</w:t>
      </w:r>
      <w:r w:rsidR="00082E7A">
        <w:t xml:space="preserve"> prayerful calculation</w:t>
      </w:r>
      <w:r w:rsidR="00C82C0F">
        <w:t>, b</w:t>
      </w:r>
      <w:r w:rsidR="00F366C9">
        <w:t>oth</w:t>
      </w:r>
      <w:r w:rsidR="00C82C0F">
        <w:t xml:space="preserve"> hinting that David</w:t>
      </w:r>
      <w:r w:rsidR="00C13E52">
        <w:t xml:space="preserve"> still has something of his</w:t>
      </w:r>
      <w:r w:rsidR="00C82C0F">
        <w:t xml:space="preserve"> </w:t>
      </w:r>
      <w:r w:rsidR="00F366C9">
        <w:t>old trust in Yahweh</w:t>
      </w:r>
      <w:r w:rsidR="00082E7A">
        <w:t xml:space="preserve"> (15:</w:t>
      </w:r>
      <w:r w:rsidR="00F366C9">
        <w:t>24</w:t>
      </w:r>
      <w:r w:rsidR="00082E7A">
        <w:t>-37)</w:t>
      </w:r>
      <w:r w:rsidR="00C66FA4">
        <w:t>. There is</w:t>
      </w:r>
      <w:r w:rsidR="00082E7A">
        <w:t xml:space="preserve"> </w:t>
      </w:r>
      <w:r w:rsidR="00BB5D1F">
        <w:t xml:space="preserve">unquestioning </w:t>
      </w:r>
      <w:r w:rsidR="00082E7A">
        <w:t>credul</w:t>
      </w:r>
      <w:r w:rsidR="00BB5D1F">
        <w:t>ity</w:t>
      </w:r>
      <w:r w:rsidR="00082E7A">
        <w:t xml:space="preserve"> (16:1-4)</w:t>
      </w:r>
      <w:r w:rsidR="00C66FA4">
        <w:t>. There is</w:t>
      </w:r>
      <w:r w:rsidR="00082E7A">
        <w:t xml:space="preserve"> </w:t>
      </w:r>
      <w:r w:rsidR="000367AE">
        <w:t xml:space="preserve">charitable </w:t>
      </w:r>
      <w:r w:rsidR="00082E7A">
        <w:t>forbearance</w:t>
      </w:r>
      <w:r w:rsidR="00605D38">
        <w:t xml:space="preserve"> with someone who</w:t>
      </w:r>
      <w:r w:rsidR="00ED4F7B">
        <w:t xml:space="preserve"> </w:t>
      </w:r>
      <w:r w:rsidR="000904FC">
        <w:t xml:space="preserve">sees him as guilty for the death of </w:t>
      </w:r>
      <w:r w:rsidR="006A4298">
        <w:t>the</w:t>
      </w:r>
      <w:r w:rsidR="008C582F">
        <w:t xml:space="preserve"> various</w:t>
      </w:r>
      <w:r w:rsidR="006A4298">
        <w:t xml:space="preserve"> </w:t>
      </w:r>
      <w:r w:rsidR="000904FC">
        <w:t>members of Saul’s hou</w:t>
      </w:r>
      <w:r w:rsidR="001131BC">
        <w:t xml:space="preserve">sehold </w:t>
      </w:r>
      <w:r w:rsidR="008C582F">
        <w:t xml:space="preserve">who have lost their lives in connection with David’s becoming king </w:t>
      </w:r>
      <w:r w:rsidR="00082E7A">
        <w:t xml:space="preserve">(16:5-14). </w:t>
      </w:r>
    </w:p>
    <w:p w14:paraId="794D4A36" w14:textId="65573E06" w:rsidR="00082E7A" w:rsidRDefault="00082E7A" w:rsidP="00082E7A">
      <w:r>
        <w:t>In contrast, Absalom’s actions</w:t>
      </w:r>
      <w:r w:rsidR="00B646FF">
        <w:t xml:space="preserve"> manifest a coherent but ineffective logic</w:t>
      </w:r>
      <w:r>
        <w:t xml:space="preserve">. </w:t>
      </w:r>
      <w:r w:rsidR="00427978">
        <w:t xml:space="preserve">Things begin with his </w:t>
      </w:r>
      <w:r w:rsidR="00263940">
        <w:t xml:space="preserve">ongoing </w:t>
      </w:r>
      <w:r w:rsidR="007C0451">
        <w:t xml:space="preserve">preparing of the way </w:t>
      </w:r>
      <w:r w:rsidR="00A70EFA">
        <w:t>(15:2-6</w:t>
      </w:r>
      <w:r w:rsidR="006E63E0">
        <w:t>)</w:t>
      </w:r>
      <w:r w:rsidR="00243E6D">
        <w:t>,</w:t>
      </w:r>
      <w:r w:rsidR="006E63E0">
        <w:rPr>
          <w:rStyle w:val="FootnoteReference"/>
        </w:rPr>
        <w:footnoteReference w:id="424"/>
      </w:r>
      <w:r w:rsidR="006E63E0">
        <w:t xml:space="preserve"> </w:t>
      </w:r>
      <w:r w:rsidR="00243E6D">
        <w:t xml:space="preserve">then he asks if he may go to Hebron </w:t>
      </w:r>
      <w:r w:rsidR="00D063A1">
        <w:t xml:space="preserve">to fulfill a vow </w:t>
      </w:r>
      <w:r w:rsidR="00B33690">
        <w:t>(15:7-</w:t>
      </w:r>
      <w:r w:rsidR="003E04A6">
        <w:t xml:space="preserve">12) </w:t>
      </w:r>
      <w:r w:rsidR="00D063A1">
        <w:t xml:space="preserve">– but that </w:t>
      </w:r>
      <w:r w:rsidR="000B3E7D">
        <w:t>rationale is “padding.”</w:t>
      </w:r>
      <w:r w:rsidR="000B3E7D">
        <w:rPr>
          <w:rStyle w:val="FootnoteReference"/>
        </w:rPr>
        <w:footnoteReference w:id="425"/>
      </w:r>
      <w:r w:rsidR="00243E6D">
        <w:t xml:space="preserve"> </w:t>
      </w:r>
      <w:r>
        <w:t>He accepts the</w:t>
      </w:r>
      <w:r w:rsidR="00B646FF">
        <w:t xml:space="preserve"> su</w:t>
      </w:r>
      <w:r>
        <w:t xml:space="preserve">pport of his father’s aide, Hushai, who is actually a spy (16:15-19). He consults a renowned adviser who bids him publicly bed his father’s wives and formulates a smart plan to kill David </w:t>
      </w:r>
      <w:r w:rsidR="00A85E8E">
        <w:t>that gives him</w:t>
      </w:r>
      <w:r w:rsidR="00A90FE9">
        <w:t>self</w:t>
      </w:r>
      <w:r w:rsidR="00A85E8E">
        <w:t xml:space="preserve"> a key role </w:t>
      </w:r>
      <w:r>
        <w:t>(16:20 – 17:4)</w:t>
      </w:r>
      <w:r w:rsidR="00FE181F">
        <w:t>, but</w:t>
      </w:r>
      <w:r w:rsidR="001D04DB">
        <w:t xml:space="preserve"> </w:t>
      </w:r>
      <w:r w:rsidR="00B71032">
        <w:t>f</w:t>
      </w:r>
      <w:r>
        <w:t xml:space="preserve">ollows the bad advice of the aide who </w:t>
      </w:r>
      <w:r w:rsidR="00A85E8E">
        <w:t xml:space="preserve">gives Absalom himself a prominent role </w:t>
      </w:r>
      <w:r w:rsidR="00A90FE9">
        <w:t xml:space="preserve">but </w:t>
      </w:r>
      <w:r>
        <w:t>is secretly still supporting David</w:t>
      </w:r>
      <w:r w:rsidR="00F510BD">
        <w:t xml:space="preserve"> </w:t>
      </w:r>
      <w:r w:rsidR="006B4159">
        <w:t>and</w:t>
      </w:r>
      <w:r w:rsidR="00F510BD">
        <w:t xml:space="preserve"> is a more </w:t>
      </w:r>
      <w:r w:rsidR="00197B77">
        <w:t>skilled persuader</w:t>
      </w:r>
      <w:r w:rsidR="006B4159">
        <w:t xml:space="preserve"> </w:t>
      </w:r>
      <w:r>
        <w:t>(17:5-14).</w:t>
      </w:r>
      <w:r w:rsidR="00B71032">
        <w:rPr>
          <w:rStyle w:val="FootnoteReference"/>
        </w:rPr>
        <w:footnoteReference w:id="426"/>
      </w:r>
      <w:r>
        <w:t xml:space="preserve"> He uncovers an intelligence operation</w:t>
      </w:r>
      <w:r w:rsidR="00B71032">
        <w:t>,</w:t>
      </w:r>
      <w:r>
        <w:t xml:space="preserve"> but fails to silence it and loses impetus, </w:t>
      </w:r>
      <w:r w:rsidR="000D0EB5">
        <w:t>while</w:t>
      </w:r>
      <w:r>
        <w:t xml:space="preserve"> the </w:t>
      </w:r>
      <w:r w:rsidR="003F76D9">
        <w:t>smart</w:t>
      </w:r>
      <w:r>
        <w:t xml:space="preserve"> adviser hangs himself </w:t>
      </w:r>
      <w:r w:rsidR="00652160">
        <w:t>in anticipation of events confirm</w:t>
      </w:r>
      <w:r w:rsidR="003F76D9">
        <w:t>ing</w:t>
      </w:r>
      <w:r w:rsidR="00652160">
        <w:t xml:space="preserve"> the wisdom of his rejected plan </w:t>
      </w:r>
      <w:r>
        <w:t>(17:15-23).</w:t>
      </w:r>
      <w:r w:rsidR="00730070">
        <w:t xml:space="preserve"> </w:t>
      </w:r>
      <w:r w:rsidR="00EE3E6A">
        <w:t>He</w:t>
      </w:r>
      <w:r w:rsidR="00F603EA">
        <w:t xml:space="preserve"> </w:t>
      </w:r>
      <w:r>
        <w:t>leads a huge force in pursuit of David across the Jordan, but loyalists provision David’s company and David regroups (17:24</w:t>
      </w:r>
      <w:r w:rsidR="004F64C2">
        <w:t>-29</w:t>
      </w:r>
      <w:r w:rsidR="00A939EA">
        <w:t xml:space="preserve">). </w:t>
      </w:r>
      <w:r w:rsidR="009F45E1">
        <w:t xml:space="preserve">When David </w:t>
      </w:r>
      <w:r w:rsidR="00A939EA">
        <w:t xml:space="preserve">proposes to lead his forces out </w:t>
      </w:r>
      <w:r w:rsidR="00A939EA">
        <w:lastRenderedPageBreak/>
        <w:t>in battle</w:t>
      </w:r>
      <w:r w:rsidR="00B71032">
        <w:t xml:space="preserve"> and</w:t>
      </w:r>
      <w:r>
        <w:t xml:space="preserve"> </w:t>
      </w:r>
      <w:r w:rsidR="002863B7">
        <w:t>they urge him to leave it to them</w:t>
      </w:r>
      <w:r w:rsidR="00B71032">
        <w:t>,</w:t>
      </w:r>
      <w:r w:rsidR="00D27472">
        <w:t xml:space="preserve"> </w:t>
      </w:r>
      <w:r>
        <w:t xml:space="preserve">David bids his commanders spare Absalom, </w:t>
      </w:r>
      <w:r w:rsidR="00B71032">
        <w:t xml:space="preserve">but </w:t>
      </w:r>
      <w:r>
        <w:t>they take no notice, defeat Absalom’s forces, and kill Absalom himself (18:</w:t>
      </w:r>
      <w:r w:rsidR="00B71032">
        <w:t>1</w:t>
      </w:r>
      <w:r>
        <w:t xml:space="preserve">-15). </w:t>
      </w:r>
      <w:r w:rsidR="00B71032">
        <w:t>He</w:t>
      </w:r>
      <w:r>
        <w:t xml:space="preserve"> had set up a </w:t>
      </w:r>
      <w:r w:rsidR="00A83EC3">
        <w:t>monolith</w:t>
      </w:r>
      <w:r>
        <w:t xml:space="preserve"> for himself near Jerusalem for his burial, but the troops bury him in the forest under a heap of stones (18:16-18).</w:t>
      </w:r>
    </w:p>
    <w:p w14:paraId="2524E2F8" w14:textId="1709B601" w:rsidR="00082E7A" w:rsidRDefault="00082E7A" w:rsidP="00082E7A">
      <w:r>
        <w:t>David still doesn’t know what he</w:t>
      </w:r>
      <w:r w:rsidR="00511EA1">
        <w:t>’</w:t>
      </w:r>
      <w:r>
        <w:t>s doing. He</w:t>
      </w:r>
      <w:r w:rsidR="00511EA1">
        <w:t>’</w:t>
      </w:r>
      <w:r>
        <w:t xml:space="preserve">s so distraught about Absalom that he threatens to demoralize the troops (18:19 – 19:8a [9a]). He gets the Judahites (who had presumably supported Absalom) to conduct him back across the Jordan but sacks Joab in favor of Abner and thereby signs Abner’s death warrant (19:8b-15 [9b-16]). He </w:t>
      </w:r>
      <w:r w:rsidR="00A920B5">
        <w:t>pardons</w:t>
      </w:r>
      <w:r>
        <w:t xml:space="preserve"> Shimei (19:16-23 [17-24</w:t>
      </w:r>
      <w:r w:rsidR="000B2219">
        <w:t>]</w:t>
      </w:r>
      <w:r>
        <w:t xml:space="preserve">), </w:t>
      </w:r>
      <w:r w:rsidR="005D162D">
        <w:t>operating by Prov 26:4-5,</w:t>
      </w:r>
      <w:r w:rsidR="006E7BC8">
        <w:rPr>
          <w:rStyle w:val="FootnoteReference"/>
        </w:rPr>
        <w:footnoteReference w:id="427"/>
      </w:r>
      <w:r w:rsidR="005D162D">
        <w:t xml:space="preserve"> </w:t>
      </w:r>
      <w:r w:rsidR="000B2219">
        <w:t xml:space="preserve">though </w:t>
      </w:r>
      <w:r w:rsidR="00A920B5">
        <w:t>Shimei would be wise to read the small print in the pardon (</w:t>
      </w:r>
      <w:r w:rsidR="00A71A9B">
        <w:t xml:space="preserve">see </w:t>
      </w:r>
      <w:r w:rsidR="00A920B5">
        <w:t xml:space="preserve">1 Kgs </w:t>
      </w:r>
      <w:r w:rsidR="00CD7D58">
        <w:t>2</w:t>
      </w:r>
      <w:r w:rsidR="00A71A9B">
        <w:t>:</w:t>
      </w:r>
      <w:r w:rsidR="00CD7D58">
        <w:t>8-9)</w:t>
      </w:r>
      <w:r w:rsidR="00EC1232">
        <w:t>.</w:t>
      </w:r>
      <w:r w:rsidR="00CD7D58">
        <w:t xml:space="preserve"> </w:t>
      </w:r>
      <w:r w:rsidR="00EC1232">
        <w:t xml:space="preserve">He </w:t>
      </w:r>
      <w:r w:rsidR="00C405F3">
        <w:t xml:space="preserve">throws up his hands </w:t>
      </w:r>
      <w:r w:rsidR="008A5819">
        <w:t>over</w:t>
      </w:r>
      <w:r>
        <w:t xml:space="preserve"> Ziba and Mephibosheth </w:t>
      </w:r>
      <w:r w:rsidR="008240E9">
        <w:t xml:space="preserve">in a way that </w:t>
      </w:r>
      <w:r w:rsidR="008A5819">
        <w:t>has</w:t>
      </w:r>
      <w:r w:rsidR="008240E9">
        <w:t xml:space="preserve"> still not </w:t>
      </w:r>
      <w:r w:rsidR="008A5819">
        <w:t>resolve</w:t>
      </w:r>
      <w:r w:rsidR="00C405F3">
        <w:t>d</w:t>
      </w:r>
      <w:r w:rsidR="008A5819">
        <w:t xml:space="preserve"> the questions about what had actually happened</w:t>
      </w:r>
      <w:r w:rsidR="008240E9">
        <w:t xml:space="preserve"> </w:t>
      </w:r>
      <w:r>
        <w:t xml:space="preserve">(19:24-30 </w:t>
      </w:r>
      <w:r w:rsidR="0002530F">
        <w:t>[</w:t>
      </w:r>
      <w:r>
        <w:t>25-31</w:t>
      </w:r>
      <w:r w:rsidR="0002530F">
        <w:t>]</w:t>
      </w:r>
      <w:r>
        <w:t>)</w:t>
      </w:r>
      <w:r w:rsidR="00473194">
        <w:t>.</w:t>
      </w:r>
      <w:r w:rsidR="00882C56">
        <w:rPr>
          <w:rStyle w:val="FootnoteReference"/>
        </w:rPr>
        <w:footnoteReference w:id="428"/>
      </w:r>
      <w:r w:rsidR="00473194">
        <w:t xml:space="preserve"> He</w:t>
      </w:r>
      <w:r>
        <w:t xml:space="preserve"> expresses his appreciation to Barzillai for his provisions (19:31-40 [32-41)</w:t>
      </w:r>
      <w:r w:rsidR="00E14951">
        <w:t xml:space="preserve"> and</w:t>
      </w:r>
      <w:r>
        <w:t xml:space="preserve"> is then faced with conflict and rivalry between Judah and the northern clans (19:41 [42</w:t>
      </w:r>
      <w:r w:rsidR="000B2219">
        <w:t>]</w:t>
      </w:r>
      <w:r>
        <w:t xml:space="preserve"> – 20:2). He sequesters the wives he had unwittingly surrendered to Absalom</w:t>
      </w:r>
      <w:r w:rsidR="00B71032">
        <w:t>,</w:t>
      </w:r>
      <w:r>
        <w:t xml:space="preserve"> commissions Abner to deal with the northern clans’ rebellion under Shebna</w:t>
      </w:r>
      <w:r w:rsidR="00A12353">
        <w:t>,</w:t>
      </w:r>
      <w:r>
        <w:t xml:space="preserve"> then panics and intervenes in a way that leads to Abner’s death but does issue in Joab </w:t>
      </w:r>
      <w:r w:rsidR="00B71032">
        <w:t>sorting out</w:t>
      </w:r>
      <w:r>
        <w:t xml:space="preserve"> Shebna with the help of another smart woman who doesn’t mind causing some violence (20:</w:t>
      </w:r>
      <w:r w:rsidR="00B71032">
        <w:t>3</w:t>
      </w:r>
      <w:r>
        <w:t>-22</w:t>
      </w:r>
      <w:r w:rsidR="002333F0">
        <w:t>).</w:t>
      </w:r>
    </w:p>
    <w:p w14:paraId="70F8D666" w14:textId="77777777" w:rsidR="00B71032" w:rsidRDefault="003B59CF" w:rsidP="001D6FE0">
      <w:r>
        <w:t>T</w:t>
      </w:r>
      <w:r w:rsidR="003E097F">
        <w:t>he narrative from 13:1 to 20:26</w:t>
      </w:r>
      <w:r>
        <w:t xml:space="preserve"> makes</w:t>
      </w:r>
      <w:r w:rsidR="003E097F">
        <w:t xml:space="preserve"> many references to Yahweh and </w:t>
      </w:r>
      <w:r>
        <w:t xml:space="preserve">includes </w:t>
      </w:r>
      <w:r w:rsidR="003E097F">
        <w:t>many statements that people attribute to Yahweh</w:t>
      </w:r>
      <w:r>
        <w:t>,</w:t>
      </w:r>
      <w:r w:rsidR="003E097F">
        <w:t xml:space="preserve"> but </w:t>
      </w:r>
      <w:r w:rsidR="00270379">
        <w:t xml:space="preserve">in themselves </w:t>
      </w:r>
      <w:r w:rsidR="003E097F">
        <w:t>the chapters’ meaning is “more than usually elusive</w:t>
      </w:r>
      <w:r w:rsidR="00B71032">
        <w:t>.</w:t>
      </w:r>
      <w:r w:rsidR="003E097F">
        <w:t>”</w:t>
      </w:r>
      <w:r w:rsidR="003E097F">
        <w:rPr>
          <w:rStyle w:val="FootnoteReference"/>
        </w:rPr>
        <w:footnoteReference w:id="429"/>
      </w:r>
      <w:r w:rsidR="00270379">
        <w:t xml:space="preserve"> It is on the basis of what precedes that one</w:t>
      </w:r>
      <w:r w:rsidR="00BE4EEC">
        <w:t xml:space="preserve"> </w:t>
      </w:r>
      <w:r w:rsidR="00B71032">
        <w:t xml:space="preserve">can </w:t>
      </w:r>
      <w:r w:rsidR="00BE4EEC">
        <w:t>see t</w:t>
      </w:r>
      <w:r w:rsidR="00731E68">
        <w:rPr>
          <w:rFonts w:ascii="Calibri" w:hAnsi="Calibri" w:cs="Calibri"/>
        </w:rPr>
        <w:t xml:space="preserve">he narrative </w:t>
      </w:r>
      <w:r w:rsidR="00BE4EEC">
        <w:rPr>
          <w:rFonts w:ascii="Calibri" w:hAnsi="Calibri" w:cs="Calibri"/>
        </w:rPr>
        <w:t>as describing how</w:t>
      </w:r>
      <w:r w:rsidR="00731E68">
        <w:rPr>
          <w:rFonts w:ascii="Calibri" w:hAnsi="Calibri" w:cs="Calibri"/>
        </w:rPr>
        <w:t xml:space="preserve"> David pays “the wages of sin.”</w:t>
      </w:r>
      <w:r w:rsidR="00731E68">
        <w:rPr>
          <w:rStyle w:val="FootnoteReference"/>
          <w:rFonts w:ascii="Calibri" w:hAnsi="Calibri" w:cs="Calibri"/>
        </w:rPr>
        <w:footnoteReference w:id="430"/>
      </w:r>
      <w:r w:rsidR="00731E68">
        <w:rPr>
          <w:rFonts w:ascii="Calibri" w:hAnsi="Calibri" w:cs="Calibri"/>
        </w:rPr>
        <w:t xml:space="preserve"> </w:t>
      </w:r>
      <w:r w:rsidR="00BE4EEC">
        <w:rPr>
          <w:rFonts w:ascii="Calibri" w:hAnsi="Calibri" w:cs="Calibri"/>
        </w:rPr>
        <w:t>And</w:t>
      </w:r>
      <w:r w:rsidR="00731E68">
        <w:rPr>
          <w:rFonts w:ascii="Calibri" w:hAnsi="Calibri" w:cs="Calibri"/>
        </w:rPr>
        <w:t xml:space="preserve"> e</w:t>
      </w:r>
      <w:r w:rsidR="00691D47">
        <w:t>verything in th</w:t>
      </w:r>
      <w:r w:rsidR="00EA064B">
        <w:t>e</w:t>
      </w:r>
      <w:r w:rsidR="00691D47">
        <w:t xml:space="preserve"> sorry </w:t>
      </w:r>
      <w:r w:rsidR="00731E68">
        <w:t>story</w:t>
      </w:r>
      <w:r w:rsidR="00691D47">
        <w:t xml:space="preserve"> is humanly explicable. It issues from</w:t>
      </w:r>
      <w:r w:rsidR="003D5E42">
        <w:t xml:space="preserve"> decisions </w:t>
      </w:r>
      <w:r w:rsidR="004412F9">
        <w:t xml:space="preserve">and actions that are intelligible </w:t>
      </w:r>
      <w:r w:rsidR="00F847F4">
        <w:t>in light of who the</w:t>
      </w:r>
      <w:r w:rsidR="004412F9">
        <w:t xml:space="preserve"> people</w:t>
      </w:r>
      <w:r w:rsidR="00F847F4">
        <w:t xml:space="preserve"> are. </w:t>
      </w:r>
    </w:p>
    <w:p w14:paraId="10B512F6" w14:textId="5F671451" w:rsidR="006446CE" w:rsidRPr="001D6FE0" w:rsidRDefault="00F847F4" w:rsidP="001D6FE0">
      <w:pPr>
        <w:rPr>
          <w:rFonts w:ascii="Calibri" w:hAnsi="Calibri" w:cs="Calibri"/>
        </w:rPr>
      </w:pPr>
      <w:r>
        <w:t xml:space="preserve">There is one crucial exception, </w:t>
      </w:r>
      <w:r w:rsidR="00597934">
        <w:t xml:space="preserve">the decision by Absalom and </w:t>
      </w:r>
      <w:r w:rsidR="00C634D8">
        <w:t xml:space="preserve">his forces to follow Hushai’s plan rather than Ahithophel’s. </w:t>
      </w:r>
      <w:r w:rsidR="00961D28">
        <w:t>A</w:t>
      </w:r>
      <w:r w:rsidR="002333F0">
        <w:t>rguab</w:t>
      </w:r>
      <w:r w:rsidR="00961D28">
        <w:t>ly</w:t>
      </w:r>
      <w:r w:rsidR="001B4AA8">
        <w:t>,</w:t>
      </w:r>
      <w:r w:rsidR="00961D28">
        <w:t xml:space="preserve"> the very fact that </w:t>
      </w:r>
      <w:r w:rsidR="00FA2740">
        <w:t>Absalom was asking his s</w:t>
      </w:r>
      <w:r w:rsidR="00637127">
        <w:t>taff for advice is cause for concern. “</w:t>
      </w:r>
      <w:r w:rsidR="00263D00">
        <w:t>A</w:t>
      </w:r>
      <w:r w:rsidR="00DA3890">
        <w:t xml:space="preserve"> plan of A</w:t>
      </w:r>
      <w:r w:rsidR="00263D00">
        <w:t>hithophel’s</w:t>
      </w:r>
      <w:r w:rsidR="00DA3890">
        <w:t xml:space="preserve"> that he gave</w:t>
      </w:r>
      <w:r w:rsidR="00C74821">
        <w:t xml:space="preserve">, in those days, </w:t>
      </w:r>
      <w:r w:rsidR="00411ED4">
        <w:t xml:space="preserve">was </w:t>
      </w:r>
      <w:r w:rsidR="002066FF">
        <w:t>like</w:t>
      </w:r>
      <w:r w:rsidR="00411ED4">
        <w:t xml:space="preserve"> when one would ask </w:t>
      </w:r>
      <w:r w:rsidR="00265D63">
        <w:t xml:space="preserve">for a word of God – so </w:t>
      </w:r>
      <w:r w:rsidR="00250F61">
        <w:t xml:space="preserve">was </w:t>
      </w:r>
      <w:r w:rsidR="004D72F4">
        <w:t>every</w:t>
      </w:r>
      <w:r w:rsidR="00250F61">
        <w:t xml:space="preserve"> plan of Ahithophel both for David and for Absalom</w:t>
      </w:r>
      <w:r w:rsidR="00FC3BAA">
        <w:t xml:space="preserve">” (16:23). </w:t>
      </w:r>
      <w:r w:rsidR="00407E3C">
        <w:t xml:space="preserve">Actually we haven’t </w:t>
      </w:r>
      <w:r w:rsidR="001B4AA8">
        <w:t xml:space="preserve">ever </w:t>
      </w:r>
      <w:r w:rsidR="00407E3C">
        <w:t>heard of David asking for a plan, but we have often he</w:t>
      </w:r>
      <w:r w:rsidR="00FB2DA2">
        <w:t>a</w:t>
      </w:r>
      <w:r w:rsidR="00407E3C">
        <w:t xml:space="preserve">rd of him asking for a </w:t>
      </w:r>
      <w:r w:rsidR="00685CEF">
        <w:t>word from Yahweh (e.g., 2:1; 5:19, 23)</w:t>
      </w:r>
      <w:r w:rsidR="007437B8">
        <w:t xml:space="preserve">, which was </w:t>
      </w:r>
      <w:r w:rsidR="00A20761">
        <w:t>how</w:t>
      </w:r>
      <w:r w:rsidR="007437B8">
        <w:t xml:space="preserve"> to discover the wise thing to do</w:t>
      </w:r>
      <w:r w:rsidR="00685CEF">
        <w:t>.</w:t>
      </w:r>
      <w:r w:rsidR="00C261A9">
        <w:t xml:space="preserve"> There’s been no talk of </w:t>
      </w:r>
      <w:r w:rsidR="00EB0E12">
        <w:t>counsel or counselors before Absalom’s coup</w:t>
      </w:r>
      <w:r w:rsidR="007437B8">
        <w:t>.</w:t>
      </w:r>
      <w:r w:rsidR="00EF52C2">
        <w:t xml:space="preserve"> </w:t>
      </w:r>
      <w:r w:rsidR="00B44561">
        <w:rPr>
          <w:rFonts w:ascii="Calibri" w:hAnsi="Calibri" w:cs="Calibri"/>
        </w:rPr>
        <w:t xml:space="preserve">Sayings such as Prov 20:18 do commend the </w:t>
      </w:r>
      <w:r w:rsidR="001B7402">
        <w:rPr>
          <w:rFonts w:ascii="Calibri" w:hAnsi="Calibri" w:cs="Calibri"/>
        </w:rPr>
        <w:t>taking of counsel</w:t>
      </w:r>
      <w:r w:rsidR="005760CA">
        <w:rPr>
          <w:rFonts w:ascii="Calibri" w:hAnsi="Calibri" w:cs="Calibri"/>
        </w:rPr>
        <w:t>,</w:t>
      </w:r>
      <w:r w:rsidR="001B7402">
        <w:rPr>
          <w:rStyle w:val="FootnoteReference"/>
          <w:rFonts w:ascii="Calibri" w:hAnsi="Calibri" w:cs="Calibri"/>
        </w:rPr>
        <w:footnoteReference w:id="431"/>
      </w:r>
      <w:r w:rsidR="001B7402">
        <w:rPr>
          <w:rFonts w:ascii="Calibri" w:hAnsi="Calibri" w:cs="Calibri"/>
        </w:rPr>
        <w:t xml:space="preserve"> </w:t>
      </w:r>
      <w:r w:rsidR="005760CA">
        <w:rPr>
          <w:rFonts w:ascii="Calibri" w:hAnsi="Calibri" w:cs="Calibri"/>
        </w:rPr>
        <w:t xml:space="preserve">but </w:t>
      </w:r>
      <w:r w:rsidR="008726DB">
        <w:rPr>
          <w:rFonts w:ascii="Calibri" w:hAnsi="Calibri" w:cs="Calibri"/>
        </w:rPr>
        <w:t xml:space="preserve">this narrative </w:t>
      </w:r>
      <w:r w:rsidR="00B71032">
        <w:rPr>
          <w:rFonts w:ascii="Calibri" w:hAnsi="Calibri" w:cs="Calibri"/>
        </w:rPr>
        <w:t>half-implies</w:t>
      </w:r>
      <w:r w:rsidR="008726DB">
        <w:rPr>
          <w:rFonts w:ascii="Calibri" w:hAnsi="Calibri" w:cs="Calibri"/>
        </w:rPr>
        <w:t xml:space="preserve"> that</w:t>
      </w:r>
      <w:r w:rsidR="00EF52C2">
        <w:t xml:space="preserve"> “t</w:t>
      </w:r>
      <w:r w:rsidR="009D42E3" w:rsidRPr="00EF52C2">
        <w:rPr>
          <w:rFonts w:ascii="Calibri" w:hAnsi="Calibri" w:cs="Calibri"/>
        </w:rPr>
        <w:t>he very introduction of the practice of royal counsel, like the introduction of royalty itself,</w:t>
      </w:r>
      <w:r w:rsidR="00EF52C2">
        <w:rPr>
          <w:rFonts w:ascii="Calibri" w:hAnsi="Calibri" w:cs="Calibri"/>
        </w:rPr>
        <w:t xml:space="preserve"> </w:t>
      </w:r>
      <w:r w:rsidR="009D42E3" w:rsidRPr="00EF52C2">
        <w:rPr>
          <w:rFonts w:ascii="Calibri" w:hAnsi="Calibri" w:cs="Calibri"/>
        </w:rPr>
        <w:t>contaminated Israel and turned its</w:t>
      </w:r>
      <w:r w:rsidR="00C275A0" w:rsidRPr="00EF52C2">
        <w:rPr>
          <w:rFonts w:ascii="Calibri" w:hAnsi="Calibri" w:cs="Calibri"/>
        </w:rPr>
        <w:t xml:space="preserve"> Yahwistic spirit into foolishness</w:t>
      </w:r>
      <w:r w:rsidR="00B44561">
        <w:rPr>
          <w:rFonts w:ascii="Calibri" w:hAnsi="Calibri" w:cs="Calibri"/>
        </w:rPr>
        <w:t>.</w:t>
      </w:r>
      <w:r w:rsidR="00EF52C2">
        <w:rPr>
          <w:rFonts w:ascii="Calibri" w:hAnsi="Calibri" w:cs="Calibri"/>
        </w:rPr>
        <w:t>”</w:t>
      </w:r>
      <w:r w:rsidR="00EF52C2">
        <w:rPr>
          <w:rStyle w:val="FootnoteReference"/>
        </w:rPr>
        <w:footnoteReference w:id="432"/>
      </w:r>
      <w:r w:rsidR="00D542AB">
        <w:rPr>
          <w:rFonts w:ascii="Calibri" w:hAnsi="Calibri" w:cs="Calibri"/>
        </w:rPr>
        <w:t xml:space="preserve"> </w:t>
      </w:r>
      <w:r w:rsidR="001D6FE0">
        <w:rPr>
          <w:rFonts w:ascii="Calibri" w:hAnsi="Calibri" w:cs="Calibri"/>
        </w:rPr>
        <w:t>And</w:t>
      </w:r>
      <w:r w:rsidR="002C3998">
        <w:t xml:space="preserve"> </w:t>
      </w:r>
      <w:r w:rsidR="009274FB">
        <w:t xml:space="preserve">only </w:t>
      </w:r>
      <w:r w:rsidR="007409D2">
        <w:t xml:space="preserve">in connection with this one decision </w:t>
      </w:r>
      <w:r w:rsidR="009274FB">
        <w:t>does the narrative report that Yahweh did something</w:t>
      </w:r>
      <w:r w:rsidR="003E16E8">
        <w:t>,</w:t>
      </w:r>
      <w:r w:rsidR="009274FB">
        <w:t xml:space="preserve"> command</w:t>
      </w:r>
      <w:r w:rsidR="003E16E8">
        <w:t>ing</w:t>
      </w:r>
      <w:r w:rsidR="009274FB">
        <w:t xml:space="preserve"> the nullif</w:t>
      </w:r>
      <w:r w:rsidR="003E16E8">
        <w:t>ication</w:t>
      </w:r>
      <w:r w:rsidR="009274FB">
        <w:t xml:space="preserve"> of Ahithophel’s battle advice (17:14). </w:t>
      </w:r>
      <w:r w:rsidR="00F35F3E">
        <w:t>Ahi</w:t>
      </w:r>
      <w:r w:rsidR="002C0102">
        <w:t xml:space="preserve">thophel’s plan was </w:t>
      </w:r>
      <w:r w:rsidR="00003624">
        <w:t>“</w:t>
      </w:r>
      <w:r w:rsidR="002C0102">
        <w:t>good</w:t>
      </w:r>
      <w:r w:rsidR="00A25287">
        <w:t>.</w:t>
      </w:r>
      <w:r w:rsidR="00003624">
        <w:t>”</w:t>
      </w:r>
      <w:r w:rsidR="002C0102">
        <w:t xml:space="preserve"> </w:t>
      </w:r>
      <w:r w:rsidR="008E7C61">
        <w:t xml:space="preserve">Perhaps it was obviously good and </w:t>
      </w:r>
      <w:r w:rsidR="00FA6CFC">
        <w:t>it</w:t>
      </w:r>
      <w:r w:rsidR="008E7C61">
        <w:t xml:space="preserve"> is therefore a mystery why </w:t>
      </w:r>
      <w:r w:rsidR="00FA6CFC">
        <w:t xml:space="preserve">Absalom turned it down, or </w:t>
      </w:r>
      <w:r w:rsidR="007F6C35">
        <w:t xml:space="preserve">perhaps </w:t>
      </w:r>
      <w:r w:rsidR="007F6C35">
        <w:lastRenderedPageBreak/>
        <w:t xml:space="preserve">Hushai had massaged his ego, </w:t>
      </w:r>
      <w:r w:rsidR="00937445">
        <w:t xml:space="preserve">or </w:t>
      </w:r>
      <w:r w:rsidR="00FA6CFC">
        <w:t xml:space="preserve">perhaps </w:t>
      </w:r>
      <w:r w:rsidR="00286E5F">
        <w:t xml:space="preserve">only the way things worked out showed </w:t>
      </w:r>
      <w:r w:rsidR="00937445">
        <w:t>that it</w:t>
      </w:r>
      <w:r w:rsidR="00286E5F">
        <w:t xml:space="preserve"> would have been a good plan.</w:t>
      </w:r>
      <w:r w:rsidR="0097522A">
        <w:t xml:space="preserve"> </w:t>
      </w:r>
      <w:r w:rsidR="00BF4EE6">
        <w:t>With hindsight, at least, rejecting i</w:t>
      </w:r>
      <w:r w:rsidR="00526DE0">
        <w:t xml:space="preserve">t did not make sense, and this mistake </w:t>
      </w:r>
      <w:r w:rsidR="00BF4EE6">
        <w:t>i</w:t>
      </w:r>
      <w:r w:rsidR="00526DE0">
        <w:t xml:space="preserve">s the turning point in the narrative. </w:t>
      </w:r>
      <w:r w:rsidR="00982578">
        <w:t>The making of t</w:t>
      </w:r>
      <w:r w:rsidR="005648C0">
        <w:t xml:space="preserve">his decision </w:t>
      </w:r>
      <w:r w:rsidR="00982578">
        <w:t>i</w:t>
      </w:r>
      <w:r w:rsidR="005648C0">
        <w:t>s the one point when Yahweh intervene</w:t>
      </w:r>
      <w:r w:rsidR="00982578">
        <w:t>s</w:t>
      </w:r>
      <w:r w:rsidR="006446CE">
        <w:t>,</w:t>
      </w:r>
      <w:r w:rsidR="00E943C0">
        <w:t xml:space="preserve"> answering David’s prayer (</w:t>
      </w:r>
      <w:r w:rsidR="00412493">
        <w:t>15:31)</w:t>
      </w:r>
      <w:r w:rsidR="005648C0">
        <w:t xml:space="preserve">. </w:t>
      </w:r>
    </w:p>
    <w:p w14:paraId="260C18C6" w14:textId="43E5A877" w:rsidR="00FD67E9" w:rsidRDefault="00C7477A" w:rsidP="00BE25C7">
      <w:r>
        <w:t xml:space="preserve">Why would Yahweh </w:t>
      </w:r>
      <w:r w:rsidR="00720F4A">
        <w:t>so act in order</w:t>
      </w:r>
      <w:r>
        <w:t xml:space="preserve"> </w:t>
      </w:r>
      <w:r w:rsidR="00BE2B62">
        <w:t xml:space="preserve">to </w:t>
      </w:r>
      <w:r w:rsidR="00960350">
        <w:t xml:space="preserve">deliver David </w:t>
      </w:r>
      <w:r w:rsidR="004348E8">
        <w:t xml:space="preserve">and </w:t>
      </w:r>
      <w:r w:rsidR="00597206">
        <w:t xml:space="preserve">bring a </w:t>
      </w:r>
      <w:r w:rsidR="00960350">
        <w:t>“</w:t>
      </w:r>
      <w:r w:rsidR="00597206">
        <w:t>dire fate</w:t>
      </w:r>
      <w:r w:rsidR="00960350">
        <w:t>”</w:t>
      </w:r>
      <w:r w:rsidR="00597206">
        <w:t xml:space="preserve"> on Absalom</w:t>
      </w:r>
      <w:r w:rsidR="00960350">
        <w:t>, which in light of events likely implies bring</w:t>
      </w:r>
      <w:r w:rsidR="000A1F4B">
        <w:t>ing</w:t>
      </w:r>
      <w:r w:rsidR="00960350">
        <w:t xml:space="preserve"> about his death?</w:t>
      </w:r>
      <w:r w:rsidR="00960350">
        <w:rPr>
          <w:rStyle w:val="FootnoteReference"/>
        </w:rPr>
        <w:footnoteReference w:id="433"/>
      </w:r>
      <w:r w:rsidR="00BE25C7">
        <w:t xml:space="preserve"> </w:t>
      </w:r>
      <w:r w:rsidR="000A1F4B">
        <w:t>Once more, it</w:t>
      </w:r>
      <w:r w:rsidR="007B7303">
        <w:t xml:space="preserve"> was not because David was a better or wiser man than Absalom</w:t>
      </w:r>
      <w:r w:rsidR="0023414C">
        <w:t xml:space="preserve">, any more than he had been a better </w:t>
      </w:r>
      <w:r w:rsidR="00B1498E">
        <w:t xml:space="preserve">or wiser </w:t>
      </w:r>
      <w:r w:rsidR="0023414C">
        <w:t>man than Saul</w:t>
      </w:r>
      <w:r w:rsidR="007B7303">
        <w:t xml:space="preserve">. </w:t>
      </w:r>
      <w:r w:rsidR="00B1498E">
        <w:t>He was simply the man after Yahweh’s heart, the man Yahweh had decided to use.</w:t>
      </w:r>
      <w:r w:rsidR="00FB6B53">
        <w:t xml:space="preserve"> </w:t>
      </w:r>
      <w:r w:rsidR="00DC4FFC">
        <w:t xml:space="preserve">Presumably Yahweh could have chosen to intervene </w:t>
      </w:r>
      <w:r w:rsidR="00FD5682">
        <w:t xml:space="preserve">to stop Absalom’s coup </w:t>
      </w:r>
      <w:r w:rsidR="00FB6B53">
        <w:t xml:space="preserve">at some </w:t>
      </w:r>
      <w:r w:rsidR="00FD5682">
        <w:t>earlier</w:t>
      </w:r>
      <w:r w:rsidR="00FB6B53">
        <w:t xml:space="preserve"> point</w:t>
      </w:r>
      <w:r w:rsidR="00DC4FFC">
        <w:t>, but he ha</w:t>
      </w:r>
      <w:r w:rsidR="000A1F4B">
        <w:t>d</w:t>
      </w:r>
      <w:r w:rsidR="00DC4FFC">
        <w:t xml:space="preserve"> already decided not to do so</w:t>
      </w:r>
      <w:r w:rsidR="00FD5682">
        <w:t xml:space="preserve"> but to let the sword have its way</w:t>
      </w:r>
      <w:r w:rsidR="00DC4FFC">
        <w:t>, and no one urges him to relent</w:t>
      </w:r>
      <w:r w:rsidR="00922B25">
        <w:t xml:space="preserve"> over that decision</w:t>
      </w:r>
      <w:r w:rsidR="00DC4FFC">
        <w:t xml:space="preserve">. He has </w:t>
      </w:r>
      <w:r w:rsidR="00922B25">
        <w:t xml:space="preserve">already </w:t>
      </w:r>
      <w:r w:rsidR="00DC4FFC">
        <w:t xml:space="preserve">concluded that </w:t>
      </w:r>
      <w:r w:rsidR="00DC4FFC">
        <w:rPr>
          <w:rStyle w:val="Emphasis"/>
          <w:rFonts w:ascii="Calibri" w:hAnsi="Calibri" w:cs="Calibri"/>
          <w:i w:val="0"/>
          <w:iCs w:val="0"/>
        </w:rPr>
        <w:t>“s</w:t>
      </w:r>
      <w:r w:rsidR="00DC4FFC" w:rsidRPr="00DF1EC7">
        <w:rPr>
          <w:rStyle w:val="Emphasis"/>
          <w:rFonts w:ascii="Calibri" w:hAnsi="Calibri" w:cs="Calibri"/>
          <w:i w:val="0"/>
          <w:iCs w:val="0"/>
        </w:rPr>
        <w:t>omething is rotten in the state of Denmark</w:t>
      </w:r>
      <w:r w:rsidR="00DC4FFC">
        <w:rPr>
          <w:rStyle w:val="Emphasis"/>
          <w:rFonts w:ascii="Calibri" w:hAnsi="Calibri" w:cs="Calibri"/>
          <w:i w:val="0"/>
          <w:iCs w:val="0"/>
        </w:rPr>
        <w:t>.”</w:t>
      </w:r>
      <w:r w:rsidR="00DC4FFC">
        <w:rPr>
          <w:rStyle w:val="FootnoteReference"/>
          <w:rFonts w:ascii="Calibri" w:hAnsi="Calibri" w:cs="Calibri"/>
        </w:rPr>
        <w:footnoteReference w:id="434"/>
      </w:r>
      <w:r w:rsidR="00DC4FFC">
        <w:rPr>
          <w:rStyle w:val="Emphasis"/>
          <w:rFonts w:ascii="Calibri" w:hAnsi="Calibri" w:cs="Calibri"/>
          <w:i w:val="0"/>
          <w:iCs w:val="0"/>
        </w:rPr>
        <w:t xml:space="preserve"> As had happened with Eli’s priesthood and Saul’s monarchy, and will in due course happen with Ephraim and with Judah, there can come a time when Yahweh says, “That’s it,” and lets events take their natural course. </w:t>
      </w:r>
      <w:r w:rsidR="00DC4FFC">
        <w:t>All Yahweh does is watch.</w:t>
      </w:r>
      <w:r w:rsidR="00796066">
        <w:t xml:space="preserve"> P</w:t>
      </w:r>
      <w:r w:rsidR="00FD67E9">
        <w:t xml:space="preserve">erhaps </w:t>
      </w:r>
      <w:r w:rsidR="006D0869">
        <w:t xml:space="preserve">that fact links with </w:t>
      </w:r>
      <w:r w:rsidR="001C5351">
        <w:t>Samuel’s</w:t>
      </w:r>
      <w:r w:rsidR="006D0869">
        <w:t xml:space="preserve"> holding back from condemning Ahithop</w:t>
      </w:r>
      <w:r w:rsidR="001C5351">
        <w:t>hel for taking his own life, as it did not condemn Saul</w:t>
      </w:r>
      <w:r w:rsidR="00E4028C">
        <w:t>, and nor will the Gospels condemn Judas.</w:t>
      </w:r>
      <w:r w:rsidR="00C935EE">
        <w:t xml:space="preserve"> </w:t>
      </w:r>
      <w:r w:rsidR="00822226">
        <w:t xml:space="preserve">They were acts of self-assertion illustrative of </w:t>
      </w:r>
      <w:r w:rsidR="00576351">
        <w:t xml:space="preserve">regular </w:t>
      </w:r>
      <w:r w:rsidR="00822226">
        <w:t xml:space="preserve">human </w:t>
      </w:r>
      <w:r w:rsidR="00576351">
        <w:t>self-assertion rather than being the acts of distinctively wicked people.</w:t>
      </w:r>
      <w:r w:rsidR="00CF646B">
        <w:rPr>
          <w:rStyle w:val="FootnoteReference"/>
        </w:rPr>
        <w:footnoteReference w:id="435"/>
      </w:r>
      <w:r w:rsidR="00796066">
        <w:t xml:space="preserve"> </w:t>
      </w:r>
    </w:p>
    <w:p w14:paraId="47C69A7C" w14:textId="4538E91F" w:rsidR="00780933" w:rsidRDefault="00780933" w:rsidP="00F30DB1">
      <w:r>
        <w:t xml:space="preserve">A summary of David’s administration, restating an earlier one from happier times (8:15-18), brings </w:t>
      </w:r>
      <w:r w:rsidR="005813D0">
        <w:t xml:space="preserve">2 Samuel 13 – 20 </w:t>
      </w:r>
      <w:r>
        <w:t>to a close (20:23-25).</w:t>
      </w:r>
      <w:r w:rsidR="002A6990">
        <w:t xml:space="preserve"> </w:t>
      </w:r>
    </w:p>
    <w:p w14:paraId="41D2F4BB" w14:textId="2EE4432C" w:rsidR="006E7BC8" w:rsidRDefault="00CA7522" w:rsidP="002F294E">
      <w:pPr>
        <w:pStyle w:val="Heading2"/>
      </w:pPr>
      <w:r>
        <w:t>A Famine and an Epidemic</w:t>
      </w:r>
    </w:p>
    <w:p w14:paraId="49125CBB" w14:textId="51F34BBA" w:rsidR="001D49AD" w:rsidRDefault="00F03560" w:rsidP="00F03560">
      <w:r>
        <w:t>At some point in David’s reign</w:t>
      </w:r>
      <w:r w:rsidR="009618C7">
        <w:t>, the</w:t>
      </w:r>
      <w:r>
        <w:t>re was a</w:t>
      </w:r>
      <w:r w:rsidR="009618C7">
        <w:t xml:space="preserve"> famine</w:t>
      </w:r>
      <w:r w:rsidR="008955E2">
        <w:t xml:space="preserve"> (21:1). </w:t>
      </w:r>
      <w:r w:rsidR="00C60162">
        <w:t>A</w:t>
      </w:r>
      <w:r w:rsidR="00FF0CD1">
        <w:t>c</w:t>
      </w:r>
      <w:r w:rsidR="00C60162">
        <w:t>tually there like</w:t>
      </w:r>
      <w:r w:rsidR="00FF0CD1">
        <w:t xml:space="preserve">ly </w:t>
      </w:r>
      <w:r w:rsidR="00015235">
        <w:t xml:space="preserve">were </w:t>
      </w:r>
      <w:r w:rsidR="00FF0CD1">
        <w:t xml:space="preserve">a number; </w:t>
      </w:r>
      <w:r w:rsidR="005238B9">
        <w:t xml:space="preserve">the vagaries of </w:t>
      </w:r>
      <w:r w:rsidR="00E11FB2">
        <w:t xml:space="preserve">Middle Eastern </w:t>
      </w:r>
      <w:r w:rsidR="005238B9">
        <w:t xml:space="preserve">rainfall mean failure of the harvest from time to time. And </w:t>
      </w:r>
      <w:r w:rsidR="00344C60">
        <w:t>generally the First Testament’s accounts of famine</w:t>
      </w:r>
      <w:r w:rsidR="00AD7E0A">
        <w:t xml:space="preserve"> treat it as</w:t>
      </w:r>
      <w:r w:rsidR="00FE342A">
        <w:t xml:space="preserve"> “just one of those things,” like the </w:t>
      </w:r>
      <w:r w:rsidR="000A1F4B">
        <w:t>famin</w:t>
      </w:r>
      <w:r w:rsidR="00FE342A">
        <w:t xml:space="preserve">es that affected </w:t>
      </w:r>
      <w:r w:rsidR="00EB46A3">
        <w:t xml:space="preserve">the families of </w:t>
      </w:r>
      <w:r w:rsidR="00FE342A">
        <w:t>Abraham</w:t>
      </w:r>
      <w:r w:rsidR="00834ACF">
        <w:t>,</w:t>
      </w:r>
      <w:r w:rsidR="00FE342A">
        <w:t xml:space="preserve"> </w:t>
      </w:r>
      <w:r w:rsidR="00EB46A3">
        <w:t>Isaac</w:t>
      </w:r>
      <w:r w:rsidR="00834ACF">
        <w:t>,</w:t>
      </w:r>
      <w:r w:rsidR="00EB46A3">
        <w:t xml:space="preserve"> Jacob</w:t>
      </w:r>
      <w:r w:rsidR="00834ACF">
        <w:t>,</w:t>
      </w:r>
      <w:r w:rsidR="00EB46A3">
        <w:t xml:space="preserve"> and </w:t>
      </w:r>
      <w:r w:rsidR="00AF373E">
        <w:t xml:space="preserve">Elimelech and </w:t>
      </w:r>
      <w:r w:rsidR="00A134D7">
        <w:t xml:space="preserve">caused them to migrate (Gen </w:t>
      </w:r>
      <w:r w:rsidR="00235338">
        <w:t xml:space="preserve">12:10; </w:t>
      </w:r>
      <w:r w:rsidR="00735AF3">
        <w:t>26:1</w:t>
      </w:r>
      <w:r w:rsidR="00EB46A3">
        <w:t xml:space="preserve">; </w:t>
      </w:r>
      <w:r w:rsidR="00BA46B9">
        <w:t>42:5</w:t>
      </w:r>
      <w:r w:rsidR="0054182B">
        <w:t xml:space="preserve">; </w:t>
      </w:r>
      <w:r w:rsidR="00BF46C4">
        <w:t>Ruth 1:1)</w:t>
      </w:r>
      <w:r w:rsidR="001C0365">
        <w:t xml:space="preserve">. </w:t>
      </w:r>
      <w:r w:rsidR="002462EE">
        <w:t>The</w:t>
      </w:r>
      <w:r w:rsidR="003F64A7">
        <w:t>se stories show that people</w:t>
      </w:r>
      <w:r w:rsidR="002462EE">
        <w:t xml:space="preserve"> do not </w:t>
      </w:r>
      <w:r w:rsidR="00C34586">
        <w:t>take</w:t>
      </w:r>
      <w:r w:rsidR="002462EE">
        <w:t xml:space="preserve"> a famine </w:t>
      </w:r>
      <w:r w:rsidR="00C34586">
        <w:t>a</w:t>
      </w:r>
      <w:r w:rsidR="002462EE">
        <w:t>s a</w:t>
      </w:r>
      <w:r w:rsidR="00EE2405">
        <w:t xml:space="preserve">n indication that God is angry. </w:t>
      </w:r>
      <w:r w:rsidR="001C0365">
        <w:t xml:space="preserve">But </w:t>
      </w:r>
      <w:r w:rsidR="00831C45">
        <w:t>th</w:t>
      </w:r>
      <w:r w:rsidR="00215189">
        <w:t xml:space="preserve">is </w:t>
      </w:r>
      <w:r w:rsidR="00EE2405">
        <w:t>famin</w:t>
      </w:r>
      <w:r w:rsidR="00215189">
        <w:t xml:space="preserve">e goes on for three years, and David </w:t>
      </w:r>
      <w:r w:rsidR="0052341F">
        <w:t xml:space="preserve">therefore </w:t>
      </w:r>
      <w:r w:rsidR="00215189">
        <w:t>asks Yahweh what is going on</w:t>
      </w:r>
      <w:r w:rsidR="007D4435">
        <w:t xml:space="preserve">. </w:t>
      </w:r>
      <w:r w:rsidR="001D49AD">
        <w:t>Literally he “</w:t>
      </w:r>
      <w:r w:rsidR="00A95B23">
        <w:t xml:space="preserve">inquired </w:t>
      </w:r>
      <w:r w:rsidR="00E50B5D">
        <w:t>of Yahweh’s face</w:t>
      </w:r>
      <w:r w:rsidR="002C48DF">
        <w:t>” as one inquires of a king’s face (</w:t>
      </w:r>
      <w:r w:rsidR="0053093B">
        <w:t>1 Kgs 10:24)</w:t>
      </w:r>
      <w:r w:rsidR="00001BD1">
        <w:t xml:space="preserve">; the expression suggests going to the sanctuary rather than </w:t>
      </w:r>
      <w:r w:rsidR="00B743D9">
        <w:t xml:space="preserve">consulting Urim and Thummim. </w:t>
      </w:r>
    </w:p>
    <w:p w14:paraId="270D0157" w14:textId="5301B0B1" w:rsidR="007062BF" w:rsidRDefault="007D4435" w:rsidP="0048732B">
      <w:pPr>
        <w:rPr>
          <w:rFonts w:cstheme="minorHAnsi"/>
        </w:rPr>
      </w:pPr>
      <w:r>
        <w:t xml:space="preserve">The answer is that </w:t>
      </w:r>
      <w:r w:rsidR="000313A2">
        <w:t xml:space="preserve">there is </w:t>
      </w:r>
      <w:r w:rsidR="005A7DC7">
        <w:t>blood</w:t>
      </w:r>
      <w:r w:rsidR="00075583">
        <w:t>shed (</w:t>
      </w:r>
      <w:r w:rsidR="00075583">
        <w:rPr>
          <w:i/>
          <w:iCs/>
        </w:rPr>
        <w:t>d</w:t>
      </w:r>
      <w:r w:rsidR="00075583">
        <w:rPr>
          <w:rFonts w:cstheme="minorHAnsi"/>
          <w:i/>
          <w:iCs/>
        </w:rPr>
        <w:t>āmîm</w:t>
      </w:r>
      <w:r w:rsidR="00075583">
        <w:rPr>
          <w:rFonts w:cstheme="minorHAnsi"/>
        </w:rPr>
        <w:t>, literally “bloods</w:t>
      </w:r>
      <w:r w:rsidR="000313A2">
        <w:rPr>
          <w:rFonts w:cstheme="minorHAnsi"/>
        </w:rPr>
        <w:t>”), “bloodguilt</w:t>
      </w:r>
      <w:r w:rsidR="00E63C7D">
        <w:rPr>
          <w:rFonts w:cstheme="minorHAnsi"/>
        </w:rPr>
        <w:t>,”</w:t>
      </w:r>
      <w:r w:rsidR="000313A2">
        <w:rPr>
          <w:rFonts w:cstheme="minorHAnsi"/>
        </w:rPr>
        <w:t xml:space="preserve"> hanging over </w:t>
      </w:r>
      <w:r w:rsidR="00E63C7D">
        <w:rPr>
          <w:rFonts w:cstheme="minorHAnsi"/>
        </w:rPr>
        <w:t xml:space="preserve">from the reign of Saul. </w:t>
      </w:r>
      <w:r w:rsidR="00BE7B3A">
        <w:rPr>
          <w:rFonts w:cstheme="minorHAnsi"/>
        </w:rPr>
        <w:t>Saul</w:t>
      </w:r>
      <w:r w:rsidR="00E63C7D">
        <w:rPr>
          <w:rFonts w:cstheme="minorHAnsi"/>
        </w:rPr>
        <w:t xml:space="preserve"> had apparently slaughtered some Gibeonites</w:t>
      </w:r>
      <w:r w:rsidR="001E7A9A">
        <w:rPr>
          <w:rFonts w:cstheme="minorHAnsi"/>
        </w:rPr>
        <w:t xml:space="preserve">, breaking </w:t>
      </w:r>
      <w:r w:rsidR="00534A93">
        <w:rPr>
          <w:rFonts w:cstheme="minorHAnsi"/>
        </w:rPr>
        <w:t>the Israelites’</w:t>
      </w:r>
      <w:r w:rsidR="001E7A9A">
        <w:rPr>
          <w:rFonts w:cstheme="minorHAnsi"/>
        </w:rPr>
        <w:t xml:space="preserve"> promise to </w:t>
      </w:r>
      <w:r w:rsidR="00534A93">
        <w:rPr>
          <w:rFonts w:cstheme="minorHAnsi"/>
        </w:rPr>
        <w:t xml:space="preserve">spare them (Josh </w:t>
      </w:r>
      <w:r w:rsidR="005512B7">
        <w:rPr>
          <w:rFonts w:cstheme="minorHAnsi"/>
        </w:rPr>
        <w:t xml:space="preserve">9). </w:t>
      </w:r>
      <w:r w:rsidR="00CE2204">
        <w:rPr>
          <w:rFonts w:cstheme="minorHAnsi"/>
        </w:rPr>
        <w:t xml:space="preserve">David asks the Gibeonites </w:t>
      </w:r>
      <w:r w:rsidR="00316F59">
        <w:rPr>
          <w:rFonts w:cstheme="minorHAnsi"/>
        </w:rPr>
        <w:t>how to put things right</w:t>
      </w:r>
      <w:r w:rsidR="000A1F4B">
        <w:rPr>
          <w:rFonts w:cstheme="minorHAnsi"/>
        </w:rPr>
        <w:t>,</w:t>
      </w:r>
      <w:r w:rsidR="00635A11">
        <w:rPr>
          <w:rFonts w:cstheme="minorHAnsi"/>
        </w:rPr>
        <w:t xml:space="preserve"> </w:t>
      </w:r>
      <w:r w:rsidR="00C466B3">
        <w:rPr>
          <w:rFonts w:cstheme="minorHAnsi"/>
        </w:rPr>
        <w:t xml:space="preserve">how to </w:t>
      </w:r>
      <w:r w:rsidR="002B2908">
        <w:rPr>
          <w:rFonts w:cstheme="minorHAnsi"/>
        </w:rPr>
        <w:t>mak</w:t>
      </w:r>
      <w:r w:rsidR="00C466B3">
        <w:rPr>
          <w:rFonts w:cstheme="minorHAnsi"/>
        </w:rPr>
        <w:t>e</w:t>
      </w:r>
      <w:r w:rsidR="002B2908">
        <w:rPr>
          <w:rFonts w:cstheme="minorHAnsi"/>
        </w:rPr>
        <w:t xml:space="preserve"> expiation (</w:t>
      </w:r>
      <w:r w:rsidR="002B2908">
        <w:rPr>
          <w:rFonts w:cstheme="minorHAnsi"/>
          <w:i/>
          <w:iCs/>
        </w:rPr>
        <w:t>kāpar</w:t>
      </w:r>
      <w:r w:rsidR="002B2908">
        <w:rPr>
          <w:rFonts w:cstheme="minorHAnsi"/>
        </w:rPr>
        <w:t xml:space="preserve"> piel</w:t>
      </w:r>
      <w:r w:rsidR="00436EC2">
        <w:rPr>
          <w:rFonts w:cstheme="minorHAnsi"/>
        </w:rPr>
        <w:t>)</w:t>
      </w:r>
      <w:r w:rsidR="00E510A2">
        <w:rPr>
          <w:rFonts w:cstheme="minorHAnsi"/>
        </w:rPr>
        <w:t>,</w:t>
      </w:r>
      <w:r w:rsidR="00E02D90">
        <w:rPr>
          <w:rFonts w:cstheme="minorHAnsi"/>
        </w:rPr>
        <w:t xml:space="preserve"> the </w:t>
      </w:r>
      <w:r w:rsidR="00E510A2">
        <w:rPr>
          <w:rFonts w:cstheme="minorHAnsi"/>
        </w:rPr>
        <w:t xml:space="preserve">verb’s </w:t>
      </w:r>
      <w:r w:rsidR="00E02D90">
        <w:rPr>
          <w:rFonts w:cstheme="minorHAnsi"/>
        </w:rPr>
        <w:t xml:space="preserve">only occurrence in Samuel. It suggests cleansing or eliminating something that stands as an obstacle between </w:t>
      </w:r>
      <w:r w:rsidR="007E0D87">
        <w:rPr>
          <w:rFonts w:cstheme="minorHAnsi"/>
        </w:rPr>
        <w:t>two parties</w:t>
      </w:r>
      <w:r w:rsidR="00D5755F">
        <w:rPr>
          <w:rFonts w:cstheme="minorHAnsi"/>
        </w:rPr>
        <w:t xml:space="preserve">, </w:t>
      </w:r>
      <w:r w:rsidR="00464C72">
        <w:rPr>
          <w:rFonts w:cstheme="minorHAnsi"/>
        </w:rPr>
        <w:t xml:space="preserve">usually Israel and Yahweh, but </w:t>
      </w:r>
      <w:r w:rsidR="00D5755F">
        <w:rPr>
          <w:rFonts w:cstheme="minorHAnsi"/>
        </w:rPr>
        <w:t>sometimes</w:t>
      </w:r>
      <w:r w:rsidR="00464C72">
        <w:rPr>
          <w:rFonts w:cstheme="minorHAnsi"/>
        </w:rPr>
        <w:t xml:space="preserve"> two human parties (Gen </w:t>
      </w:r>
      <w:r w:rsidR="004E438A">
        <w:rPr>
          <w:rFonts w:cstheme="minorHAnsi"/>
        </w:rPr>
        <w:t>32:20 [21]</w:t>
      </w:r>
      <w:r w:rsidR="00183B59">
        <w:rPr>
          <w:rFonts w:cstheme="minorHAnsi"/>
        </w:rPr>
        <w:t>; Prov 16:14</w:t>
      </w:r>
      <w:r w:rsidR="004E438A">
        <w:rPr>
          <w:rFonts w:cstheme="minorHAnsi"/>
        </w:rPr>
        <w:t xml:space="preserve">), which </w:t>
      </w:r>
      <w:r w:rsidR="00861BAB">
        <w:rPr>
          <w:rFonts w:cstheme="minorHAnsi"/>
        </w:rPr>
        <w:t xml:space="preserve">could </w:t>
      </w:r>
      <w:r w:rsidR="004E438A">
        <w:rPr>
          <w:rFonts w:cstheme="minorHAnsi"/>
        </w:rPr>
        <w:t>make sense here.</w:t>
      </w:r>
      <w:r w:rsidR="00D5755F">
        <w:rPr>
          <w:rFonts w:cstheme="minorHAnsi"/>
        </w:rPr>
        <w:t xml:space="preserve"> </w:t>
      </w:r>
      <w:r w:rsidR="000E23AC">
        <w:rPr>
          <w:rFonts w:cstheme="minorHAnsi"/>
        </w:rPr>
        <w:t>In effect the Gibeonites say they believe in capital punishment</w:t>
      </w:r>
      <w:r w:rsidR="0048732B">
        <w:rPr>
          <w:rFonts w:cstheme="minorHAnsi"/>
        </w:rPr>
        <w:t xml:space="preserve"> (cf. Num 35:30-34).</w:t>
      </w:r>
      <w:r w:rsidR="0048732B">
        <w:rPr>
          <w:rStyle w:val="FootnoteReference"/>
          <w:rFonts w:cstheme="minorHAnsi"/>
        </w:rPr>
        <w:footnoteReference w:id="436"/>
      </w:r>
      <w:r w:rsidR="0048732B">
        <w:rPr>
          <w:rFonts w:cstheme="minorHAnsi"/>
        </w:rPr>
        <w:t xml:space="preserve"> T</w:t>
      </w:r>
      <w:r w:rsidR="000E23AC">
        <w:rPr>
          <w:rFonts w:cstheme="minorHAnsi"/>
        </w:rPr>
        <w:t xml:space="preserve">hey want to see </w:t>
      </w:r>
      <w:r w:rsidR="00AB102E">
        <w:rPr>
          <w:rFonts w:cstheme="minorHAnsi"/>
        </w:rPr>
        <w:t>seven of Saul’s sons killed in compensation for the Gibeonite deaths</w:t>
      </w:r>
      <w:r w:rsidR="00BC66DA">
        <w:rPr>
          <w:rFonts w:cstheme="minorHAnsi"/>
        </w:rPr>
        <w:t xml:space="preserve"> and to level things out</w:t>
      </w:r>
      <w:r w:rsidR="00C80350">
        <w:rPr>
          <w:rFonts w:cstheme="minorHAnsi"/>
        </w:rPr>
        <w:t xml:space="preserve">, on the implicit basis that </w:t>
      </w:r>
      <w:r w:rsidR="001340CA">
        <w:rPr>
          <w:rFonts w:cstheme="minorHAnsi"/>
        </w:rPr>
        <w:t xml:space="preserve">the king’s entire household shares in responsibility for the king’s actions as it shares in the privileges of belonging </w:t>
      </w:r>
      <w:r w:rsidR="001340CA">
        <w:rPr>
          <w:rFonts w:cstheme="minorHAnsi"/>
        </w:rPr>
        <w:lastRenderedPageBreak/>
        <w:t>to his household</w:t>
      </w:r>
      <w:r w:rsidR="00AB102E">
        <w:rPr>
          <w:rFonts w:cstheme="minorHAnsi"/>
        </w:rPr>
        <w:t xml:space="preserve">. </w:t>
      </w:r>
      <w:r w:rsidR="00952506">
        <w:rPr>
          <w:rFonts w:cstheme="minorHAnsi"/>
        </w:rPr>
        <w:t>And/or</w:t>
      </w:r>
      <w:r w:rsidR="00E423D2">
        <w:rPr>
          <w:rFonts w:cstheme="minorHAnsi"/>
        </w:rPr>
        <w:t xml:space="preserve">, execution is the recognized consequence of </w:t>
      </w:r>
      <w:r w:rsidR="00753AC0">
        <w:rPr>
          <w:rFonts w:cstheme="minorHAnsi"/>
        </w:rPr>
        <w:t xml:space="preserve">breaking a solemn pledge, as the </w:t>
      </w:r>
      <w:r w:rsidR="0062501A">
        <w:rPr>
          <w:rFonts w:cstheme="minorHAnsi"/>
        </w:rPr>
        <w:t xml:space="preserve">pledge-making ceremony suggests (Gen </w:t>
      </w:r>
      <w:r w:rsidR="00A25A19">
        <w:rPr>
          <w:rFonts w:cstheme="minorHAnsi"/>
        </w:rPr>
        <w:t>15:10-18; Jer 34:18).</w:t>
      </w:r>
      <w:r w:rsidR="00A25A19">
        <w:rPr>
          <w:rStyle w:val="FootnoteReference"/>
          <w:rFonts w:cstheme="minorHAnsi"/>
        </w:rPr>
        <w:footnoteReference w:id="437"/>
      </w:r>
      <w:r w:rsidR="007062BF">
        <w:rPr>
          <w:rFonts w:cstheme="minorHAnsi"/>
        </w:rPr>
        <w:t xml:space="preserve"> They say they want to execute the men “for Yahweh,” though the narrative says they execute them “before Yahweh” (21:6, 9).</w:t>
      </w:r>
      <w:r w:rsidR="007062BF">
        <w:rPr>
          <w:rStyle w:val="FootnoteReference"/>
          <w:rFonts w:cstheme="minorHAnsi"/>
        </w:rPr>
        <w:footnoteReference w:id="438"/>
      </w:r>
    </w:p>
    <w:p w14:paraId="08A7DB27" w14:textId="5F326497" w:rsidR="00213BD9" w:rsidRDefault="00BC66DA" w:rsidP="00F03560">
      <w:pPr>
        <w:rPr>
          <w:rFonts w:cstheme="minorHAnsi"/>
        </w:rPr>
      </w:pPr>
      <w:r>
        <w:rPr>
          <w:rFonts w:cstheme="minorHAnsi"/>
        </w:rPr>
        <w:t>David agrees</w:t>
      </w:r>
      <w:r w:rsidR="009306E8">
        <w:rPr>
          <w:rFonts w:cstheme="minorHAnsi"/>
        </w:rPr>
        <w:t xml:space="preserve">. </w:t>
      </w:r>
      <w:r w:rsidR="00C94EF7">
        <w:rPr>
          <w:rFonts w:cstheme="minorHAnsi"/>
        </w:rPr>
        <w:t xml:space="preserve">The narrative does not comment on whether he was wise </w:t>
      </w:r>
      <w:r w:rsidR="00791882">
        <w:rPr>
          <w:rFonts w:cstheme="minorHAnsi"/>
        </w:rPr>
        <w:t xml:space="preserve">or </w:t>
      </w:r>
      <w:r w:rsidR="00793F63">
        <w:rPr>
          <w:rFonts w:cstheme="minorHAnsi"/>
        </w:rPr>
        <w:t xml:space="preserve">whether he </w:t>
      </w:r>
      <w:r w:rsidR="00791882">
        <w:rPr>
          <w:rFonts w:cstheme="minorHAnsi"/>
        </w:rPr>
        <w:t>might have gone back for a further consultation with Yahweh;</w:t>
      </w:r>
      <w:r w:rsidR="00C65DB9">
        <w:rPr>
          <w:rStyle w:val="FootnoteReference"/>
          <w:rFonts w:cstheme="minorHAnsi"/>
        </w:rPr>
        <w:footnoteReference w:id="439"/>
      </w:r>
      <w:r w:rsidR="00791882">
        <w:rPr>
          <w:rFonts w:cstheme="minorHAnsi"/>
        </w:rPr>
        <w:t xml:space="preserve"> the story is a little reminiscent (ironically) of the story of Saul and Jonathan</w:t>
      </w:r>
      <w:r w:rsidR="00835594">
        <w:rPr>
          <w:rFonts w:cstheme="minorHAnsi"/>
        </w:rPr>
        <w:t xml:space="preserve"> that almost issued in Jonathan’s death (1 Sam 14)</w:t>
      </w:r>
      <w:r w:rsidR="003C5AEB">
        <w:rPr>
          <w:rFonts w:cstheme="minorHAnsi"/>
        </w:rPr>
        <w:t xml:space="preserve"> and of other unwise promises such as Jephthah’s (Judg </w:t>
      </w:r>
      <w:r w:rsidR="002D575F">
        <w:rPr>
          <w:rFonts w:cstheme="minorHAnsi"/>
        </w:rPr>
        <w:t xml:space="preserve">11). </w:t>
      </w:r>
      <w:r w:rsidR="00005F69">
        <w:rPr>
          <w:rFonts w:cstheme="minorHAnsi"/>
        </w:rPr>
        <w:t xml:space="preserve">But </w:t>
      </w:r>
      <w:r w:rsidR="00793F63">
        <w:rPr>
          <w:rFonts w:cstheme="minorHAnsi"/>
        </w:rPr>
        <w:t xml:space="preserve">perhaps </w:t>
      </w:r>
      <w:r w:rsidR="00DA2782">
        <w:rPr>
          <w:rFonts w:cstheme="minorHAnsi"/>
        </w:rPr>
        <w:t xml:space="preserve">David the powerful king </w:t>
      </w:r>
      <w:r w:rsidR="00793F63">
        <w:rPr>
          <w:rFonts w:cstheme="minorHAnsi"/>
        </w:rPr>
        <w:t>was</w:t>
      </w:r>
      <w:r w:rsidR="00DA2782">
        <w:rPr>
          <w:rFonts w:cstheme="minorHAnsi"/>
        </w:rPr>
        <w:t xml:space="preserve"> right not to </w:t>
      </w:r>
      <w:r w:rsidR="000F1AA4">
        <w:rPr>
          <w:rFonts w:cstheme="minorHAnsi"/>
        </w:rPr>
        <w:t>refuse</w:t>
      </w:r>
      <w:r w:rsidR="00DA2782">
        <w:rPr>
          <w:rFonts w:cstheme="minorHAnsi"/>
        </w:rPr>
        <w:t xml:space="preserve"> redress </w:t>
      </w:r>
      <w:r w:rsidR="000F1AA4">
        <w:rPr>
          <w:rFonts w:cstheme="minorHAnsi"/>
        </w:rPr>
        <w:t>to</w:t>
      </w:r>
      <w:r w:rsidR="00DA2782">
        <w:rPr>
          <w:rFonts w:cstheme="minorHAnsi"/>
        </w:rPr>
        <w:t xml:space="preserve"> </w:t>
      </w:r>
      <w:r w:rsidR="00005F69">
        <w:rPr>
          <w:rFonts w:cstheme="minorHAnsi"/>
        </w:rPr>
        <w:t>people who ha</w:t>
      </w:r>
      <w:r w:rsidR="000F1AA4">
        <w:rPr>
          <w:rFonts w:cstheme="minorHAnsi"/>
        </w:rPr>
        <w:t>d</w:t>
      </w:r>
      <w:r w:rsidR="00005F69">
        <w:rPr>
          <w:rFonts w:cstheme="minorHAnsi"/>
        </w:rPr>
        <w:t xml:space="preserve"> been treated in the way the Gibeonites had been treated</w:t>
      </w:r>
      <w:r w:rsidR="00C62D34">
        <w:rPr>
          <w:rFonts w:cstheme="minorHAnsi"/>
        </w:rPr>
        <w:t>.</w:t>
      </w:r>
      <w:r w:rsidR="00C62D34">
        <w:rPr>
          <w:rStyle w:val="FootnoteReference"/>
          <w:rFonts w:cstheme="minorHAnsi"/>
        </w:rPr>
        <w:footnoteReference w:id="440"/>
      </w:r>
    </w:p>
    <w:p w14:paraId="5B83DBE6" w14:textId="3E389571" w:rsidR="00C86F8D" w:rsidRDefault="00F91B4C" w:rsidP="00C86F8D">
      <w:pPr>
        <w:rPr>
          <w:color w:val="000000"/>
        </w:rPr>
      </w:pPr>
      <w:r>
        <w:rPr>
          <w:rFonts w:cstheme="minorHAnsi"/>
        </w:rPr>
        <w:t>T</w:t>
      </w:r>
      <w:r w:rsidR="004F1133">
        <w:rPr>
          <w:rFonts w:cstheme="minorHAnsi"/>
        </w:rPr>
        <w:t>he story</w:t>
      </w:r>
      <w:r w:rsidR="003639B2">
        <w:rPr>
          <w:rFonts w:cstheme="minorHAnsi"/>
        </w:rPr>
        <w:t xml:space="preserve"> </w:t>
      </w:r>
      <w:r w:rsidR="000B0373">
        <w:rPr>
          <w:rFonts w:cstheme="minorHAnsi"/>
        </w:rPr>
        <w:t>i</w:t>
      </w:r>
      <w:r w:rsidR="003639B2">
        <w:rPr>
          <w:rFonts w:cstheme="minorHAnsi"/>
        </w:rPr>
        <w:t>s</w:t>
      </w:r>
      <w:r w:rsidR="00213BD9">
        <w:rPr>
          <w:rFonts w:cstheme="minorHAnsi"/>
        </w:rPr>
        <w:t xml:space="preserve"> at least as interested in the aftermath. </w:t>
      </w:r>
      <w:r w:rsidR="00DB13BB">
        <w:rPr>
          <w:rFonts w:cstheme="minorHAnsi"/>
        </w:rPr>
        <w:t xml:space="preserve">One of the mothers </w:t>
      </w:r>
      <w:r w:rsidR="00980717">
        <w:rPr>
          <w:rFonts w:cstheme="minorHAnsi"/>
        </w:rPr>
        <w:t xml:space="preserve">of the dead men </w:t>
      </w:r>
      <w:r w:rsidR="00DB13BB">
        <w:rPr>
          <w:rFonts w:cstheme="minorHAnsi"/>
        </w:rPr>
        <w:t xml:space="preserve">is Rizpah, </w:t>
      </w:r>
      <w:r w:rsidR="00614877">
        <w:rPr>
          <w:rFonts w:cstheme="minorHAnsi"/>
        </w:rPr>
        <w:t xml:space="preserve">already </w:t>
      </w:r>
      <w:r w:rsidR="00C44ACE">
        <w:rPr>
          <w:rFonts w:cstheme="minorHAnsi"/>
        </w:rPr>
        <w:t xml:space="preserve">(allegedly) </w:t>
      </w:r>
      <w:r w:rsidR="00614877">
        <w:rPr>
          <w:rFonts w:cstheme="minorHAnsi"/>
        </w:rPr>
        <w:t>the victim of Abner’s poli</w:t>
      </w:r>
      <w:r w:rsidR="00070527">
        <w:rPr>
          <w:rFonts w:cstheme="minorHAnsi"/>
        </w:rPr>
        <w:t>tic</w:t>
      </w:r>
      <w:r w:rsidR="00614877">
        <w:rPr>
          <w:rFonts w:cstheme="minorHAnsi"/>
        </w:rPr>
        <w:t>al sex act</w:t>
      </w:r>
      <w:r w:rsidR="00C44ACE">
        <w:rPr>
          <w:rFonts w:cstheme="minorHAnsi"/>
        </w:rPr>
        <w:t xml:space="preserve"> (3:7)</w:t>
      </w:r>
      <w:r w:rsidR="00650A68">
        <w:rPr>
          <w:rFonts w:cstheme="minorHAnsi"/>
        </w:rPr>
        <w:t>. She</w:t>
      </w:r>
      <w:r w:rsidR="007826E1">
        <w:rPr>
          <w:rFonts w:cstheme="minorHAnsi"/>
        </w:rPr>
        <w:t xml:space="preserve"> </w:t>
      </w:r>
      <w:r w:rsidR="00D935A9">
        <w:rPr>
          <w:rFonts w:cstheme="minorHAnsi"/>
        </w:rPr>
        <w:t>takes action to stop the vultures attacking the bodies of the victim</w:t>
      </w:r>
      <w:r w:rsidR="009422D5">
        <w:rPr>
          <w:rFonts w:cstheme="minorHAnsi"/>
        </w:rPr>
        <w:t>s</w:t>
      </w:r>
      <w:r w:rsidR="00D779E3">
        <w:rPr>
          <w:rFonts w:cstheme="minorHAnsi"/>
        </w:rPr>
        <w:t>, so that in due course they can be properly buried and find their rest</w:t>
      </w:r>
      <w:r w:rsidR="009422D5">
        <w:rPr>
          <w:rFonts w:cstheme="minorHAnsi"/>
        </w:rPr>
        <w:t xml:space="preserve">. </w:t>
      </w:r>
      <w:r w:rsidR="00DD5140">
        <w:rPr>
          <w:rFonts w:cstheme="minorHAnsi"/>
        </w:rPr>
        <w:t xml:space="preserve">While David is the person who has all the political and judicial power in this situation, </w:t>
      </w:r>
      <w:r w:rsidR="00A63B8B">
        <w:rPr>
          <w:rFonts w:cstheme="minorHAnsi"/>
        </w:rPr>
        <w:t xml:space="preserve">as the mother of some of these young men, Rizpah has </w:t>
      </w:r>
      <w:r w:rsidR="001338F1">
        <w:rPr>
          <w:rFonts w:cstheme="minorHAnsi"/>
        </w:rPr>
        <w:t xml:space="preserve">some </w:t>
      </w:r>
      <w:r w:rsidR="00A63B8B">
        <w:rPr>
          <w:rFonts w:cstheme="minorHAnsi"/>
        </w:rPr>
        <w:t>moral power.</w:t>
      </w:r>
      <w:r w:rsidR="001338F1">
        <w:rPr>
          <w:rStyle w:val="FootnoteReference"/>
          <w:rFonts w:cstheme="minorHAnsi"/>
        </w:rPr>
        <w:footnoteReference w:id="441"/>
      </w:r>
      <w:r w:rsidR="003F4566">
        <w:rPr>
          <w:rFonts w:cstheme="minorHAnsi"/>
        </w:rPr>
        <w:t xml:space="preserve"> </w:t>
      </w:r>
      <w:r w:rsidR="00D43A9B">
        <w:rPr>
          <w:rFonts w:cstheme="minorHAnsi"/>
        </w:rPr>
        <w:t>“</w:t>
      </w:r>
      <w:r w:rsidR="00770A04" w:rsidRPr="00FD1112">
        <w:rPr>
          <w:rFonts w:cstheme="minorHAnsi"/>
        </w:rPr>
        <w:t>Emotionally and dramatically, Rizpah commands the center of this</w:t>
      </w:r>
      <w:r w:rsidR="00D43A9B">
        <w:rPr>
          <w:rFonts w:cstheme="minorHAnsi"/>
        </w:rPr>
        <w:t xml:space="preserve"> </w:t>
      </w:r>
      <w:r w:rsidR="00770A04" w:rsidRPr="00FD1112">
        <w:rPr>
          <w:rFonts w:cstheme="minorHAnsi"/>
        </w:rPr>
        <w:t>story</w:t>
      </w:r>
      <w:r w:rsidR="00A016C9">
        <w:rPr>
          <w:rFonts w:cstheme="minorHAnsi"/>
        </w:rPr>
        <w:t xml:space="preserve"> . . . .</w:t>
      </w:r>
      <w:r w:rsidR="007E37D3">
        <w:rPr>
          <w:rFonts w:cstheme="minorHAnsi"/>
        </w:rPr>
        <w:t xml:space="preserve"> </w:t>
      </w:r>
      <w:r w:rsidR="007E37D3" w:rsidRPr="007E37D3">
        <w:rPr>
          <w:rFonts w:ascii="Calibri" w:hAnsi="Calibri" w:cs="Calibri"/>
        </w:rPr>
        <w:t>Her defiance of convention sets her</w:t>
      </w:r>
      <w:r w:rsidR="007E37D3">
        <w:rPr>
          <w:rFonts w:ascii="Calibri" w:hAnsi="Calibri" w:cs="Calibri"/>
        </w:rPr>
        <w:t xml:space="preserve"> </w:t>
      </w:r>
      <w:r w:rsidR="007E37D3" w:rsidRPr="007E37D3">
        <w:rPr>
          <w:rFonts w:ascii="Calibri" w:hAnsi="Calibri" w:cs="Calibri"/>
        </w:rPr>
        <w:t>apart from and above the world in which she suffers.</w:t>
      </w:r>
      <w:r w:rsidR="00D43A9B" w:rsidRPr="007E37D3">
        <w:rPr>
          <w:rFonts w:ascii="Calibri" w:hAnsi="Calibri" w:cs="Calibri"/>
        </w:rPr>
        <w:t>”</w:t>
      </w:r>
      <w:r w:rsidR="00D43A9B" w:rsidRPr="007E37D3">
        <w:rPr>
          <w:rStyle w:val="FootnoteReference"/>
          <w:rFonts w:ascii="Calibri" w:hAnsi="Calibri" w:cs="Calibri"/>
        </w:rPr>
        <w:footnoteReference w:id="442"/>
      </w:r>
      <w:r w:rsidR="003F4566">
        <w:rPr>
          <w:rFonts w:cstheme="minorHAnsi"/>
        </w:rPr>
        <w:t xml:space="preserve"> </w:t>
      </w:r>
      <w:r w:rsidR="00D93D1D">
        <w:rPr>
          <w:color w:val="000000"/>
        </w:rPr>
        <w:t>“</w:t>
      </w:r>
      <w:r w:rsidR="00D93D1D" w:rsidRPr="00C86F8D">
        <w:rPr>
          <w:rFonts w:ascii="Calibri" w:hAnsi="Calibri" w:cs="Calibri"/>
        </w:rPr>
        <w:t>Although Rizpah’s protest, unlike Antigone’s, is silent, it is not without its</w:t>
      </w:r>
      <w:r w:rsidR="00D93D1D">
        <w:rPr>
          <w:color w:val="000000"/>
        </w:rPr>
        <w:t xml:space="preserve"> </w:t>
      </w:r>
      <w:r w:rsidR="00D93D1D" w:rsidRPr="00C86F8D">
        <w:rPr>
          <w:rFonts w:ascii="Calibri" w:hAnsi="Calibri" w:cs="Calibri"/>
        </w:rPr>
        <w:t>own literary</w:t>
      </w:r>
      <w:r w:rsidR="00D93D1D">
        <w:rPr>
          <w:rFonts w:ascii="Calibri" w:hAnsi="Calibri" w:cs="Calibri"/>
        </w:rPr>
        <w:t xml:space="preserve"> </w:t>
      </w:r>
      <w:r w:rsidR="00D93D1D" w:rsidRPr="00C86F8D">
        <w:rPr>
          <w:rFonts w:ascii="Calibri" w:hAnsi="Calibri" w:cs="Calibri"/>
        </w:rPr>
        <w:t>eloquence</w:t>
      </w:r>
      <w:r w:rsidR="00D93D1D">
        <w:rPr>
          <w:rFonts w:ascii="Calibri" w:hAnsi="Calibri" w:cs="Calibri"/>
        </w:rPr>
        <w:t xml:space="preserve"> </w:t>
      </w:r>
      <w:r w:rsidR="00D93D1D" w:rsidRPr="00C86F8D">
        <w:rPr>
          <w:rFonts w:ascii="Calibri" w:hAnsi="Calibri" w:cs="Calibri"/>
        </w:rPr>
        <w:t xml:space="preserve">. </w:t>
      </w:r>
      <w:r w:rsidR="00D93D1D">
        <w:rPr>
          <w:rFonts w:ascii="Calibri" w:hAnsi="Calibri" w:cs="Calibri"/>
        </w:rPr>
        <w:t>. . .</w:t>
      </w:r>
      <w:r w:rsidR="00D93D1D" w:rsidRPr="00C86F8D">
        <w:rPr>
          <w:rFonts w:ascii="Calibri" w:hAnsi="Calibri" w:cs="Calibri"/>
        </w:rPr>
        <w:t xml:space="preserve"> impassioned pleas and angry outbursts</w:t>
      </w:r>
      <w:r w:rsidR="00D93D1D">
        <w:rPr>
          <w:color w:val="000000"/>
        </w:rPr>
        <w:t xml:space="preserve"> </w:t>
      </w:r>
      <w:r w:rsidR="00D93D1D" w:rsidRPr="00C86F8D">
        <w:rPr>
          <w:rFonts w:ascii="Calibri" w:hAnsi="Calibri" w:cs="Calibri"/>
        </w:rPr>
        <w:t>would lessen the impact of the story and detract our attention from the act itself.</w:t>
      </w:r>
      <w:r w:rsidR="00D93D1D">
        <w:rPr>
          <w:color w:val="000000"/>
        </w:rPr>
        <w:t xml:space="preserve"> </w:t>
      </w:r>
      <w:r w:rsidR="00D93D1D" w:rsidRPr="00C86F8D">
        <w:rPr>
          <w:rFonts w:ascii="Calibri" w:hAnsi="Calibri" w:cs="Calibri"/>
        </w:rPr>
        <w:t>Silence gives Rizpah a preternatural magnitude and underscores the gravity of the</w:t>
      </w:r>
      <w:r w:rsidR="00D93D1D">
        <w:rPr>
          <w:color w:val="000000"/>
        </w:rPr>
        <w:t xml:space="preserve"> </w:t>
      </w:r>
      <w:r w:rsidR="00D93D1D" w:rsidRPr="00C86F8D">
        <w:rPr>
          <w:rFonts w:ascii="Calibri" w:hAnsi="Calibri" w:cs="Calibri"/>
        </w:rPr>
        <w:t>ritual she performs.</w:t>
      </w:r>
      <w:r w:rsidR="00C73B76">
        <w:rPr>
          <w:rFonts w:ascii="Calibri" w:hAnsi="Calibri" w:cs="Calibri"/>
        </w:rPr>
        <w:t>”</w:t>
      </w:r>
      <w:r w:rsidR="00D93D1D" w:rsidRPr="00C86F8D">
        <w:rPr>
          <w:rStyle w:val="FootnoteReference"/>
          <w:rFonts w:ascii="Calibri" w:hAnsi="Calibri" w:cs="Calibri"/>
        </w:rPr>
        <w:footnoteReference w:id="443"/>
      </w:r>
      <w:r w:rsidR="00C73B76">
        <w:rPr>
          <w:color w:val="000000"/>
        </w:rPr>
        <w:t xml:space="preserve"> </w:t>
      </w:r>
      <w:r w:rsidR="00C73B76">
        <w:rPr>
          <w:rFonts w:cstheme="minorHAnsi"/>
        </w:rPr>
        <w:t>H</w:t>
      </w:r>
      <w:r w:rsidR="009422D5">
        <w:rPr>
          <w:rFonts w:cstheme="minorHAnsi"/>
        </w:rPr>
        <w:t xml:space="preserve">er action leads David </w:t>
      </w:r>
      <w:r w:rsidR="00EB5EEE">
        <w:rPr>
          <w:rFonts w:cstheme="minorHAnsi"/>
        </w:rPr>
        <w:t xml:space="preserve">not only </w:t>
      </w:r>
      <w:r w:rsidR="009422D5">
        <w:rPr>
          <w:rFonts w:cstheme="minorHAnsi"/>
        </w:rPr>
        <w:t xml:space="preserve">to collect up </w:t>
      </w:r>
      <w:r w:rsidR="00EB5EEE">
        <w:rPr>
          <w:rFonts w:cstheme="minorHAnsi"/>
        </w:rPr>
        <w:t>the</w:t>
      </w:r>
      <w:r w:rsidR="000A1F4B">
        <w:rPr>
          <w:rFonts w:cstheme="minorHAnsi"/>
        </w:rPr>
        <w:t xml:space="preserve"> men’s</w:t>
      </w:r>
      <w:r w:rsidR="00EB5EEE">
        <w:rPr>
          <w:rFonts w:cstheme="minorHAnsi"/>
        </w:rPr>
        <w:t xml:space="preserve"> remains but to fetch the remains of Saul and Jonathan from Jabesh-gilead</w:t>
      </w:r>
      <w:r w:rsidR="00982EF8">
        <w:rPr>
          <w:rFonts w:cstheme="minorHAnsi"/>
        </w:rPr>
        <w:t xml:space="preserve"> and bury them all in Saul’s family tomb.</w:t>
      </w:r>
      <w:r w:rsidR="000B7BAC">
        <w:rPr>
          <w:rFonts w:cstheme="minorHAnsi"/>
        </w:rPr>
        <w:t xml:space="preserve"> And </w:t>
      </w:r>
      <w:r w:rsidR="0065774A">
        <w:rPr>
          <w:rFonts w:cstheme="minorHAnsi"/>
        </w:rPr>
        <w:t xml:space="preserve">it is after </w:t>
      </w:r>
      <w:r w:rsidR="00C73B76">
        <w:rPr>
          <w:rFonts w:cstheme="minorHAnsi"/>
        </w:rPr>
        <w:t>she</w:t>
      </w:r>
      <w:r w:rsidR="0065774A">
        <w:rPr>
          <w:rFonts w:cstheme="minorHAnsi"/>
        </w:rPr>
        <w:t xml:space="preserve"> has taken her action and inspired David </w:t>
      </w:r>
      <w:r w:rsidR="00952EAA">
        <w:rPr>
          <w:rFonts w:cstheme="minorHAnsi"/>
        </w:rPr>
        <w:t>to</w:t>
      </w:r>
      <w:r w:rsidR="0065774A">
        <w:rPr>
          <w:rFonts w:cstheme="minorHAnsi"/>
        </w:rPr>
        <w:t xml:space="preserve"> take his action (not </w:t>
      </w:r>
      <w:r w:rsidR="000A1F4B">
        <w:rPr>
          <w:rFonts w:cstheme="minorHAnsi"/>
        </w:rPr>
        <w:t xml:space="preserve">just </w:t>
      </w:r>
      <w:r w:rsidR="0065774A">
        <w:rPr>
          <w:rFonts w:cstheme="minorHAnsi"/>
        </w:rPr>
        <w:t xml:space="preserve">after the executions) that </w:t>
      </w:r>
      <w:r w:rsidR="000B7BAC">
        <w:rPr>
          <w:rFonts w:cstheme="minorHAnsi"/>
        </w:rPr>
        <w:t xml:space="preserve">“God </w:t>
      </w:r>
      <w:r w:rsidR="00C618B7">
        <w:rPr>
          <w:rFonts w:cstheme="minorHAnsi"/>
        </w:rPr>
        <w:t>l</w:t>
      </w:r>
      <w:r w:rsidR="000B7BAC">
        <w:rPr>
          <w:rFonts w:cstheme="minorHAnsi"/>
        </w:rPr>
        <w:t xml:space="preserve">et himself be </w:t>
      </w:r>
      <w:r w:rsidR="00F67ACA">
        <w:rPr>
          <w:rFonts w:cstheme="minorHAnsi"/>
        </w:rPr>
        <w:t>petitioned (‘</w:t>
      </w:r>
      <w:r w:rsidR="00F67ACA" w:rsidRPr="00F67ACA">
        <w:rPr>
          <w:rFonts w:cstheme="minorHAnsi"/>
          <w:i/>
          <w:iCs/>
        </w:rPr>
        <w:t>ātar</w:t>
      </w:r>
      <w:r w:rsidR="00F67ACA">
        <w:rPr>
          <w:rFonts w:cstheme="minorHAnsi"/>
        </w:rPr>
        <w:t xml:space="preserve"> </w:t>
      </w:r>
      <w:r w:rsidR="00F67ACA" w:rsidRPr="00F67ACA">
        <w:rPr>
          <w:rFonts w:cstheme="minorHAnsi"/>
        </w:rPr>
        <w:t>nipha</w:t>
      </w:r>
      <w:r w:rsidR="00F67ACA">
        <w:rPr>
          <w:rFonts w:cstheme="minorHAnsi"/>
        </w:rPr>
        <w:t>l)</w:t>
      </w:r>
      <w:r w:rsidR="00C618B7">
        <w:rPr>
          <w:rFonts w:cstheme="minorHAnsi"/>
        </w:rPr>
        <w:t xml:space="preserve"> </w:t>
      </w:r>
      <w:r w:rsidR="0023350A">
        <w:rPr>
          <w:rFonts w:cstheme="minorHAnsi"/>
        </w:rPr>
        <w:t xml:space="preserve">for the country” </w:t>
      </w:r>
      <w:r w:rsidR="00C618B7">
        <w:rPr>
          <w:rFonts w:cstheme="minorHAnsi"/>
        </w:rPr>
        <w:t>in connection with the famine (21:14).</w:t>
      </w:r>
      <w:r w:rsidR="00F23C68">
        <w:rPr>
          <w:rStyle w:val="FootnoteReference"/>
          <w:rFonts w:cstheme="minorHAnsi"/>
        </w:rPr>
        <w:footnoteReference w:id="444"/>
      </w:r>
      <w:r w:rsidR="00FC7731">
        <w:rPr>
          <w:rFonts w:cstheme="minorHAnsi"/>
        </w:rPr>
        <w:t xml:space="preserve"> </w:t>
      </w:r>
      <w:r w:rsidR="00C65832">
        <w:rPr>
          <w:rFonts w:cstheme="minorHAnsi"/>
        </w:rPr>
        <w:t xml:space="preserve">Thus </w:t>
      </w:r>
      <w:r w:rsidR="00FC7731">
        <w:rPr>
          <w:rFonts w:cstheme="minorHAnsi"/>
        </w:rPr>
        <w:t>“</w:t>
      </w:r>
      <w:r w:rsidR="00FC7731" w:rsidRPr="00FC7731">
        <w:rPr>
          <w:rFonts w:cstheme="minorHAnsi"/>
        </w:rPr>
        <w:t>Second Samuel 21:1-14 brings to a close the chain of tragic events</w:t>
      </w:r>
      <w:r w:rsidR="00FC7731">
        <w:rPr>
          <w:rFonts w:cstheme="minorHAnsi"/>
        </w:rPr>
        <w:t xml:space="preserve"> </w:t>
      </w:r>
      <w:r w:rsidR="00FC7731" w:rsidRPr="00FC7731">
        <w:rPr>
          <w:rFonts w:cstheme="minorHAnsi"/>
        </w:rPr>
        <w:t>which has beset the house of Saul.</w:t>
      </w:r>
      <w:r w:rsidR="00FC7731">
        <w:rPr>
          <w:rFonts w:cstheme="minorHAnsi"/>
        </w:rPr>
        <w:t>”</w:t>
      </w:r>
      <w:r w:rsidR="00FC7731">
        <w:rPr>
          <w:rStyle w:val="FootnoteReference"/>
          <w:rFonts w:cstheme="minorHAnsi"/>
        </w:rPr>
        <w:footnoteReference w:id="445"/>
      </w:r>
      <w:r w:rsidR="00CA3F8C">
        <w:rPr>
          <w:rFonts w:cstheme="minorHAnsi"/>
        </w:rPr>
        <w:t xml:space="preserve"> </w:t>
      </w:r>
      <w:r w:rsidR="00152FAE" w:rsidRPr="00D03620">
        <w:rPr>
          <w:color w:val="000000"/>
        </w:rPr>
        <w:t xml:space="preserve">The story has </w:t>
      </w:r>
      <w:r w:rsidR="00D03620" w:rsidRPr="00D03620">
        <w:rPr>
          <w:color w:val="000000"/>
        </w:rPr>
        <w:t>“</w:t>
      </w:r>
      <w:r w:rsidR="00152FAE" w:rsidRPr="00D03620">
        <w:rPr>
          <w:color w:val="000000"/>
        </w:rPr>
        <w:t>brought to a conclusion the contorted relationship between David and Saul</w:t>
      </w:r>
      <w:r w:rsidR="00D03620" w:rsidRPr="00D03620">
        <w:rPr>
          <w:color w:val="000000"/>
        </w:rPr>
        <w:t>.”</w:t>
      </w:r>
      <w:r w:rsidR="0013057C">
        <w:rPr>
          <w:rStyle w:val="FootnoteReference"/>
          <w:color w:val="000000"/>
        </w:rPr>
        <w:footnoteReference w:id="446"/>
      </w:r>
    </w:p>
    <w:p w14:paraId="7626D31F" w14:textId="0980F309" w:rsidR="00DD1C33" w:rsidRPr="00DD1C33" w:rsidRDefault="008B5128" w:rsidP="004D22A2">
      <w:pPr>
        <w:rPr>
          <w:rFonts w:cstheme="minorHAnsi"/>
        </w:rPr>
      </w:pPr>
      <w:r>
        <w:rPr>
          <w:rFonts w:cstheme="minorHAnsi"/>
        </w:rPr>
        <w:t>Finally in Samuel</w:t>
      </w:r>
      <w:r w:rsidR="00552884">
        <w:rPr>
          <w:rFonts w:cstheme="minorHAnsi"/>
        </w:rPr>
        <w:t>,</w:t>
      </w:r>
      <w:r>
        <w:rPr>
          <w:rFonts w:cstheme="minorHAnsi"/>
        </w:rPr>
        <w:t xml:space="preserve"> there </w:t>
      </w:r>
      <w:r w:rsidR="001D5CE6">
        <w:rPr>
          <w:rFonts w:cstheme="minorHAnsi"/>
        </w:rPr>
        <w:t>i</w:t>
      </w:r>
      <w:r>
        <w:rPr>
          <w:rFonts w:cstheme="minorHAnsi"/>
        </w:rPr>
        <w:t xml:space="preserve">s another famine. </w:t>
      </w:r>
      <w:r w:rsidR="00CD49AA">
        <w:rPr>
          <w:rFonts w:cstheme="minorHAnsi"/>
        </w:rPr>
        <w:t xml:space="preserve">“Yahweh’s </w:t>
      </w:r>
      <w:r w:rsidR="00B60050">
        <w:rPr>
          <w:rFonts w:cstheme="minorHAnsi"/>
        </w:rPr>
        <w:t xml:space="preserve">anger again flared </w:t>
      </w:r>
      <w:r w:rsidR="00BF0EEB">
        <w:rPr>
          <w:rFonts w:cstheme="minorHAnsi"/>
        </w:rPr>
        <w:t>against Israel</w:t>
      </w:r>
      <w:r w:rsidR="00EE3FBB">
        <w:rPr>
          <w:rFonts w:cstheme="minorHAnsi"/>
        </w:rPr>
        <w:t xml:space="preserve"> </w:t>
      </w:r>
      <w:r w:rsidR="00465800">
        <w:rPr>
          <w:rFonts w:cstheme="minorHAnsi"/>
        </w:rPr>
        <w:t xml:space="preserve">and he </w:t>
      </w:r>
      <w:r w:rsidR="009156A3">
        <w:rPr>
          <w:rFonts w:cstheme="minorHAnsi"/>
        </w:rPr>
        <w:t>incited Da</w:t>
      </w:r>
      <w:r w:rsidR="00985EE8">
        <w:rPr>
          <w:rFonts w:cstheme="minorHAnsi"/>
        </w:rPr>
        <w:t>v</w:t>
      </w:r>
      <w:r w:rsidR="009156A3">
        <w:rPr>
          <w:rFonts w:cstheme="minorHAnsi"/>
        </w:rPr>
        <w:t>id against them</w:t>
      </w:r>
      <w:r w:rsidR="00985EE8">
        <w:rPr>
          <w:rFonts w:cstheme="minorHAnsi"/>
        </w:rPr>
        <w:t>: ‘Go count Israel and Judah</w:t>
      </w:r>
      <w:r w:rsidR="00DD1A99">
        <w:rPr>
          <w:rFonts w:cstheme="minorHAnsi"/>
        </w:rPr>
        <w:t xml:space="preserve">’” (24:1). </w:t>
      </w:r>
      <w:r w:rsidR="003D66CE">
        <w:rPr>
          <w:rFonts w:cstheme="minorHAnsi"/>
        </w:rPr>
        <w:t xml:space="preserve">If the famine was Saul’s fault, this </w:t>
      </w:r>
      <w:r w:rsidR="005D7D9F">
        <w:rPr>
          <w:rFonts w:cstheme="minorHAnsi"/>
        </w:rPr>
        <w:t>one</w:t>
      </w:r>
      <w:r w:rsidR="003D66CE">
        <w:rPr>
          <w:rFonts w:cstheme="minorHAnsi"/>
        </w:rPr>
        <w:t xml:space="preserve"> is David’s, but </w:t>
      </w:r>
      <w:r w:rsidR="00937138">
        <w:rPr>
          <w:rFonts w:cstheme="minorHAnsi"/>
        </w:rPr>
        <w:t>Yahweh is angry with Israel as a whole</w:t>
      </w:r>
      <w:r w:rsidR="003D66CE">
        <w:rPr>
          <w:rFonts w:cstheme="minorHAnsi"/>
        </w:rPr>
        <w:t>.</w:t>
      </w:r>
      <w:r w:rsidR="005D7D9F">
        <w:rPr>
          <w:rFonts w:cstheme="minorHAnsi"/>
        </w:rPr>
        <w:t xml:space="preserve"> Although</w:t>
      </w:r>
      <w:r w:rsidR="00937138">
        <w:rPr>
          <w:rFonts w:cstheme="minorHAnsi"/>
        </w:rPr>
        <w:t xml:space="preserve"> it is David who makes the mistake of commissioning the census, it is the people who are already destined to be Yahweh’s victims.</w:t>
      </w:r>
      <w:r w:rsidR="00937138">
        <w:rPr>
          <w:rStyle w:val="FootnoteReference"/>
          <w:rFonts w:ascii="Calibri" w:eastAsia="Times-Roman" w:hAnsi="Calibri" w:cs="Calibri"/>
        </w:rPr>
        <w:footnoteReference w:id="447"/>
      </w:r>
      <w:r w:rsidR="00937138">
        <w:rPr>
          <w:rFonts w:cstheme="minorHAnsi"/>
        </w:rPr>
        <w:t xml:space="preserve"> </w:t>
      </w:r>
      <w:r w:rsidR="003C2231">
        <w:rPr>
          <w:rFonts w:cstheme="minorHAnsi"/>
        </w:rPr>
        <w:t xml:space="preserve">Perhaps there was a reason, as on the previous occasion </w:t>
      </w:r>
      <w:r w:rsidR="008277E1">
        <w:rPr>
          <w:rFonts w:cstheme="minorHAnsi"/>
        </w:rPr>
        <w:t xml:space="preserve">when Yahweh’s anger flared </w:t>
      </w:r>
      <w:r w:rsidR="003C2231">
        <w:rPr>
          <w:rFonts w:cstheme="minorHAnsi"/>
        </w:rPr>
        <w:t xml:space="preserve">(6:7), </w:t>
      </w:r>
      <w:r w:rsidR="004974D2">
        <w:rPr>
          <w:rFonts w:cstheme="minorHAnsi"/>
        </w:rPr>
        <w:t xml:space="preserve">and on the occasion of the </w:t>
      </w:r>
      <w:r w:rsidR="003D3AEB">
        <w:rPr>
          <w:rFonts w:cstheme="minorHAnsi"/>
        </w:rPr>
        <w:t>previous famine (21:1</w:t>
      </w:r>
      <w:r w:rsidR="00081FB2">
        <w:rPr>
          <w:rFonts w:cstheme="minorHAnsi"/>
        </w:rPr>
        <w:t>)</w:t>
      </w:r>
      <w:r w:rsidR="008C33C9">
        <w:rPr>
          <w:rFonts w:cstheme="minorHAnsi"/>
        </w:rPr>
        <w:t xml:space="preserve">, though </w:t>
      </w:r>
      <w:r w:rsidR="00E8639B">
        <w:rPr>
          <w:rFonts w:cstheme="minorHAnsi"/>
        </w:rPr>
        <w:t>that story did not refer to Yahweh being angry</w:t>
      </w:r>
      <w:r w:rsidR="0087753F">
        <w:rPr>
          <w:rFonts w:cstheme="minorHAnsi"/>
        </w:rPr>
        <w:t xml:space="preserve">. </w:t>
      </w:r>
      <w:r w:rsidR="00F87634">
        <w:rPr>
          <w:rFonts w:cstheme="minorHAnsi"/>
        </w:rPr>
        <w:t xml:space="preserve">Perhaps the event was even more mysterious than that previous occasion (cf. the great wrath in 2 Kgs 3:27). </w:t>
      </w:r>
      <w:r w:rsidR="00465CDE">
        <w:rPr>
          <w:rFonts w:cstheme="minorHAnsi"/>
        </w:rPr>
        <w:t>“I don’t know</w:t>
      </w:r>
      <w:r w:rsidR="00E41EE1">
        <w:rPr>
          <w:rFonts w:cstheme="minorHAnsi"/>
        </w:rPr>
        <w:t xml:space="preserve"> </w:t>
      </w:r>
      <w:r w:rsidR="00532822">
        <w:rPr>
          <w:rFonts w:cstheme="minorHAnsi"/>
        </w:rPr>
        <w:lastRenderedPageBreak/>
        <w:t>why,” says Rashi.</w:t>
      </w:r>
      <w:r w:rsidR="00532822">
        <w:rPr>
          <w:rStyle w:val="FootnoteReference"/>
          <w:rFonts w:cstheme="minorHAnsi"/>
        </w:rPr>
        <w:footnoteReference w:id="448"/>
      </w:r>
      <w:r w:rsidR="00B70EB9">
        <w:rPr>
          <w:rFonts w:cstheme="minorHAnsi"/>
        </w:rPr>
        <w:t xml:space="preserve"> </w:t>
      </w:r>
      <w:r w:rsidR="00175B63">
        <w:rPr>
          <w:rFonts w:cstheme="minorHAnsi"/>
        </w:rPr>
        <w:t>If there was a reason, Samuel doesn’t reveal it (</w:t>
      </w:r>
      <w:r w:rsidR="00724B0D">
        <w:rPr>
          <w:rFonts w:cstheme="minorHAnsi"/>
        </w:rPr>
        <w:t xml:space="preserve">once again, </w:t>
      </w:r>
      <w:r w:rsidR="00175B63">
        <w:rPr>
          <w:rFonts w:cstheme="minorHAnsi"/>
        </w:rPr>
        <w:t>who says narrators are omniscient?).</w:t>
      </w:r>
      <w:r w:rsidR="00E01FBF">
        <w:rPr>
          <w:rFonts w:cstheme="minorHAnsi"/>
        </w:rPr>
        <w:t xml:space="preserve"> </w:t>
      </w:r>
      <w:r w:rsidR="00DD1C33">
        <w:rPr>
          <w:rFonts w:cstheme="minorHAnsi"/>
        </w:rPr>
        <w:t>“</w:t>
      </w:r>
      <w:r w:rsidR="00DD1C33" w:rsidRPr="00DD1C33">
        <w:rPr>
          <w:rFonts w:cstheme="minorHAnsi"/>
        </w:rPr>
        <w:t>Honest readers of the Bible spend much of</w:t>
      </w:r>
      <w:r w:rsidR="00DD1C33">
        <w:rPr>
          <w:rFonts w:cstheme="minorHAnsi"/>
        </w:rPr>
        <w:t xml:space="preserve"> </w:t>
      </w:r>
      <w:r w:rsidR="00DD1C33" w:rsidRPr="00DD1C33">
        <w:rPr>
          <w:rFonts w:cstheme="minorHAnsi"/>
        </w:rPr>
        <w:t>their time scratching their heads</w:t>
      </w:r>
      <w:r w:rsidR="00DD1C33">
        <w:rPr>
          <w:rFonts w:cstheme="minorHAnsi"/>
        </w:rPr>
        <w:t>” and need to be content to stay that way</w:t>
      </w:r>
      <w:r w:rsidR="007E09BB">
        <w:rPr>
          <w:rFonts w:cstheme="minorHAnsi"/>
        </w:rPr>
        <w:t xml:space="preserve"> rather than inventing </w:t>
      </w:r>
      <w:r w:rsidR="00B02DC7">
        <w:rPr>
          <w:rFonts w:cstheme="minorHAnsi"/>
        </w:rPr>
        <w:t>answers to their questions.</w:t>
      </w:r>
      <w:r w:rsidR="00B02DC7">
        <w:rPr>
          <w:rStyle w:val="FootnoteReference"/>
          <w:rFonts w:cstheme="minorHAnsi"/>
        </w:rPr>
        <w:footnoteReference w:id="449"/>
      </w:r>
      <w:r w:rsidR="00B154CF">
        <w:rPr>
          <w:rFonts w:cstheme="minorHAnsi"/>
        </w:rPr>
        <w:t xml:space="preserve"> Or perhaps the anger followed on the census, as 1 Chronicles 21 infers. </w:t>
      </w:r>
    </w:p>
    <w:p w14:paraId="770A5BC3" w14:textId="67E45731" w:rsidR="001B2D73" w:rsidRDefault="000F3EB3" w:rsidP="007C6E34">
      <w:pPr>
        <w:rPr>
          <w:rFonts w:cstheme="minorHAnsi"/>
        </w:rPr>
      </w:pPr>
      <w:r>
        <w:rPr>
          <w:rFonts w:cstheme="minorHAnsi"/>
        </w:rPr>
        <w:t xml:space="preserve">David himself has already </w:t>
      </w:r>
      <w:r w:rsidR="00175B63">
        <w:rPr>
          <w:rFonts w:cstheme="minorHAnsi"/>
        </w:rPr>
        <w:t>spoken</w:t>
      </w:r>
      <w:r>
        <w:rPr>
          <w:rFonts w:cstheme="minorHAnsi"/>
        </w:rPr>
        <w:t xml:space="preserve"> of Yahweh “inciting” someone</w:t>
      </w:r>
      <w:r w:rsidR="00230C2D">
        <w:rPr>
          <w:rFonts w:cstheme="minorHAnsi"/>
        </w:rPr>
        <w:t xml:space="preserve"> (</w:t>
      </w:r>
      <w:r w:rsidR="00230C2D">
        <w:rPr>
          <w:rFonts w:cstheme="minorHAnsi"/>
          <w:i/>
          <w:iCs/>
        </w:rPr>
        <w:t xml:space="preserve">sût </w:t>
      </w:r>
      <w:r w:rsidR="00230C2D">
        <w:rPr>
          <w:rFonts w:cstheme="minorHAnsi"/>
        </w:rPr>
        <w:t xml:space="preserve">hiphil) – on the earlier occasion, of Yahweh inciting Saul to </w:t>
      </w:r>
      <w:r w:rsidR="00D90872">
        <w:rPr>
          <w:rFonts w:cstheme="minorHAnsi"/>
        </w:rPr>
        <w:t xml:space="preserve">pursue </w:t>
      </w:r>
      <w:r w:rsidR="009A1776">
        <w:rPr>
          <w:rFonts w:cstheme="minorHAnsi"/>
        </w:rPr>
        <w:t>him</w:t>
      </w:r>
      <w:r w:rsidR="00E122AD">
        <w:rPr>
          <w:rFonts w:cstheme="minorHAnsi"/>
        </w:rPr>
        <w:t xml:space="preserve"> (1 Sam 26:19). </w:t>
      </w:r>
      <w:r w:rsidR="009A1776">
        <w:rPr>
          <w:rFonts w:cstheme="minorHAnsi"/>
        </w:rPr>
        <w:t>I</w:t>
      </w:r>
      <w:r w:rsidR="004C3350">
        <w:rPr>
          <w:rFonts w:cstheme="minorHAnsi"/>
        </w:rPr>
        <w:t xml:space="preserve">nciting suggests </w:t>
      </w:r>
      <w:r w:rsidR="00267EFD">
        <w:rPr>
          <w:rFonts w:cstheme="minorHAnsi"/>
        </w:rPr>
        <w:t>put</w:t>
      </w:r>
      <w:r w:rsidR="00CC572E">
        <w:rPr>
          <w:rFonts w:cstheme="minorHAnsi"/>
        </w:rPr>
        <w:t>ting</w:t>
      </w:r>
      <w:r w:rsidR="00267EFD">
        <w:rPr>
          <w:rFonts w:cstheme="minorHAnsi"/>
        </w:rPr>
        <w:t xml:space="preserve"> i</w:t>
      </w:r>
      <w:r w:rsidR="00396209">
        <w:rPr>
          <w:rFonts w:cstheme="minorHAnsi"/>
        </w:rPr>
        <w:t>nto someone else’s head</w:t>
      </w:r>
      <w:r w:rsidR="00267EFD">
        <w:rPr>
          <w:rFonts w:cstheme="minorHAnsi"/>
        </w:rPr>
        <w:t xml:space="preserve"> the idea </w:t>
      </w:r>
      <w:r w:rsidR="005721AF">
        <w:rPr>
          <w:rFonts w:cstheme="minorHAnsi"/>
        </w:rPr>
        <w:t xml:space="preserve">of </w:t>
      </w:r>
      <w:r w:rsidR="00267EFD">
        <w:rPr>
          <w:rFonts w:cstheme="minorHAnsi"/>
        </w:rPr>
        <w:t>do</w:t>
      </w:r>
      <w:r w:rsidR="005721AF">
        <w:rPr>
          <w:rFonts w:cstheme="minorHAnsi"/>
        </w:rPr>
        <w:t>ing</w:t>
      </w:r>
      <w:r w:rsidR="00267EFD">
        <w:rPr>
          <w:rFonts w:cstheme="minorHAnsi"/>
        </w:rPr>
        <w:t xml:space="preserve"> something </w:t>
      </w:r>
      <w:r w:rsidR="00242400">
        <w:rPr>
          <w:rFonts w:cstheme="minorHAnsi"/>
        </w:rPr>
        <w:t xml:space="preserve">that is </w:t>
      </w:r>
      <w:r w:rsidR="00414A34">
        <w:rPr>
          <w:rFonts w:cstheme="minorHAnsi"/>
        </w:rPr>
        <w:t xml:space="preserve">at least surprising and quite likely </w:t>
      </w:r>
      <w:r w:rsidR="009675C1">
        <w:rPr>
          <w:rFonts w:cstheme="minorHAnsi"/>
        </w:rPr>
        <w:t>dire in some wa</w:t>
      </w:r>
      <w:r w:rsidR="005D7D9F">
        <w:rPr>
          <w:rFonts w:cstheme="minorHAnsi"/>
        </w:rPr>
        <w:t>y</w:t>
      </w:r>
      <w:r w:rsidR="00424131">
        <w:rPr>
          <w:rFonts w:cstheme="minorHAnsi"/>
        </w:rPr>
        <w:t xml:space="preserve"> (e.g., Deut 13:6 [7]; Josh 15:18; 1 Kgs 21:25; 2 Kgs 18:32; Jer 38:22). </w:t>
      </w:r>
      <w:r w:rsidR="00CC572E">
        <w:rPr>
          <w:rFonts w:cstheme="minorHAnsi"/>
        </w:rPr>
        <w:t xml:space="preserve">Elsewhere </w:t>
      </w:r>
      <w:r w:rsidR="008E1A30">
        <w:rPr>
          <w:rFonts w:cstheme="minorHAnsi"/>
        </w:rPr>
        <w:t>Yahweh s</w:t>
      </w:r>
      <w:r w:rsidR="005F6054">
        <w:rPr>
          <w:rFonts w:cstheme="minorHAnsi"/>
        </w:rPr>
        <w:t>peaks of</w:t>
      </w:r>
      <w:r w:rsidR="008E1A30">
        <w:rPr>
          <w:rFonts w:cstheme="minorHAnsi"/>
        </w:rPr>
        <w:t xml:space="preserve"> </w:t>
      </w:r>
      <w:r w:rsidR="00654E80">
        <w:rPr>
          <w:rFonts w:cstheme="minorHAnsi"/>
        </w:rPr>
        <w:t>an adversary (</w:t>
      </w:r>
      <w:r w:rsidR="007977C3">
        <w:rPr>
          <w:rFonts w:cstheme="minorHAnsi"/>
        </w:rPr>
        <w:t xml:space="preserve">a </w:t>
      </w:r>
      <w:r w:rsidR="00654E80">
        <w:rPr>
          <w:rFonts w:cstheme="minorHAnsi"/>
          <w:i/>
          <w:iCs/>
        </w:rPr>
        <w:t>śāṭā</w:t>
      </w:r>
      <w:r w:rsidR="007977C3">
        <w:rPr>
          <w:rFonts w:cstheme="minorHAnsi"/>
          <w:i/>
          <w:iCs/>
        </w:rPr>
        <w:t>n</w:t>
      </w:r>
      <w:r w:rsidR="007977C3">
        <w:rPr>
          <w:rFonts w:cstheme="minorHAnsi"/>
        </w:rPr>
        <w:t>) incit</w:t>
      </w:r>
      <w:r w:rsidR="00A96AE0">
        <w:rPr>
          <w:rFonts w:cstheme="minorHAnsi"/>
        </w:rPr>
        <w:t>ing</w:t>
      </w:r>
      <w:r w:rsidR="007977C3">
        <w:rPr>
          <w:rFonts w:cstheme="minorHAnsi"/>
        </w:rPr>
        <w:t xml:space="preserve"> him to </w:t>
      </w:r>
      <w:r w:rsidR="00277CCE">
        <w:rPr>
          <w:rFonts w:cstheme="minorHAnsi"/>
        </w:rPr>
        <w:t xml:space="preserve">send trouble to Job </w:t>
      </w:r>
      <w:r w:rsidR="00874DA9">
        <w:rPr>
          <w:rFonts w:cstheme="minorHAnsi"/>
        </w:rPr>
        <w:t xml:space="preserve">for no reason </w:t>
      </w:r>
      <w:r w:rsidR="00277CCE">
        <w:rPr>
          <w:rFonts w:cstheme="minorHAnsi"/>
        </w:rPr>
        <w:t>(</w:t>
      </w:r>
      <w:r w:rsidR="00874DA9">
        <w:rPr>
          <w:rFonts w:cstheme="minorHAnsi"/>
        </w:rPr>
        <w:t xml:space="preserve">2:3), and 1 Chr 21:1 sees </w:t>
      </w:r>
      <w:r w:rsidR="000615F5">
        <w:rPr>
          <w:rFonts w:cstheme="minorHAnsi"/>
        </w:rPr>
        <w:t xml:space="preserve">such an adversary </w:t>
      </w:r>
      <w:r w:rsidR="008B0D64">
        <w:rPr>
          <w:rFonts w:cstheme="minorHAnsi"/>
        </w:rPr>
        <w:t xml:space="preserve">behind </w:t>
      </w:r>
      <w:r w:rsidR="003943A9">
        <w:rPr>
          <w:rFonts w:cstheme="minorHAnsi"/>
        </w:rPr>
        <w:t>the inciting of</w:t>
      </w:r>
      <w:r w:rsidR="008B0D64">
        <w:rPr>
          <w:rFonts w:cstheme="minorHAnsi"/>
        </w:rPr>
        <w:t xml:space="preserve"> David.</w:t>
      </w:r>
      <w:r w:rsidR="002A1AAC">
        <w:rPr>
          <w:rFonts w:cstheme="minorHAnsi"/>
        </w:rPr>
        <w:t xml:space="preserve"> </w:t>
      </w:r>
      <w:r w:rsidR="007C6E34">
        <w:rPr>
          <w:rFonts w:cstheme="minorHAnsi"/>
        </w:rPr>
        <w:t>“</w:t>
      </w:r>
      <w:r w:rsidR="007C6E34" w:rsidRPr="007C6E34">
        <w:rPr>
          <w:rFonts w:ascii="Calibri" w:eastAsia="Times-Roman" w:hAnsi="Calibri" w:cs="Calibri"/>
        </w:rPr>
        <w:t>There is less theological distance between these two forms of the introduction</w:t>
      </w:r>
      <w:r w:rsidR="007C6E34">
        <w:rPr>
          <w:rFonts w:cstheme="minorHAnsi"/>
        </w:rPr>
        <w:t xml:space="preserve"> </w:t>
      </w:r>
      <w:r w:rsidR="007C6E34" w:rsidRPr="007C6E34">
        <w:rPr>
          <w:rFonts w:ascii="Calibri" w:eastAsia="Times-Roman" w:hAnsi="Calibri" w:cs="Calibri"/>
        </w:rPr>
        <w:t>to this narrative than most commentators suggest</w:t>
      </w:r>
      <w:r w:rsidR="007A5D50">
        <w:rPr>
          <w:rFonts w:ascii="Calibri" w:eastAsia="Times-Roman" w:hAnsi="Calibri" w:cs="Calibri"/>
        </w:rPr>
        <w:t>;</w:t>
      </w:r>
      <w:r w:rsidR="007C6E34">
        <w:rPr>
          <w:rFonts w:ascii="Calibri" w:eastAsia="Times-Roman" w:hAnsi="Calibri" w:cs="Calibri"/>
        </w:rPr>
        <w:t>”</w:t>
      </w:r>
      <w:r w:rsidR="007A5D50">
        <w:rPr>
          <w:rFonts w:ascii="Calibri" w:eastAsia="Times-Roman" w:hAnsi="Calibri" w:cs="Calibri"/>
        </w:rPr>
        <w:t xml:space="preserve"> </w:t>
      </w:r>
      <w:r w:rsidR="00712964">
        <w:rPr>
          <w:rFonts w:ascii="Calibri" w:eastAsia="Times-Roman" w:hAnsi="Calibri" w:cs="Calibri"/>
        </w:rPr>
        <w:t>the adversary was not independent of Yahweh.</w:t>
      </w:r>
      <w:r w:rsidR="008B68E9">
        <w:rPr>
          <w:rStyle w:val="FootnoteReference"/>
          <w:rFonts w:ascii="Calibri" w:eastAsia="Times-Roman" w:hAnsi="Calibri" w:cs="Calibri"/>
        </w:rPr>
        <w:footnoteReference w:id="450"/>
      </w:r>
      <w:r w:rsidR="007C6E34">
        <w:rPr>
          <w:rFonts w:ascii="Calibri" w:eastAsia="Times-Roman" w:hAnsi="Calibri" w:cs="Calibri"/>
        </w:rPr>
        <w:t xml:space="preserve"> </w:t>
      </w:r>
      <w:r w:rsidR="00A96AE0">
        <w:rPr>
          <w:rFonts w:ascii="Calibri" w:hAnsi="Calibri" w:cs="Calibri"/>
        </w:rPr>
        <w:t>Inciting</w:t>
      </w:r>
      <w:r w:rsidR="002A1AAC">
        <w:rPr>
          <w:rFonts w:cstheme="minorHAnsi"/>
        </w:rPr>
        <w:t xml:space="preserve"> overlaps with the idea of toughening someone’s mind (“hardening their heart”) in Exodus</w:t>
      </w:r>
      <w:r w:rsidR="00001186">
        <w:rPr>
          <w:rFonts w:cstheme="minorHAnsi"/>
        </w:rPr>
        <w:t>, encouraging them to do something dire.</w:t>
      </w:r>
      <w:r w:rsidR="00ED4F7B">
        <w:rPr>
          <w:rFonts w:cstheme="minorHAnsi"/>
        </w:rPr>
        <w:t xml:space="preserve"> </w:t>
      </w:r>
    </w:p>
    <w:p w14:paraId="77B6096D" w14:textId="1864EF10" w:rsidR="00D210BE" w:rsidRPr="00C01B3B" w:rsidRDefault="00F02CBE" w:rsidP="00BF7777">
      <w:pPr>
        <w:rPr>
          <w:rFonts w:cstheme="minorHAnsi"/>
        </w:rPr>
      </w:pPr>
      <w:r>
        <w:rPr>
          <w:rFonts w:cstheme="minorHAnsi"/>
        </w:rPr>
        <w:t xml:space="preserve">Everyone knows that counting things is a </w:t>
      </w:r>
      <w:r w:rsidR="005D7D9F">
        <w:rPr>
          <w:rFonts w:cstheme="minorHAnsi"/>
        </w:rPr>
        <w:t>bad</w:t>
      </w:r>
      <w:r>
        <w:rPr>
          <w:rFonts w:cstheme="minorHAnsi"/>
        </w:rPr>
        <w:t xml:space="preserve"> idea: it suggests pride</w:t>
      </w:r>
      <w:r w:rsidR="00137BAB">
        <w:rPr>
          <w:rStyle w:val="FootnoteReference"/>
          <w:rFonts w:cstheme="minorHAnsi"/>
        </w:rPr>
        <w:footnoteReference w:id="451"/>
      </w:r>
      <w:r>
        <w:rPr>
          <w:rFonts w:cstheme="minorHAnsi"/>
        </w:rPr>
        <w:t xml:space="preserve"> </w:t>
      </w:r>
      <w:r w:rsidR="005F2821">
        <w:rPr>
          <w:rFonts w:cstheme="minorHAnsi"/>
        </w:rPr>
        <w:t>and/</w:t>
      </w:r>
      <w:r>
        <w:rPr>
          <w:rFonts w:cstheme="minorHAnsi"/>
        </w:rPr>
        <w:t>or reliance on resources rather than Yahweh</w:t>
      </w:r>
      <w:r w:rsidR="006333BA">
        <w:rPr>
          <w:rFonts w:cstheme="minorHAnsi"/>
        </w:rPr>
        <w:t>,</w:t>
      </w:r>
      <w:r w:rsidR="004736ED">
        <w:rPr>
          <w:rStyle w:val="FootnoteReference"/>
          <w:rFonts w:cstheme="minorHAnsi"/>
        </w:rPr>
        <w:footnoteReference w:id="452"/>
      </w:r>
      <w:r w:rsidR="006333BA">
        <w:rPr>
          <w:rFonts w:cstheme="minorHAnsi"/>
        </w:rPr>
        <w:t xml:space="preserve"> and/or </w:t>
      </w:r>
      <w:r w:rsidR="005F2821">
        <w:rPr>
          <w:rFonts w:cstheme="minorHAnsi"/>
        </w:rPr>
        <w:t xml:space="preserve">it </w:t>
      </w:r>
      <w:r w:rsidR="006333BA">
        <w:rPr>
          <w:rFonts w:cstheme="minorHAnsi"/>
        </w:rPr>
        <w:t>facilitates collection of taxes</w:t>
      </w:r>
      <w:r w:rsidR="00DC578E">
        <w:rPr>
          <w:rFonts w:cstheme="minorHAnsi"/>
        </w:rPr>
        <w:t xml:space="preserve"> or </w:t>
      </w:r>
      <w:r w:rsidR="0082706D">
        <w:rPr>
          <w:rFonts w:cstheme="minorHAnsi"/>
        </w:rPr>
        <w:t>conscription into the military</w:t>
      </w:r>
      <w:r>
        <w:rPr>
          <w:rFonts w:cstheme="minorHAnsi"/>
        </w:rPr>
        <w:t>. Even Joab, bless him, knows it, but he can’t dissuade David</w:t>
      </w:r>
      <w:r w:rsidR="00881F17">
        <w:rPr>
          <w:rFonts w:cstheme="minorHAnsi"/>
        </w:rPr>
        <w:t>, and David’s insistence shows that Yahweh must be mysteriously at work.</w:t>
      </w:r>
      <w:r w:rsidR="0064728E">
        <w:rPr>
          <w:rFonts w:cstheme="minorHAnsi"/>
        </w:rPr>
        <w:t xml:space="preserve"> But afterwards, David’s conscience </w:t>
      </w:r>
      <w:r w:rsidR="009B58FD">
        <w:rPr>
          <w:rFonts w:cstheme="minorHAnsi"/>
        </w:rPr>
        <w:t>(literally, his heart) struck him down</w:t>
      </w:r>
      <w:r w:rsidR="00A43B7F">
        <w:rPr>
          <w:rFonts w:cstheme="minorHAnsi"/>
        </w:rPr>
        <w:t xml:space="preserve">, </w:t>
      </w:r>
      <w:r w:rsidR="007C4578">
        <w:rPr>
          <w:rFonts w:cstheme="minorHAnsi"/>
        </w:rPr>
        <w:t>as happened once before (1 Sam 24:</w:t>
      </w:r>
      <w:r w:rsidR="0010161F">
        <w:rPr>
          <w:rFonts w:cstheme="minorHAnsi"/>
        </w:rPr>
        <w:t>5 [</w:t>
      </w:r>
      <w:r w:rsidR="007C4578">
        <w:rPr>
          <w:rFonts w:cstheme="minorHAnsi"/>
        </w:rPr>
        <w:t>6</w:t>
      </w:r>
      <w:r w:rsidR="0010161F">
        <w:rPr>
          <w:rFonts w:cstheme="minorHAnsi"/>
        </w:rPr>
        <w:t>]</w:t>
      </w:r>
      <w:r w:rsidR="00136525">
        <w:rPr>
          <w:rFonts w:cstheme="minorHAnsi"/>
        </w:rPr>
        <w:t xml:space="preserve">), </w:t>
      </w:r>
      <w:r w:rsidR="00A43B7F">
        <w:rPr>
          <w:rFonts w:cstheme="minorHAnsi"/>
        </w:rPr>
        <w:t xml:space="preserve">and </w:t>
      </w:r>
      <w:r w:rsidR="0066453F">
        <w:rPr>
          <w:rFonts w:cstheme="minorHAnsi"/>
        </w:rPr>
        <w:t>he acknowledge</w:t>
      </w:r>
      <w:r w:rsidR="004D5E4F">
        <w:rPr>
          <w:rFonts w:cstheme="minorHAnsi"/>
        </w:rPr>
        <w:t>d</w:t>
      </w:r>
      <w:r w:rsidR="0066453F">
        <w:rPr>
          <w:rFonts w:cstheme="minorHAnsi"/>
        </w:rPr>
        <w:t xml:space="preserve"> </w:t>
      </w:r>
      <w:r w:rsidR="004D5E4F">
        <w:rPr>
          <w:rFonts w:cstheme="minorHAnsi"/>
        </w:rPr>
        <w:t xml:space="preserve">it </w:t>
      </w:r>
      <w:r w:rsidR="0066453F">
        <w:rPr>
          <w:rFonts w:cstheme="minorHAnsi"/>
        </w:rPr>
        <w:t xml:space="preserve">to </w:t>
      </w:r>
      <w:r w:rsidR="00A43B7F">
        <w:rPr>
          <w:rFonts w:cstheme="minorHAnsi"/>
        </w:rPr>
        <w:t>Yahweh</w:t>
      </w:r>
      <w:r w:rsidR="004D5E4F">
        <w:rPr>
          <w:rFonts w:cstheme="minorHAnsi"/>
        </w:rPr>
        <w:t xml:space="preserve"> </w:t>
      </w:r>
      <w:r w:rsidR="00433CB2">
        <w:rPr>
          <w:rFonts w:cstheme="minorHAnsi"/>
        </w:rPr>
        <w:t>in terms that featured</w:t>
      </w:r>
      <w:r w:rsidR="005251C6">
        <w:rPr>
          <w:rFonts w:cstheme="minorHAnsi"/>
        </w:rPr>
        <w:t xml:space="preserve"> in connection with </w:t>
      </w:r>
      <w:r w:rsidR="00B41292">
        <w:rPr>
          <w:rFonts w:cstheme="minorHAnsi"/>
        </w:rPr>
        <w:t xml:space="preserve">Nathan and </w:t>
      </w:r>
      <w:r w:rsidR="005251C6">
        <w:rPr>
          <w:rFonts w:cstheme="minorHAnsi"/>
        </w:rPr>
        <w:t>Uriah</w:t>
      </w:r>
      <w:r w:rsidR="009731B1">
        <w:rPr>
          <w:rFonts w:cstheme="minorHAnsi"/>
        </w:rPr>
        <w:t xml:space="preserve">, </w:t>
      </w:r>
      <w:r w:rsidR="005251C6">
        <w:rPr>
          <w:rFonts w:cstheme="minorHAnsi"/>
        </w:rPr>
        <w:t>“</w:t>
      </w:r>
      <w:r w:rsidR="0066453F">
        <w:rPr>
          <w:rFonts w:cstheme="minorHAnsi"/>
        </w:rPr>
        <w:t>I have done very wrong</w:t>
      </w:r>
      <w:r w:rsidR="00A016C9">
        <w:rPr>
          <w:rFonts w:cstheme="minorHAnsi"/>
        </w:rPr>
        <w:t xml:space="preserve"> . . . .</w:t>
      </w:r>
      <w:r w:rsidR="006E2BD3">
        <w:rPr>
          <w:rFonts w:cstheme="minorHAnsi"/>
        </w:rPr>
        <w:t xml:space="preserve"> </w:t>
      </w:r>
      <w:r w:rsidR="00433CB2">
        <w:rPr>
          <w:rFonts w:cstheme="minorHAnsi"/>
        </w:rPr>
        <w:t xml:space="preserve">Please make </w:t>
      </w:r>
      <w:r w:rsidR="005E678C">
        <w:rPr>
          <w:rFonts w:cstheme="minorHAnsi"/>
        </w:rPr>
        <w:t>your servant’s</w:t>
      </w:r>
      <w:r w:rsidR="00433CB2">
        <w:rPr>
          <w:rFonts w:cstheme="minorHAnsi"/>
        </w:rPr>
        <w:t xml:space="preserve"> waywardness pass on</w:t>
      </w:r>
      <w:r w:rsidR="00B41292">
        <w:rPr>
          <w:rFonts w:cstheme="minorHAnsi"/>
        </w:rPr>
        <w:t>,</w:t>
      </w:r>
      <w:r w:rsidR="0097120F">
        <w:rPr>
          <w:rFonts w:cstheme="minorHAnsi"/>
        </w:rPr>
        <w:t xml:space="preserve">” and </w:t>
      </w:r>
      <w:r w:rsidR="00C77B18">
        <w:rPr>
          <w:rFonts w:cstheme="minorHAnsi"/>
        </w:rPr>
        <w:t xml:space="preserve">that </w:t>
      </w:r>
      <w:r w:rsidR="009731B1">
        <w:rPr>
          <w:rFonts w:cstheme="minorHAnsi"/>
        </w:rPr>
        <w:t xml:space="preserve">featured </w:t>
      </w:r>
      <w:r w:rsidR="002E523B">
        <w:rPr>
          <w:rFonts w:cstheme="minorHAnsi"/>
        </w:rPr>
        <w:t xml:space="preserve">in connection with </w:t>
      </w:r>
      <w:r w:rsidR="00B41292">
        <w:rPr>
          <w:rFonts w:cstheme="minorHAnsi"/>
        </w:rPr>
        <w:t>Samuel</w:t>
      </w:r>
      <w:r w:rsidR="00C77B18">
        <w:rPr>
          <w:rFonts w:cstheme="minorHAnsi"/>
        </w:rPr>
        <w:t xml:space="preserve"> and Saul</w:t>
      </w:r>
      <w:r w:rsidR="00B41292">
        <w:rPr>
          <w:rFonts w:cstheme="minorHAnsi"/>
        </w:rPr>
        <w:t>, “I</w:t>
      </w:r>
      <w:r w:rsidR="006D577E">
        <w:rPr>
          <w:rFonts w:cstheme="minorHAnsi"/>
        </w:rPr>
        <w:t>’</w:t>
      </w:r>
      <w:r w:rsidR="00B41292">
        <w:rPr>
          <w:rFonts w:cstheme="minorHAnsi"/>
        </w:rPr>
        <w:t xml:space="preserve">ve been </w:t>
      </w:r>
      <w:r w:rsidR="00B0115A">
        <w:rPr>
          <w:rFonts w:cstheme="minorHAnsi"/>
        </w:rPr>
        <w:t>stupid”</w:t>
      </w:r>
      <w:r w:rsidR="0065203E">
        <w:rPr>
          <w:rFonts w:cstheme="minorHAnsi"/>
        </w:rPr>
        <w:t xml:space="preserve"> (1 Sam </w:t>
      </w:r>
      <w:r w:rsidR="00C77B18">
        <w:rPr>
          <w:rFonts w:cstheme="minorHAnsi"/>
        </w:rPr>
        <w:t>13:13).</w:t>
      </w:r>
      <w:r w:rsidR="00B0115A">
        <w:rPr>
          <w:rFonts w:cstheme="minorHAnsi"/>
        </w:rPr>
        <w:t xml:space="preserve"> Once again Yahweh will not simply make the waywa</w:t>
      </w:r>
      <w:r w:rsidR="00136A9B">
        <w:rPr>
          <w:rFonts w:cstheme="minorHAnsi"/>
        </w:rPr>
        <w:t xml:space="preserve">rdness go away, but he allows David to choose </w:t>
      </w:r>
      <w:r w:rsidR="00B00134">
        <w:rPr>
          <w:rFonts w:cstheme="minorHAnsi"/>
        </w:rPr>
        <w:t>the consequence: famine, defeat, or epidemic</w:t>
      </w:r>
      <w:r w:rsidR="009C36C3">
        <w:rPr>
          <w:rFonts w:cstheme="minorHAnsi"/>
        </w:rPr>
        <w:t>. “</w:t>
      </w:r>
      <w:r w:rsidR="009E5B47">
        <w:rPr>
          <w:rFonts w:cstheme="minorHAnsi"/>
        </w:rPr>
        <w:t>Let us please fall into</w:t>
      </w:r>
      <w:r w:rsidR="00BF7777">
        <w:rPr>
          <w:rFonts w:cstheme="minorHAnsi"/>
        </w:rPr>
        <w:t>/by [</w:t>
      </w:r>
      <w:r w:rsidR="00BF7777">
        <w:rPr>
          <w:rFonts w:cstheme="minorHAnsi"/>
          <w:i/>
          <w:iCs/>
        </w:rPr>
        <w:t>bə</w:t>
      </w:r>
      <w:r w:rsidR="00BF7777">
        <w:rPr>
          <w:rFonts w:cstheme="minorHAnsi"/>
        </w:rPr>
        <w:t>]</w:t>
      </w:r>
      <w:r w:rsidR="00BF7777">
        <w:rPr>
          <w:rFonts w:cstheme="minorHAnsi"/>
          <w:i/>
          <w:iCs/>
        </w:rPr>
        <w:t xml:space="preserve"> </w:t>
      </w:r>
      <w:r w:rsidR="00FD0681">
        <w:rPr>
          <w:rFonts w:cstheme="minorHAnsi"/>
        </w:rPr>
        <w:t>Yahweh’s</w:t>
      </w:r>
      <w:r w:rsidR="009E5B47">
        <w:rPr>
          <w:rFonts w:cstheme="minorHAnsi"/>
        </w:rPr>
        <w:t xml:space="preserve"> hand</w:t>
      </w:r>
      <w:r w:rsidR="00E85378">
        <w:rPr>
          <w:rFonts w:cstheme="minorHAnsi"/>
        </w:rPr>
        <w:t>, because his compassion is plenteous</w:t>
      </w:r>
      <w:r w:rsidR="00CB6578">
        <w:rPr>
          <w:rFonts w:cstheme="minorHAnsi"/>
        </w:rPr>
        <w:t>” (</w:t>
      </w:r>
      <w:r w:rsidR="005D7D9F">
        <w:rPr>
          <w:rFonts w:cstheme="minorHAnsi"/>
        </w:rPr>
        <w:t xml:space="preserve">2 Sam </w:t>
      </w:r>
      <w:r w:rsidR="00CB6578">
        <w:rPr>
          <w:rFonts w:cstheme="minorHAnsi"/>
        </w:rPr>
        <w:t xml:space="preserve">24:14). </w:t>
      </w:r>
      <w:r w:rsidR="00A710E6">
        <w:rPr>
          <w:rFonts w:cstheme="minorHAnsi"/>
        </w:rPr>
        <w:t xml:space="preserve">It’s a brave </w:t>
      </w:r>
      <w:r w:rsidR="006D577E">
        <w:rPr>
          <w:rFonts w:cstheme="minorHAnsi"/>
        </w:rPr>
        <w:t>choice</w:t>
      </w:r>
      <w:r w:rsidR="00A710E6">
        <w:rPr>
          <w:rFonts w:cstheme="minorHAnsi"/>
        </w:rPr>
        <w:t xml:space="preserve">, because Yahweh’s hand is the means whereby he </w:t>
      </w:r>
      <w:r w:rsidR="00437324">
        <w:rPr>
          <w:rFonts w:cstheme="minorHAnsi"/>
        </w:rPr>
        <w:t>brings calamity</w:t>
      </w:r>
      <w:r w:rsidR="00AF0EF0">
        <w:rPr>
          <w:rFonts w:cstheme="minorHAnsi"/>
        </w:rPr>
        <w:t xml:space="preserve"> (cf. 24:16-17)</w:t>
      </w:r>
      <w:r w:rsidR="00437324">
        <w:rPr>
          <w:rFonts w:cstheme="minorHAnsi"/>
        </w:rPr>
        <w:t>; it is not in itself a safe place</w:t>
      </w:r>
      <w:r w:rsidR="009B3E77">
        <w:rPr>
          <w:rFonts w:cstheme="minorHAnsi"/>
        </w:rPr>
        <w:t xml:space="preserve"> (compare the hands in 21:9, </w:t>
      </w:r>
      <w:r w:rsidR="003C1D3D">
        <w:rPr>
          <w:rFonts w:cstheme="minorHAnsi"/>
        </w:rPr>
        <w:t>22)</w:t>
      </w:r>
      <w:r w:rsidR="00437324">
        <w:rPr>
          <w:rFonts w:cstheme="minorHAnsi"/>
        </w:rPr>
        <w:t>.</w:t>
      </w:r>
      <w:r w:rsidR="00EF610E">
        <w:rPr>
          <w:rFonts w:cstheme="minorHAnsi"/>
        </w:rPr>
        <w:t xml:space="preserve"> </w:t>
      </w:r>
      <w:r w:rsidR="00DC308F">
        <w:rPr>
          <w:rFonts w:cstheme="minorHAnsi"/>
        </w:rPr>
        <w:t>“</w:t>
      </w:r>
      <w:r w:rsidR="00EF610E">
        <w:rPr>
          <w:rFonts w:cstheme="minorHAnsi"/>
        </w:rPr>
        <w:t xml:space="preserve">It’s </w:t>
      </w:r>
      <w:r w:rsidR="00DC308F">
        <w:rPr>
          <w:rFonts w:cstheme="minorHAnsi"/>
        </w:rPr>
        <w:t>a fearful thing to fall into the hands of the living God</w:t>
      </w:r>
      <w:r w:rsidR="009B0448">
        <w:rPr>
          <w:rFonts w:cstheme="minorHAnsi"/>
        </w:rPr>
        <w:t>”</w:t>
      </w:r>
      <w:r w:rsidR="00DC308F">
        <w:rPr>
          <w:rFonts w:cstheme="minorHAnsi"/>
        </w:rPr>
        <w:t xml:space="preserve"> (Heb 10:31).</w:t>
      </w:r>
      <w:r w:rsidR="009B0448">
        <w:rPr>
          <w:rStyle w:val="FootnoteReference"/>
          <w:rFonts w:cstheme="minorHAnsi"/>
        </w:rPr>
        <w:footnoteReference w:id="453"/>
      </w:r>
      <w:r w:rsidR="00437324">
        <w:rPr>
          <w:rFonts w:cstheme="minorHAnsi"/>
        </w:rPr>
        <w:t xml:space="preserve"> </w:t>
      </w:r>
      <w:r w:rsidR="00CB6578">
        <w:rPr>
          <w:rFonts w:cstheme="minorHAnsi"/>
        </w:rPr>
        <w:t>An epidemic follows in which thousands die</w:t>
      </w:r>
      <w:r w:rsidR="005D7D9F">
        <w:rPr>
          <w:rFonts w:cstheme="minorHAnsi"/>
        </w:rPr>
        <w:t>,</w:t>
      </w:r>
      <w:r w:rsidR="00522598">
        <w:rPr>
          <w:rFonts w:cstheme="minorHAnsi"/>
        </w:rPr>
        <w:t xml:space="preserve"> </w:t>
      </w:r>
      <w:r w:rsidR="00E305EA">
        <w:rPr>
          <w:rFonts w:cstheme="minorHAnsi"/>
        </w:rPr>
        <w:t>and Yahweh’s aide threatens to destroy Jerusalem</w:t>
      </w:r>
      <w:r w:rsidR="005D7D9F">
        <w:rPr>
          <w:rFonts w:cstheme="minorHAnsi"/>
        </w:rPr>
        <w:t>,</w:t>
      </w:r>
      <w:r w:rsidR="00E305EA">
        <w:rPr>
          <w:rFonts w:cstheme="minorHAnsi"/>
        </w:rPr>
        <w:t xml:space="preserve"> </w:t>
      </w:r>
      <w:r w:rsidR="00522598">
        <w:rPr>
          <w:rFonts w:cstheme="minorHAnsi"/>
        </w:rPr>
        <w:t>until Yahweh</w:t>
      </w:r>
      <w:r w:rsidR="0084227C">
        <w:rPr>
          <w:rFonts w:cstheme="minorHAnsi"/>
        </w:rPr>
        <w:t xml:space="preserve"> </w:t>
      </w:r>
      <w:r w:rsidR="00522598">
        <w:rPr>
          <w:rFonts w:cstheme="minorHAnsi"/>
        </w:rPr>
        <w:t xml:space="preserve">says, “Stop.” </w:t>
      </w:r>
      <w:r w:rsidR="00D210BE">
        <w:rPr>
          <w:rFonts w:cstheme="minorHAnsi"/>
        </w:rPr>
        <w:t xml:space="preserve">It is the </w:t>
      </w:r>
      <w:r w:rsidR="00C01B3B">
        <w:rPr>
          <w:rFonts w:cstheme="minorHAnsi"/>
        </w:rPr>
        <w:t>only</w:t>
      </w:r>
      <w:r w:rsidR="00D210BE">
        <w:rPr>
          <w:rFonts w:cstheme="minorHAnsi"/>
        </w:rPr>
        <w:t xml:space="preserve"> appearance of </w:t>
      </w:r>
      <w:r w:rsidR="00C7322B">
        <w:rPr>
          <w:rFonts w:cstheme="minorHAnsi"/>
        </w:rPr>
        <w:t>such an</w:t>
      </w:r>
      <w:r w:rsidR="00D210BE">
        <w:rPr>
          <w:rFonts w:cstheme="minorHAnsi"/>
        </w:rPr>
        <w:t xml:space="preserve"> aide (</w:t>
      </w:r>
      <w:r w:rsidR="00D210BE">
        <w:rPr>
          <w:rFonts w:cstheme="minorHAnsi"/>
          <w:i/>
          <w:iCs/>
        </w:rPr>
        <w:t>m</w:t>
      </w:r>
      <w:r w:rsidR="00C01B3B">
        <w:rPr>
          <w:rFonts w:cstheme="minorHAnsi"/>
          <w:i/>
          <w:iCs/>
        </w:rPr>
        <w:t>al’āk</w:t>
      </w:r>
      <w:r w:rsidR="00C01B3B">
        <w:rPr>
          <w:rFonts w:cstheme="minorHAnsi"/>
        </w:rPr>
        <w:t>) in Samuel</w:t>
      </w:r>
      <w:r w:rsidR="005D7D9F">
        <w:rPr>
          <w:rFonts w:cstheme="minorHAnsi"/>
        </w:rPr>
        <w:t>; s</w:t>
      </w:r>
      <w:r w:rsidR="00FF34CC">
        <w:rPr>
          <w:rFonts w:cstheme="minorHAnsi"/>
        </w:rPr>
        <w:t xml:space="preserve">uch </w:t>
      </w:r>
      <w:r w:rsidR="00A64B38">
        <w:rPr>
          <w:rFonts w:cstheme="minorHAnsi"/>
        </w:rPr>
        <w:t xml:space="preserve">figures </w:t>
      </w:r>
      <w:r w:rsidR="002728F9">
        <w:rPr>
          <w:rFonts w:cstheme="minorHAnsi"/>
        </w:rPr>
        <w:t xml:space="preserve">are members of Yahweh’s supernatural entourage and work force, like the adversary </w:t>
      </w:r>
      <w:r w:rsidR="00F05867">
        <w:rPr>
          <w:rFonts w:cstheme="minorHAnsi"/>
        </w:rPr>
        <w:t>in Job and Chronicles, implement decisions of the heavenly cabinet.</w:t>
      </w:r>
    </w:p>
    <w:p w14:paraId="1B4B5ACF" w14:textId="5A4F569F" w:rsidR="00CC7011" w:rsidRDefault="00342307" w:rsidP="00D33386">
      <w:pPr>
        <w:rPr>
          <w:rFonts w:cstheme="minorHAnsi"/>
        </w:rPr>
      </w:pPr>
      <w:r>
        <w:rPr>
          <w:rFonts w:cstheme="minorHAnsi"/>
        </w:rPr>
        <w:t>David</w:t>
      </w:r>
      <w:r w:rsidR="00823A2C">
        <w:rPr>
          <w:rFonts w:cstheme="minorHAnsi"/>
        </w:rPr>
        <w:t xml:space="preserve"> is standing by a Jebusite threshing floor</w:t>
      </w:r>
      <w:r w:rsidR="004C1E19">
        <w:rPr>
          <w:rFonts w:cstheme="minorHAnsi"/>
        </w:rPr>
        <w:t>, and Yahweh bids him erect an altar there</w:t>
      </w:r>
      <w:r w:rsidR="0015373F">
        <w:rPr>
          <w:rFonts w:cstheme="minorHAnsi"/>
        </w:rPr>
        <w:t xml:space="preserve"> </w:t>
      </w:r>
      <w:r w:rsidR="00FF3394">
        <w:rPr>
          <w:rFonts w:cstheme="minorHAnsi"/>
        </w:rPr>
        <w:t xml:space="preserve">for the offering of sacrifice. </w:t>
      </w:r>
      <w:r w:rsidR="0056113D">
        <w:rPr>
          <w:rFonts w:cstheme="minorHAnsi"/>
        </w:rPr>
        <w:t>A Middle Eastern king cannot simply appropriate land, so David buys it from Araunah.</w:t>
      </w:r>
      <w:r w:rsidR="0056113D">
        <w:rPr>
          <w:rStyle w:val="FootnoteReference"/>
          <w:rFonts w:cstheme="minorHAnsi"/>
        </w:rPr>
        <w:footnoteReference w:id="454"/>
      </w:r>
      <w:r w:rsidR="0056113D">
        <w:rPr>
          <w:rFonts w:cstheme="minorHAnsi"/>
        </w:rPr>
        <w:t xml:space="preserve"> </w:t>
      </w:r>
      <w:r w:rsidR="008F30A0">
        <w:rPr>
          <w:rFonts w:cstheme="minorHAnsi"/>
        </w:rPr>
        <w:t>And th</w:t>
      </w:r>
      <w:r w:rsidR="00A12955">
        <w:rPr>
          <w:rFonts w:cstheme="minorHAnsi"/>
        </w:rPr>
        <w:t>is location</w:t>
      </w:r>
      <w:r w:rsidR="008F30A0">
        <w:rPr>
          <w:rFonts w:cstheme="minorHAnsi"/>
        </w:rPr>
        <w:t xml:space="preserve"> is where Solomon </w:t>
      </w:r>
      <w:r w:rsidR="00A12955">
        <w:rPr>
          <w:rFonts w:cstheme="minorHAnsi"/>
        </w:rPr>
        <w:t xml:space="preserve">will </w:t>
      </w:r>
      <w:r w:rsidR="008F30A0">
        <w:rPr>
          <w:rFonts w:cstheme="minorHAnsi"/>
        </w:rPr>
        <w:t xml:space="preserve">build the temple. </w:t>
      </w:r>
      <w:r w:rsidR="00B9259D">
        <w:rPr>
          <w:rFonts w:cstheme="minorHAnsi"/>
        </w:rPr>
        <w:t>T</w:t>
      </w:r>
      <w:r w:rsidR="008F30A0">
        <w:rPr>
          <w:rFonts w:cstheme="minorHAnsi"/>
        </w:rPr>
        <w:t>hat’s another story</w:t>
      </w:r>
      <w:r w:rsidR="00CC3A09">
        <w:rPr>
          <w:rFonts w:cstheme="minorHAnsi"/>
        </w:rPr>
        <w:t xml:space="preserve">, but </w:t>
      </w:r>
      <w:r w:rsidR="005D7D9F">
        <w:rPr>
          <w:rFonts w:cstheme="minorHAnsi"/>
        </w:rPr>
        <w:t>here</w:t>
      </w:r>
      <w:r w:rsidR="006D4F20">
        <w:rPr>
          <w:rFonts w:cstheme="minorHAnsi"/>
        </w:rPr>
        <w:t xml:space="preserve"> th</w:t>
      </w:r>
      <w:r w:rsidR="00705DA1">
        <w:rPr>
          <w:rFonts w:cstheme="minorHAnsi"/>
        </w:rPr>
        <w:t>e</w:t>
      </w:r>
      <w:r w:rsidR="006D4F20">
        <w:rPr>
          <w:rFonts w:cstheme="minorHAnsi"/>
        </w:rPr>
        <w:t xml:space="preserve"> motifmakes </w:t>
      </w:r>
      <w:r w:rsidR="00706FCE">
        <w:rPr>
          <w:rFonts w:cstheme="minorHAnsi"/>
        </w:rPr>
        <w:t xml:space="preserve">this </w:t>
      </w:r>
      <w:r w:rsidR="00B9259D">
        <w:rPr>
          <w:rFonts w:cstheme="minorHAnsi"/>
        </w:rPr>
        <w:t>narrative</w:t>
      </w:r>
      <w:r w:rsidR="00706FCE">
        <w:rPr>
          <w:rFonts w:cstheme="minorHAnsi"/>
        </w:rPr>
        <w:t xml:space="preserve"> an ap</w:t>
      </w:r>
      <w:r w:rsidR="00B656F7">
        <w:rPr>
          <w:rFonts w:cstheme="minorHAnsi"/>
        </w:rPr>
        <w:t>t</w:t>
      </w:r>
      <w:r w:rsidR="00706FCE">
        <w:rPr>
          <w:rFonts w:cstheme="minorHAnsi"/>
        </w:rPr>
        <w:t xml:space="preserve"> close to Samuel and </w:t>
      </w:r>
      <w:r w:rsidR="008B788C">
        <w:rPr>
          <w:rFonts w:cstheme="minorHAnsi"/>
        </w:rPr>
        <w:t>teaser for Kings</w:t>
      </w:r>
      <w:r w:rsidR="00370A66">
        <w:rPr>
          <w:rFonts w:cstheme="minorHAnsi"/>
        </w:rPr>
        <w:t>, as 1 Chr 22:1 makes explicit.</w:t>
      </w:r>
      <w:r w:rsidR="00B5044D">
        <w:rPr>
          <w:rFonts w:cstheme="minorHAnsi"/>
        </w:rPr>
        <w:t xml:space="preserve"> Once again, Yahweh “let himself be petitioned for the country” (cf. 21:14), and </w:t>
      </w:r>
      <w:r w:rsidR="006C7D3F">
        <w:rPr>
          <w:rFonts w:cstheme="minorHAnsi"/>
        </w:rPr>
        <w:t>the action of Araunah and David leads to Yahweh’s answering prayer as the action of David and Rizpah led to it</w:t>
      </w:r>
      <w:r w:rsidR="005D7D9F">
        <w:rPr>
          <w:rFonts w:cstheme="minorHAnsi"/>
        </w:rPr>
        <w:t xml:space="preserve"> previously</w:t>
      </w:r>
      <w:r w:rsidR="006C7D3F">
        <w:rPr>
          <w:rFonts w:cstheme="minorHAnsi"/>
        </w:rPr>
        <w:t>.</w:t>
      </w:r>
      <w:r w:rsidR="00B5044D">
        <w:rPr>
          <w:rFonts w:cstheme="minorHAnsi"/>
        </w:rPr>
        <w:t xml:space="preserve"> </w:t>
      </w:r>
      <w:r w:rsidR="00B84C8A">
        <w:rPr>
          <w:rFonts w:cstheme="minorHAnsi"/>
        </w:rPr>
        <w:t xml:space="preserve">In a </w:t>
      </w:r>
      <w:r w:rsidR="00B84C8A">
        <w:rPr>
          <w:rFonts w:cstheme="minorHAnsi"/>
        </w:rPr>
        <w:lastRenderedPageBreak/>
        <w:t xml:space="preserve">sense, </w:t>
      </w:r>
      <w:r w:rsidR="0090060F">
        <w:rPr>
          <w:rFonts w:cstheme="minorHAnsi"/>
        </w:rPr>
        <w:t>Araunah plays Rizpah’s role.</w:t>
      </w:r>
      <w:r w:rsidR="00DC7CDA">
        <w:rPr>
          <w:rStyle w:val="FootnoteReference"/>
          <w:rFonts w:cstheme="minorHAnsi"/>
        </w:rPr>
        <w:footnoteReference w:id="455"/>
      </w:r>
      <w:r w:rsidR="00B84C8A">
        <w:rPr>
          <w:rFonts w:cstheme="minorHAnsi"/>
        </w:rPr>
        <w:t xml:space="preserve"> </w:t>
      </w:r>
      <w:r w:rsidR="00D33386">
        <w:rPr>
          <w:rFonts w:cstheme="minorHAnsi"/>
        </w:rPr>
        <w:t xml:space="preserve">As </w:t>
      </w:r>
      <w:r w:rsidR="00CC7011">
        <w:rPr>
          <w:rFonts w:cstheme="minorHAnsi"/>
        </w:rPr>
        <w:t>Hannah’s psalm almost began Samuel with some unrealistic declarations about Yahweh’s involvement with ordinary people</w:t>
      </w:r>
      <w:r w:rsidR="00D33386">
        <w:rPr>
          <w:rFonts w:cstheme="minorHAnsi"/>
        </w:rPr>
        <w:t>,</w:t>
      </w:r>
      <w:r w:rsidR="00CC7011">
        <w:rPr>
          <w:rFonts w:cstheme="minorHAnsi"/>
        </w:rPr>
        <w:t xml:space="preserve"> </w:t>
      </w:r>
      <w:r w:rsidR="00D33386">
        <w:rPr>
          <w:rFonts w:cstheme="minorHAnsi"/>
        </w:rPr>
        <w:t>t</w:t>
      </w:r>
      <w:r w:rsidR="00CC7011">
        <w:rPr>
          <w:rFonts w:cstheme="minorHAnsi"/>
        </w:rPr>
        <w:t>he stories of Rizpah and Araunah almost end Samuel with stories that illustrate Hannah’s theology.</w:t>
      </w:r>
      <w:r w:rsidR="00D33386">
        <w:rPr>
          <w:rFonts w:cstheme="minorHAnsi"/>
        </w:rPr>
        <w:t xml:space="preserve"> </w:t>
      </w:r>
      <w:r w:rsidR="00CC7011">
        <w:rPr>
          <w:rFonts w:cstheme="minorHAnsi"/>
        </w:rPr>
        <w:t>The nature of narrative is not to say that God always acts that way but to say that he sometimes does and that these acts are clues to the true nature of his relationship with his people and with the world.</w:t>
      </w:r>
    </w:p>
    <w:p w14:paraId="2262AF39" w14:textId="25E788A6" w:rsidR="00A76DF7" w:rsidRDefault="00A76DF7" w:rsidP="00A76DF7">
      <w:pPr>
        <w:pStyle w:val="Heading2"/>
      </w:pPr>
      <w:r>
        <w:t>The God of David</w:t>
      </w:r>
    </w:p>
    <w:p w14:paraId="3FC8CD7D" w14:textId="3D8B5977" w:rsidR="009F3066" w:rsidRPr="00613EFF" w:rsidRDefault="00832401" w:rsidP="00613EFF">
      <w:pPr>
        <w:rPr>
          <w:rFonts w:cstheme="minorHAnsi"/>
        </w:rPr>
      </w:pPr>
      <w:r>
        <w:t xml:space="preserve">Whereas </w:t>
      </w:r>
      <w:r w:rsidR="00131F62">
        <w:t>Yahweh acts</w:t>
      </w:r>
      <w:r>
        <w:t xml:space="preserve"> in</w:t>
      </w:r>
      <w:r w:rsidR="00131F62">
        <w:t xml:space="preserve"> </w:t>
      </w:r>
      <w:r>
        <w:t>unpredictable way</w:t>
      </w:r>
      <w:r w:rsidR="00EF7B4F">
        <w:t>s</w:t>
      </w:r>
      <w:r>
        <w:t xml:space="preserve"> in the </w:t>
      </w:r>
      <w:r w:rsidR="009E09CD">
        <w:t xml:space="preserve">two </w:t>
      </w:r>
      <w:r>
        <w:t xml:space="preserve">stories </w:t>
      </w:r>
      <w:r w:rsidR="009E09CD">
        <w:t>in 2 Samuel 21 – 24,</w:t>
      </w:r>
      <w:r w:rsidR="00EF7B4F">
        <w:rPr>
          <w:rStyle w:val="FootnoteReference"/>
        </w:rPr>
        <w:footnoteReference w:id="456"/>
      </w:r>
      <w:r w:rsidR="009E09CD">
        <w:t xml:space="preserve"> </w:t>
      </w:r>
      <w:r>
        <w:t>th</w:t>
      </w:r>
      <w:r w:rsidR="00B72D7C">
        <w:t xml:space="preserve">e two poems at the center of the chapters </w:t>
      </w:r>
      <w:r w:rsidR="00C66E5D">
        <w:t>affirm the logic and consistency of his acts</w:t>
      </w:r>
      <w:r w:rsidR="00110722">
        <w:t>. The</w:t>
      </w:r>
      <w:r w:rsidR="00F72856">
        <w:t>y, too,</w:t>
      </w:r>
      <w:r w:rsidR="00110722">
        <w:t xml:space="preserve"> link with Hannah’s psalm of thanksgiving</w:t>
      </w:r>
      <w:r w:rsidR="007C639F">
        <w:t>,</w:t>
      </w:r>
      <w:r w:rsidR="00110722">
        <w:t xml:space="preserve"> which almost started</w:t>
      </w:r>
      <w:r>
        <w:t xml:space="preserve"> </w:t>
      </w:r>
      <w:r w:rsidR="00A76DF7">
        <w:t>Samuel</w:t>
      </w:r>
      <w:r w:rsidR="00B25735">
        <w:t xml:space="preserve"> </w:t>
      </w:r>
      <w:r w:rsidR="00291DB9">
        <w:t>yet</w:t>
      </w:r>
      <w:r w:rsidR="00B25735">
        <w:t xml:space="preserve"> </w:t>
      </w:r>
      <w:r w:rsidR="00397CC8">
        <w:t>d</w:t>
      </w:r>
      <w:r w:rsidR="00110722">
        <w:t>id</w:t>
      </w:r>
      <w:r w:rsidR="00397CC8">
        <w:t xml:space="preserve"> not relate </w:t>
      </w:r>
      <w:r w:rsidR="005B151A">
        <w:t xml:space="preserve">very specifically </w:t>
      </w:r>
      <w:r w:rsidR="00397CC8">
        <w:t xml:space="preserve">to her own life </w:t>
      </w:r>
      <w:r w:rsidR="00EC5B76">
        <w:t xml:space="preserve">but to Yahweh’s relationship with Israel </w:t>
      </w:r>
      <w:r w:rsidR="0072505C">
        <w:t xml:space="preserve">and his commitment to </w:t>
      </w:r>
      <w:r w:rsidR="00590D3C">
        <w:t>“his anointed</w:t>
      </w:r>
      <w:r w:rsidR="00397CC8">
        <w:t>.</w:t>
      </w:r>
      <w:r w:rsidR="00F72856">
        <w:t>”</w:t>
      </w:r>
      <w:r w:rsidR="00397CC8">
        <w:t xml:space="preserve"> </w:t>
      </w:r>
      <w:r w:rsidR="00110722">
        <w:t>Samuel</w:t>
      </w:r>
      <w:r w:rsidR="00397CC8">
        <w:t xml:space="preserve"> almost ends with a psalm of thanksgiving on the lips of David </w:t>
      </w:r>
      <w:r w:rsidR="00D60797">
        <w:t>tha</w:t>
      </w:r>
      <w:r w:rsidR="00397CC8">
        <w:t xml:space="preserve">t does not relate </w:t>
      </w:r>
      <w:r w:rsidR="005B151A">
        <w:t xml:space="preserve">very specifically </w:t>
      </w:r>
      <w:r w:rsidR="00397CC8">
        <w:t>to his life</w:t>
      </w:r>
      <w:r w:rsidR="00EC5B76">
        <w:t xml:space="preserve"> but to Yahweh’s relationship with Israel</w:t>
      </w:r>
      <w:r w:rsidR="00C56BC0">
        <w:t xml:space="preserve">, </w:t>
      </w:r>
      <w:r w:rsidR="006C5734">
        <w:t>though</w:t>
      </w:r>
      <w:r w:rsidR="00C56BC0">
        <w:t xml:space="preserve"> also to his commitment to “his anointed</w:t>
      </w:r>
      <w:r w:rsidR="0055267A">
        <w:t>”</w:t>
      </w:r>
      <w:r w:rsidR="00EC5B76">
        <w:t xml:space="preserve"> (2 Sam </w:t>
      </w:r>
      <w:r w:rsidR="005B151A">
        <w:t>22:1-</w:t>
      </w:r>
      <w:r w:rsidR="00D63F8D">
        <w:t>51</w:t>
      </w:r>
      <w:r w:rsidR="006C5734">
        <w:t xml:space="preserve">, a variant of </w:t>
      </w:r>
      <w:r w:rsidR="004968E8">
        <w:t>Ps 18</w:t>
      </w:r>
      <w:r w:rsidR="00D63F8D">
        <w:t>).</w:t>
      </w:r>
      <w:r w:rsidR="003D13CA">
        <w:t xml:space="preserve"> </w:t>
      </w:r>
      <w:r w:rsidR="000F1815">
        <w:t xml:space="preserve">It is a testimony to put on the lips of a king, like other such testimonies in the Psalms. </w:t>
      </w:r>
      <w:r w:rsidR="00CC7670">
        <w:t>As a more general affirmation about Yahweh’s dealings with Israel</w:t>
      </w:r>
      <w:r w:rsidR="00A7269E">
        <w:t xml:space="preserve"> it</w:t>
      </w:r>
      <w:r w:rsidR="00CC7670">
        <w:t xml:space="preserve"> might be an encouragement (e.g.) after 587 to people </w:t>
      </w:r>
      <w:r w:rsidR="00A7269E">
        <w:t>invited to</w:t>
      </w:r>
      <w:r w:rsidR="00CC7670">
        <w:t xml:space="preserve"> trust that Yahweh will deliver them if they start being faithful people. </w:t>
      </w:r>
      <w:r w:rsidR="002128AF">
        <w:rPr>
          <w:rFonts w:cstheme="minorHAnsi"/>
        </w:rPr>
        <w:t xml:space="preserve">Such an affirmation of </w:t>
      </w:r>
      <w:r w:rsidR="00613EFF">
        <w:rPr>
          <w:rFonts w:cstheme="minorHAnsi"/>
        </w:rPr>
        <w:t>“</w:t>
      </w:r>
      <w:r w:rsidR="002128AF">
        <w:rPr>
          <w:rFonts w:cstheme="minorHAnsi"/>
        </w:rPr>
        <w:t>the traditional theological system</w:t>
      </w:r>
      <w:r w:rsidR="00613EFF">
        <w:rPr>
          <w:rFonts w:cstheme="minorHAnsi"/>
        </w:rPr>
        <w:t>”</w:t>
      </w:r>
      <w:r w:rsidR="00613EFF">
        <w:rPr>
          <w:rStyle w:val="FootnoteReference"/>
          <w:rFonts w:cstheme="minorHAnsi"/>
        </w:rPr>
        <w:footnoteReference w:id="457"/>
      </w:r>
      <w:r w:rsidR="002128AF">
        <w:rPr>
          <w:rFonts w:cstheme="minorHAnsi"/>
        </w:rPr>
        <w:t xml:space="preserve"> might be welcome.</w:t>
      </w:r>
      <w:r w:rsidR="00613EFF">
        <w:rPr>
          <w:rFonts w:cstheme="minorHAnsi"/>
        </w:rPr>
        <w:t xml:space="preserve"> </w:t>
      </w:r>
      <w:r w:rsidR="00CC7670">
        <w:t>Or, “‘</w:t>
      </w:r>
      <w:r w:rsidR="00CC7670">
        <w:rPr>
          <w:rFonts w:ascii="Calibri" w:hAnsi="Calibri" w:cs="Calibri"/>
          <w:color w:val="000000"/>
        </w:rPr>
        <w:t>w</w:t>
      </w:r>
      <w:r w:rsidR="00CC7670" w:rsidRPr="00185980">
        <w:rPr>
          <w:rFonts w:ascii="Calibri" w:hAnsi="Calibri" w:cs="Calibri"/>
          <w:color w:val="000000"/>
        </w:rPr>
        <w:t>hile your experience of God may be as capricious as the events in this book, your hope, however, must be grounded in the God of these Songs of Hannah and David</w:t>
      </w:r>
      <w:r w:rsidR="00CC7670">
        <w:rPr>
          <w:rFonts w:ascii="Calibri" w:hAnsi="Calibri" w:cs="Calibri"/>
          <w:color w:val="000000"/>
        </w:rPr>
        <w:t>.’”</w:t>
      </w:r>
      <w:r w:rsidR="00CC7670">
        <w:rPr>
          <w:rStyle w:val="FootnoteReference"/>
          <w:rFonts w:ascii="Calibri" w:hAnsi="Calibri" w:cs="Calibri"/>
          <w:color w:val="000000"/>
        </w:rPr>
        <w:footnoteReference w:id="458"/>
      </w:r>
      <w:r w:rsidR="00A7269E">
        <w:rPr>
          <w:rFonts w:ascii="Calibri" w:hAnsi="Calibri" w:cs="Calibri"/>
          <w:color w:val="000000"/>
        </w:rPr>
        <w:t xml:space="preserve"> </w:t>
      </w:r>
      <w:r w:rsidR="007239C1">
        <w:t>I</w:t>
      </w:r>
      <w:r w:rsidR="000F1815">
        <w:t>t</w:t>
      </w:r>
      <w:r w:rsidR="00760398">
        <w:t xml:space="preserve"> works well as a synagogue lection during Passover</w:t>
      </w:r>
      <w:r w:rsidR="00BE1E1A">
        <w:t xml:space="preserve">, when one could </w:t>
      </w:r>
      <w:r w:rsidR="000C1A63">
        <w:t>see</w:t>
      </w:r>
      <w:r w:rsidR="00BE1E1A">
        <w:t xml:space="preserve"> the referenc</w:t>
      </w:r>
      <w:r w:rsidR="000C1A63">
        <w:t>e</w:t>
      </w:r>
      <w:r w:rsidR="00BE1E1A">
        <w:t xml:space="preserve"> to the sea</w:t>
      </w:r>
      <w:r w:rsidR="002013A0">
        <w:t xml:space="preserve"> as an allusion to the </w:t>
      </w:r>
      <w:r w:rsidR="008D3CDE">
        <w:t>deliverance at the Red Sea</w:t>
      </w:r>
      <w:r w:rsidR="00C62D87">
        <w:t>, see the faithfulness as Israel’s faithfulness in the wilderness,</w:t>
      </w:r>
      <w:r w:rsidR="00AE79CD">
        <w:t xml:space="preserve"> and see </w:t>
      </w:r>
      <w:r w:rsidR="00457C2D">
        <w:t>the refractory one as Pharaoh</w:t>
      </w:r>
      <w:r w:rsidR="00BB2997">
        <w:t xml:space="preserve"> (22:16, </w:t>
      </w:r>
      <w:r w:rsidR="00C62D87">
        <w:t>27)</w:t>
      </w:r>
      <w:r w:rsidR="00457C2D">
        <w:t>.</w:t>
      </w:r>
      <w:r w:rsidR="008D3CDE">
        <w:rPr>
          <w:rStyle w:val="FootnoteReference"/>
        </w:rPr>
        <w:footnoteReference w:id="459"/>
      </w:r>
    </w:p>
    <w:p w14:paraId="021877A7" w14:textId="64950BE0" w:rsidR="001479E8" w:rsidRDefault="00BB14AC" w:rsidP="00186B40">
      <w:r>
        <w:t xml:space="preserve">It has been </w:t>
      </w:r>
      <w:r w:rsidR="00F72856">
        <w:t>interpreted</w:t>
      </w:r>
      <w:r>
        <w:t xml:space="preserve"> as evidence that David was self-deceived, with the implication that it needs to be read ironically. Indeed, heard on David’s lips, it raises questions parallel to the hearing of Psalm 51 on his lips, or of Psalm 72 on Solomon’s. Really, David? </w:t>
      </w:r>
      <w:r w:rsidR="00927EE1">
        <w:t xml:space="preserve">But </w:t>
      </w:r>
      <w:r w:rsidR="006E64CA">
        <w:t>as David’s testimony,</w:t>
      </w:r>
      <w:r w:rsidR="00CB19DB">
        <w:t xml:space="preserve"> summing up his experience of Yahweh’s faithfulness and </w:t>
      </w:r>
      <w:r w:rsidR="00AB26A1">
        <w:t>deliverance,</w:t>
      </w:r>
      <w:r w:rsidR="006E64CA">
        <w:t xml:space="preserve"> its statements about his </w:t>
      </w:r>
      <w:r w:rsidR="00280992">
        <w:t xml:space="preserve">own </w:t>
      </w:r>
      <w:r w:rsidR="00E53BE0">
        <w:t xml:space="preserve">unwavering faithfulness </w:t>
      </w:r>
      <w:r w:rsidR="00960DDE">
        <w:t>might</w:t>
      </w:r>
      <w:r w:rsidR="00E53BE0">
        <w:t xml:space="preserve"> </w:t>
      </w:r>
      <w:r w:rsidR="00927EE1">
        <w:t xml:space="preserve">be read as </w:t>
      </w:r>
      <w:r w:rsidR="00E53BE0">
        <w:t>antedat</w:t>
      </w:r>
      <w:r w:rsidR="00927EE1">
        <w:t>ing</w:t>
      </w:r>
      <w:r w:rsidR="00E53BE0">
        <w:t xml:space="preserve"> the wrongdoing with Bathsheba and Uriah</w:t>
      </w:r>
      <w:r w:rsidR="00960DDE">
        <w:t xml:space="preserve">. </w:t>
      </w:r>
      <w:r w:rsidR="00280992">
        <w:t>I</w:t>
      </w:r>
      <w:r w:rsidR="001E4FF9">
        <w:t>t</w:t>
      </w:r>
      <w:r w:rsidR="00D9442F">
        <w:t xml:space="preserve"> </w:t>
      </w:r>
      <w:r w:rsidR="001E4FF9">
        <w:t xml:space="preserve">would </w:t>
      </w:r>
      <w:r w:rsidR="00927EE1">
        <w:t xml:space="preserve">then </w:t>
      </w:r>
      <w:r w:rsidR="001E4FF9">
        <w:t>make sense coming</w:t>
      </w:r>
      <w:r w:rsidR="00D9442F">
        <w:t xml:space="preserve"> from </w:t>
      </w:r>
      <w:r w:rsidR="00674760">
        <w:t>the time just after Saul’s death</w:t>
      </w:r>
      <w:r w:rsidR="00983623">
        <w:t>; it does refer to his</w:t>
      </w:r>
      <w:r w:rsidR="007C02FC">
        <w:t xml:space="preserve"> being rescued from Saul (v. 1) and his faithfulness in that context (1 Sam 24 – 26).</w:t>
      </w:r>
      <w:r w:rsidR="007C02FC">
        <w:rPr>
          <w:rStyle w:val="FootnoteReference"/>
        </w:rPr>
        <w:footnoteReference w:id="460"/>
      </w:r>
      <w:r w:rsidR="00186B40">
        <w:t xml:space="preserve"> </w:t>
      </w:r>
      <w:r w:rsidR="00D3233F">
        <w:t>And/o</w:t>
      </w:r>
      <w:r w:rsidR="00186B40">
        <w:t xml:space="preserve">r it might imply </w:t>
      </w:r>
      <w:r w:rsidR="00AB1AE1">
        <w:t xml:space="preserve">that </w:t>
      </w:r>
      <w:r w:rsidR="00186B40">
        <w:t xml:space="preserve">this </w:t>
      </w:r>
      <w:r w:rsidR="00AB1AE1">
        <w:t xml:space="preserve">wrongdoing </w:t>
      </w:r>
      <w:r w:rsidR="00186B40">
        <w:t>w</w:t>
      </w:r>
      <w:r w:rsidR="00AB1AE1">
        <w:t xml:space="preserve">as the great exception that doesn’t </w:t>
      </w:r>
      <w:r w:rsidR="00D30CC8">
        <w:t>disprove th</w:t>
      </w:r>
      <w:r w:rsidR="00186B40">
        <w:t>e</w:t>
      </w:r>
      <w:r w:rsidR="00D30CC8">
        <w:t xml:space="preserve"> </w:t>
      </w:r>
      <w:r w:rsidR="00186B40">
        <w:t xml:space="preserve">psalm’s general </w:t>
      </w:r>
      <w:r w:rsidR="00D30CC8">
        <w:t>statements</w:t>
      </w:r>
      <w:r w:rsidR="00F72856">
        <w:t xml:space="preserve"> (cf. 1 Kgs 15:5)</w:t>
      </w:r>
      <w:r w:rsidR="00964F47">
        <w:t>.</w:t>
      </w:r>
      <w:r w:rsidR="00964F47">
        <w:rPr>
          <w:rStyle w:val="FootnoteReference"/>
          <w:rFonts w:cstheme="minorHAnsi"/>
        </w:rPr>
        <w:footnoteReference w:id="461"/>
      </w:r>
      <w:r w:rsidR="00964F47">
        <w:t xml:space="preserve"> </w:t>
      </w:r>
      <w:r w:rsidR="00F72856">
        <w:t>S</w:t>
      </w:r>
      <w:r w:rsidR="008D1B08">
        <w:t xml:space="preserve">ubsequent </w:t>
      </w:r>
      <w:r w:rsidR="005C1A1B">
        <w:t>positive</w:t>
      </w:r>
      <w:r w:rsidR="002A51DD">
        <w:t xml:space="preserve"> </w:t>
      </w:r>
      <w:r w:rsidR="005C1A1B">
        <w:t xml:space="preserve">comments about David </w:t>
      </w:r>
      <w:r w:rsidR="00852F03">
        <w:t>(e.g., 2 Kgs 1</w:t>
      </w:r>
      <w:r w:rsidR="0024167D">
        <w:t>8:3</w:t>
      </w:r>
      <w:r w:rsidR="005B10BA">
        <w:t>; 22:2) may</w:t>
      </w:r>
      <w:r w:rsidR="009B2B8F">
        <w:t xml:space="preserve"> treat David as a model of faithfulness to Yahweh </w:t>
      </w:r>
      <w:r w:rsidR="00574FE7">
        <w:t xml:space="preserve">even if he was not a model of righteousness; English translations </w:t>
      </w:r>
      <w:r w:rsidR="00774BDC">
        <w:t xml:space="preserve">are misleading in </w:t>
      </w:r>
      <w:r w:rsidR="00574FE7">
        <w:t>us</w:t>
      </w:r>
      <w:r w:rsidR="00774BDC">
        <w:t>ing</w:t>
      </w:r>
      <w:r w:rsidR="00574FE7">
        <w:t xml:space="preserve"> the word “righteousness</w:t>
      </w:r>
      <w:r w:rsidR="00774BDC">
        <w:t>.</w:t>
      </w:r>
      <w:r w:rsidR="00574FE7">
        <w:t xml:space="preserve">” </w:t>
      </w:r>
    </w:p>
    <w:p w14:paraId="70CF072B" w14:textId="2A97DE81" w:rsidR="00185980" w:rsidRDefault="00774BDC" w:rsidP="00185980">
      <w:r>
        <w:t xml:space="preserve">The psalm </w:t>
      </w:r>
      <w:r w:rsidR="00C72F40">
        <w:t xml:space="preserve">begins plausibly </w:t>
      </w:r>
      <w:r w:rsidR="00DD55CD">
        <w:t>in this connection, as testifying to Yahweh</w:t>
      </w:r>
      <w:r w:rsidR="00F72856">
        <w:t>’s</w:t>
      </w:r>
      <w:r w:rsidR="00DD55CD">
        <w:t xml:space="preserve"> deliver</w:t>
      </w:r>
      <w:r w:rsidR="00F72856">
        <w:t>ing</w:t>
      </w:r>
      <w:r w:rsidR="00DD55CD">
        <w:t xml:space="preserve"> him </w:t>
      </w:r>
      <w:r w:rsidR="00A51BD1">
        <w:t>from all his enemies, and specifically Saul. Yahweh</w:t>
      </w:r>
      <w:r w:rsidR="00612BC5">
        <w:t xml:space="preserve"> is a c</w:t>
      </w:r>
      <w:r w:rsidR="00032247">
        <w:t>liff, a fastness</w:t>
      </w:r>
      <w:r w:rsidR="00746795">
        <w:t>, a means of escape</w:t>
      </w:r>
      <w:r w:rsidR="007078E8">
        <w:t>, a crag, a refuge</w:t>
      </w:r>
      <w:r w:rsidR="0024596B">
        <w:t xml:space="preserve">, a </w:t>
      </w:r>
      <w:r w:rsidR="00CC7000">
        <w:t>peak, a means of deliverance</w:t>
      </w:r>
      <w:r w:rsidR="00F279D0">
        <w:t>, a haven</w:t>
      </w:r>
      <w:r w:rsidR="00E46D51">
        <w:t>, a refuge, a deliverer</w:t>
      </w:r>
      <w:r w:rsidR="00583F61">
        <w:t xml:space="preserve"> from violence</w:t>
      </w:r>
      <w:r w:rsidR="00946777">
        <w:t xml:space="preserve"> (22:2-3). </w:t>
      </w:r>
      <w:r w:rsidR="00B21193">
        <w:t xml:space="preserve">The complex of </w:t>
      </w:r>
      <w:r w:rsidR="00B21193">
        <w:lastRenderedPageBreak/>
        <w:t xml:space="preserve">images </w:t>
      </w:r>
      <w:r w:rsidR="008E33B6">
        <w:t xml:space="preserve">(parallel to but much more extensive than Hannah’s) </w:t>
      </w:r>
      <w:r w:rsidR="00B21193">
        <w:t xml:space="preserve">suggests that David or Israel is a bird that </w:t>
      </w:r>
      <w:r w:rsidR="006B1E07">
        <w:t>needs to escape from a hunter</w:t>
      </w:r>
      <w:r w:rsidR="009046D7">
        <w:t xml:space="preserve"> or from a wild animal</w:t>
      </w:r>
      <w:r w:rsidR="006B1E07">
        <w:t xml:space="preserve">, and that Yahweh is a </w:t>
      </w:r>
      <w:r w:rsidR="005415AF">
        <w:t xml:space="preserve">high ledge </w:t>
      </w:r>
      <w:r w:rsidR="00886C2F">
        <w:t xml:space="preserve">in a rock face </w:t>
      </w:r>
      <w:r w:rsidR="005415AF">
        <w:t xml:space="preserve">onto which it can flit and find safety. </w:t>
      </w:r>
      <w:r w:rsidR="009046D7">
        <w:t>No hunter or animal can reach it there.</w:t>
      </w:r>
      <w:r w:rsidR="00F56478">
        <w:t xml:space="preserve"> Thus </w:t>
      </w:r>
      <w:r w:rsidR="003403FC">
        <w:t>o</w:t>
      </w:r>
      <w:r w:rsidR="00A4584C">
        <w:t xml:space="preserve">ne can call on Yahweh and find deliverance. </w:t>
      </w:r>
    </w:p>
    <w:p w14:paraId="32BB5C10" w14:textId="314A8A5F" w:rsidR="001E6088" w:rsidRDefault="00E52629" w:rsidP="00FA6F42">
      <w:r>
        <w:t>This psalm is more overtly a thanksgiving or testi</w:t>
      </w:r>
      <w:r w:rsidR="0077173E">
        <w:t>mony than Hannah’s</w:t>
      </w:r>
      <w:r w:rsidR="00F72856">
        <w:t>;</w:t>
      </w:r>
      <w:r w:rsidR="0077173E">
        <w:t xml:space="preserve"> it now makes a transition to speaking in the past tense of what Yahweh has done</w:t>
      </w:r>
      <w:r w:rsidR="00F72856">
        <w:t>. T</w:t>
      </w:r>
      <w:r w:rsidR="0077173E">
        <w:t>h</w:t>
      </w:r>
      <w:r w:rsidR="00D807D5">
        <w:t xml:space="preserve">at opening praise is the truth about Yahweh that </w:t>
      </w:r>
      <w:r w:rsidR="003403FC">
        <w:t>Samuel has illustrated in connection with Israel and with David.</w:t>
      </w:r>
      <w:r w:rsidR="00A6730E">
        <w:t xml:space="preserve"> The psalm </w:t>
      </w:r>
      <w:r w:rsidR="00F72856">
        <w:t>also switches</w:t>
      </w:r>
      <w:r w:rsidR="00CA4CC6">
        <w:t xml:space="preserve"> to another metaphor to describe </w:t>
      </w:r>
      <w:r w:rsidR="007F183C">
        <w:t xml:space="preserve">a predicament: I was drowning and </w:t>
      </w:r>
      <w:r w:rsidR="00D77FEA">
        <w:t>about to be overwhelmed by death’s torrents</w:t>
      </w:r>
      <w:r w:rsidR="00BB27CC">
        <w:t xml:space="preserve">. </w:t>
      </w:r>
      <w:r w:rsidR="009B0263">
        <w:t>It is a complication that</w:t>
      </w:r>
      <w:r w:rsidR="004A5B79">
        <w:t xml:space="preserve"> the psalm then varies over </w:t>
      </w:r>
      <w:r w:rsidR="00F72856">
        <w:t>the</w:t>
      </w:r>
      <w:r w:rsidR="004A5B79">
        <w:t xml:space="preserve"> use</w:t>
      </w:r>
      <w:r w:rsidR="00F72856">
        <w:t xml:space="preserve"> of</w:t>
      </w:r>
      <w:r w:rsidR="004A5B79">
        <w:t xml:space="preserve"> qatal and wayyiqtol verbs or </w:t>
      </w:r>
      <w:r w:rsidR="00365025">
        <w:t xml:space="preserve">yiqtols, so </w:t>
      </w:r>
      <w:r w:rsidR="003961A9">
        <w:t>one cannot</w:t>
      </w:r>
      <w:r w:rsidR="00365025">
        <w:t xml:space="preserve"> be sure when it refer</w:t>
      </w:r>
      <w:r w:rsidR="00954883">
        <w:t>s</w:t>
      </w:r>
      <w:r w:rsidR="00365025">
        <w:t xml:space="preserve"> to a past event and when it mak</w:t>
      </w:r>
      <w:r w:rsidR="00954883">
        <w:t>es</w:t>
      </w:r>
      <w:r w:rsidR="00365025">
        <w:t xml:space="preserve"> a generalization. </w:t>
      </w:r>
      <w:r w:rsidR="00D81334">
        <w:t>At this point, however, it seems to declares that</w:t>
      </w:r>
      <w:r w:rsidR="00A3339E">
        <w:t>, threatened by death</w:t>
      </w:r>
      <w:r w:rsidR="00A1014F">
        <w:t xml:space="preserve">, I called out from the depths of the sea, and Yahweh </w:t>
      </w:r>
      <w:r w:rsidR="00980FFA">
        <w:t>listened from</w:t>
      </w:r>
      <w:r w:rsidR="00D245D0">
        <w:t xml:space="preserve"> </w:t>
      </w:r>
      <w:r w:rsidR="00980FFA">
        <w:t>his palace in the heavens. He took action, which the psalm describes in yet</w:t>
      </w:r>
      <w:r w:rsidR="00D245D0">
        <w:t xml:space="preserve"> other metaphorical terms, as one thundering from the heavens</w:t>
      </w:r>
      <w:r w:rsidR="008A12DF">
        <w:t>. He</w:t>
      </w:r>
      <w:r w:rsidR="00820043">
        <w:t xml:space="preserve"> pluck</w:t>
      </w:r>
      <w:r w:rsidR="008A12DF">
        <w:t>ed</w:t>
      </w:r>
      <w:r w:rsidR="00820043">
        <w:t xml:space="preserve"> me out of the overwhelming water</w:t>
      </w:r>
      <w:r w:rsidR="008A12DF">
        <w:t xml:space="preserve"> and deposited me on land</w:t>
      </w:r>
      <w:r w:rsidR="001E6088">
        <w:t>.</w:t>
      </w:r>
      <w:r w:rsidR="00FA6F42">
        <w:t xml:space="preserve"> </w:t>
      </w:r>
      <w:r w:rsidR="001E6088">
        <w:t xml:space="preserve">It is </w:t>
      </w:r>
      <w:r w:rsidR="00FA6F42">
        <w:t xml:space="preserve">also </w:t>
      </w:r>
      <w:r w:rsidR="001E6088">
        <w:t>at this point that the psalm makes a move to statements that raise eyebrows about David or Israel</w:t>
      </w:r>
      <w:r w:rsidR="00EE4F08">
        <w:t xml:space="preserve">, so </w:t>
      </w:r>
      <w:r w:rsidR="00A94899">
        <w:t xml:space="preserve">the transition to yiqtol verbs </w:t>
      </w:r>
      <w:r w:rsidR="00EE4F08">
        <w:t>is fortuitous</w:t>
      </w:r>
      <w:r w:rsidR="00062219">
        <w:t>.</w:t>
      </w:r>
      <w:r w:rsidR="001E6088">
        <w:t xml:space="preserve"> </w:t>
      </w:r>
    </w:p>
    <w:p w14:paraId="740CCDC1" w14:textId="2A3E58BB" w:rsidR="001E6088" w:rsidRDefault="001E6088" w:rsidP="00A51BD1"/>
    <w:p w14:paraId="34DEBBE6" w14:textId="4CB5F16A" w:rsidR="001E6088" w:rsidRDefault="00285308" w:rsidP="00A51BD1">
      <w:pPr>
        <w:rPr>
          <w:rFonts w:cstheme="minorHAnsi"/>
        </w:rPr>
      </w:pPr>
      <w:r>
        <w:t>Yahweh recompense</w:t>
      </w:r>
      <w:r w:rsidR="00062219">
        <w:t>s/will recompense</w:t>
      </w:r>
      <w:r>
        <w:t xml:space="preserve"> me </w:t>
      </w:r>
      <w:r w:rsidR="00DD08EB">
        <w:t>in accordance with my faithfulness (</w:t>
      </w:r>
      <w:r w:rsidR="00DD08EB">
        <w:rPr>
          <w:rFonts w:cstheme="minorHAnsi"/>
          <w:i/>
          <w:iCs/>
        </w:rPr>
        <w:t>ṣə</w:t>
      </w:r>
      <w:r w:rsidR="00F61FAE">
        <w:rPr>
          <w:rFonts w:cstheme="minorHAnsi"/>
          <w:i/>
          <w:iCs/>
        </w:rPr>
        <w:t>d</w:t>
      </w:r>
      <w:r w:rsidR="00DD08EB">
        <w:rPr>
          <w:rFonts w:cstheme="minorHAnsi"/>
          <w:i/>
          <w:iCs/>
        </w:rPr>
        <w:t>ā</w:t>
      </w:r>
      <w:r w:rsidR="00F61FAE">
        <w:rPr>
          <w:rFonts w:cstheme="minorHAnsi"/>
          <w:i/>
          <w:iCs/>
        </w:rPr>
        <w:t>q</w:t>
      </w:r>
      <w:r w:rsidR="00DD08EB">
        <w:rPr>
          <w:rFonts w:cstheme="minorHAnsi"/>
          <w:i/>
          <w:iCs/>
        </w:rPr>
        <w:t>â</w:t>
      </w:r>
      <w:r w:rsidR="00F61FAE">
        <w:rPr>
          <w:rFonts w:cstheme="minorHAnsi"/>
        </w:rPr>
        <w:t>)</w:t>
      </w:r>
      <w:r w:rsidR="00062219">
        <w:rPr>
          <w:rFonts w:cstheme="minorHAnsi"/>
        </w:rPr>
        <w:t>,</w:t>
      </w:r>
    </w:p>
    <w:p w14:paraId="7AFB552F" w14:textId="32F3A169" w:rsidR="00062219" w:rsidRDefault="00062219" w:rsidP="00A51BD1">
      <w:pPr>
        <w:rPr>
          <w:rFonts w:cstheme="minorHAnsi"/>
        </w:rPr>
      </w:pPr>
      <w:r>
        <w:rPr>
          <w:rFonts w:cstheme="minorHAnsi"/>
        </w:rPr>
        <w:tab/>
      </w:r>
      <w:r w:rsidR="00626BA8">
        <w:rPr>
          <w:rFonts w:cstheme="minorHAnsi"/>
        </w:rPr>
        <w:t>i</w:t>
      </w:r>
      <w:r>
        <w:rPr>
          <w:rFonts w:cstheme="minorHAnsi"/>
        </w:rPr>
        <w:t>n accordance with the cleanness of</w:t>
      </w:r>
      <w:r w:rsidR="00787C93">
        <w:rPr>
          <w:rFonts w:cstheme="minorHAnsi"/>
        </w:rPr>
        <w:t xml:space="preserve"> </w:t>
      </w:r>
      <w:r>
        <w:rPr>
          <w:rFonts w:cstheme="minorHAnsi"/>
        </w:rPr>
        <w:t xml:space="preserve">my hands he </w:t>
      </w:r>
      <w:r w:rsidR="006B190E">
        <w:rPr>
          <w:rFonts w:cstheme="minorHAnsi"/>
        </w:rPr>
        <w:t>makes</w:t>
      </w:r>
      <w:r w:rsidR="00426982">
        <w:rPr>
          <w:rFonts w:cstheme="minorHAnsi"/>
        </w:rPr>
        <w:t>/will make</w:t>
      </w:r>
      <w:r w:rsidR="006B190E">
        <w:rPr>
          <w:rFonts w:cstheme="minorHAnsi"/>
        </w:rPr>
        <w:t xml:space="preserve"> things </w:t>
      </w:r>
      <w:r w:rsidR="00B50CB3">
        <w:rPr>
          <w:rFonts w:cstheme="minorHAnsi"/>
        </w:rPr>
        <w:t>return for me</w:t>
      </w:r>
    </w:p>
    <w:p w14:paraId="272D4EBA" w14:textId="3BA98AD0" w:rsidR="00B50CB3" w:rsidRDefault="00B50CB3" w:rsidP="00A51BD1">
      <w:pPr>
        <w:rPr>
          <w:rFonts w:cstheme="minorHAnsi"/>
        </w:rPr>
      </w:pPr>
      <w:r>
        <w:rPr>
          <w:rFonts w:cstheme="minorHAnsi"/>
        </w:rPr>
        <w:t xml:space="preserve">Because I have </w:t>
      </w:r>
      <w:r w:rsidR="00626BA8">
        <w:rPr>
          <w:rFonts w:cstheme="minorHAnsi"/>
        </w:rPr>
        <w:t>kept Yahweh’s ways</w:t>
      </w:r>
    </w:p>
    <w:p w14:paraId="723F0F7F" w14:textId="5BEE6046" w:rsidR="00626BA8" w:rsidRDefault="00626BA8" w:rsidP="00A51BD1">
      <w:pPr>
        <w:rPr>
          <w:rFonts w:cstheme="minorHAnsi"/>
        </w:rPr>
      </w:pPr>
      <w:r>
        <w:rPr>
          <w:rFonts w:cstheme="minorHAnsi"/>
        </w:rPr>
        <w:tab/>
      </w:r>
      <w:r w:rsidR="00D31502">
        <w:rPr>
          <w:rFonts w:cstheme="minorHAnsi"/>
        </w:rPr>
        <w:t>and not been faithless (</w:t>
      </w:r>
      <w:r w:rsidR="00D31502">
        <w:rPr>
          <w:rFonts w:cstheme="minorHAnsi"/>
          <w:i/>
          <w:iCs/>
        </w:rPr>
        <w:t>r</w:t>
      </w:r>
      <w:r w:rsidR="00C0621D">
        <w:rPr>
          <w:rFonts w:cstheme="minorHAnsi"/>
          <w:i/>
          <w:iCs/>
        </w:rPr>
        <w:t>āša‘</w:t>
      </w:r>
      <w:r w:rsidR="00C0621D">
        <w:rPr>
          <w:rFonts w:cstheme="minorHAnsi"/>
        </w:rPr>
        <w:t xml:space="preserve">) </w:t>
      </w:r>
      <w:r w:rsidR="00F80A67">
        <w:rPr>
          <w:rFonts w:cstheme="minorHAnsi"/>
        </w:rPr>
        <w:t xml:space="preserve">in relation to </w:t>
      </w:r>
      <w:r w:rsidR="00583CF4">
        <w:rPr>
          <w:rFonts w:cstheme="minorHAnsi"/>
        </w:rPr>
        <w:t>my God</w:t>
      </w:r>
      <w:r w:rsidR="00A016C9">
        <w:rPr>
          <w:rFonts w:cstheme="minorHAnsi"/>
        </w:rPr>
        <w:t xml:space="preserve"> . . . .</w:t>
      </w:r>
    </w:p>
    <w:p w14:paraId="52433BBA" w14:textId="6F023950" w:rsidR="001A5A36" w:rsidRDefault="00186F87" w:rsidP="00A51BD1">
      <w:pPr>
        <w:rPr>
          <w:rFonts w:cstheme="minorHAnsi"/>
        </w:rPr>
      </w:pPr>
      <w:r>
        <w:rPr>
          <w:rFonts w:cstheme="minorHAnsi"/>
        </w:rPr>
        <w:t>With the committed</w:t>
      </w:r>
      <w:r w:rsidR="00600B50">
        <w:rPr>
          <w:rFonts w:cstheme="minorHAnsi"/>
        </w:rPr>
        <w:t xml:space="preserve"> </w:t>
      </w:r>
      <w:r>
        <w:rPr>
          <w:rFonts w:cstheme="minorHAnsi"/>
        </w:rPr>
        <w:t>(</w:t>
      </w:r>
      <w:r>
        <w:rPr>
          <w:rFonts w:cstheme="minorHAnsi"/>
          <w:i/>
          <w:iCs/>
        </w:rPr>
        <w:t>ḥā</w:t>
      </w:r>
      <w:r w:rsidR="00600B50">
        <w:rPr>
          <w:rFonts w:cstheme="minorHAnsi"/>
          <w:i/>
          <w:iCs/>
        </w:rPr>
        <w:t>s</w:t>
      </w:r>
      <w:r>
        <w:rPr>
          <w:rFonts w:cstheme="minorHAnsi"/>
          <w:i/>
          <w:iCs/>
        </w:rPr>
        <w:t>î</w:t>
      </w:r>
      <w:r w:rsidR="00600B50">
        <w:rPr>
          <w:rFonts w:cstheme="minorHAnsi"/>
          <w:i/>
          <w:iCs/>
        </w:rPr>
        <w:t>d</w:t>
      </w:r>
      <w:r w:rsidR="00600B50">
        <w:rPr>
          <w:rFonts w:cstheme="minorHAnsi"/>
        </w:rPr>
        <w:t>)</w:t>
      </w:r>
      <w:r>
        <w:rPr>
          <w:rFonts w:cstheme="minorHAnsi"/>
        </w:rPr>
        <w:t xml:space="preserve"> you show yourself committed</w:t>
      </w:r>
    </w:p>
    <w:p w14:paraId="435DB171" w14:textId="1644FCAF" w:rsidR="00DD1B88" w:rsidRDefault="00DD1B88" w:rsidP="00A51BD1">
      <w:pPr>
        <w:rPr>
          <w:rFonts w:cstheme="minorHAnsi"/>
        </w:rPr>
      </w:pPr>
      <w:r>
        <w:rPr>
          <w:rFonts w:cstheme="minorHAnsi"/>
        </w:rPr>
        <w:tab/>
        <w:t xml:space="preserve">with the </w:t>
      </w:r>
      <w:r w:rsidR="00D76F0E">
        <w:rPr>
          <w:rFonts w:cstheme="minorHAnsi"/>
        </w:rPr>
        <w:t xml:space="preserve">upright </w:t>
      </w:r>
      <w:r w:rsidR="00EB1322">
        <w:rPr>
          <w:rFonts w:cstheme="minorHAnsi"/>
        </w:rPr>
        <w:t>(</w:t>
      </w:r>
      <w:r w:rsidR="00EB1322">
        <w:rPr>
          <w:rFonts w:cstheme="minorHAnsi"/>
          <w:i/>
          <w:iCs/>
        </w:rPr>
        <w:t>tāmîm</w:t>
      </w:r>
      <w:r w:rsidR="00EB1322">
        <w:rPr>
          <w:rFonts w:cstheme="minorHAnsi"/>
        </w:rPr>
        <w:t>)</w:t>
      </w:r>
      <w:r w:rsidR="00EB1322">
        <w:rPr>
          <w:rFonts w:cstheme="minorHAnsi"/>
          <w:i/>
          <w:iCs/>
        </w:rPr>
        <w:t xml:space="preserve"> </w:t>
      </w:r>
      <w:r w:rsidR="00CE0AF0">
        <w:rPr>
          <w:rFonts w:cstheme="minorHAnsi"/>
        </w:rPr>
        <w:t>warrior</w:t>
      </w:r>
      <w:r w:rsidR="00D76F0E">
        <w:rPr>
          <w:rFonts w:cstheme="minorHAnsi"/>
        </w:rPr>
        <w:t xml:space="preserve"> you show yourself upright</w:t>
      </w:r>
      <w:r w:rsidR="00B36A84">
        <w:rPr>
          <w:rFonts w:cstheme="minorHAnsi"/>
        </w:rPr>
        <w:t>.</w:t>
      </w:r>
    </w:p>
    <w:p w14:paraId="6F9E81BD" w14:textId="7CFC4B27" w:rsidR="00B36A84" w:rsidRDefault="00B36A84" w:rsidP="00A51BD1">
      <w:pPr>
        <w:rPr>
          <w:rFonts w:cstheme="minorHAnsi"/>
        </w:rPr>
      </w:pPr>
      <w:r>
        <w:rPr>
          <w:rFonts w:cstheme="minorHAnsi"/>
        </w:rPr>
        <w:t>With the pure you show yourself pure,</w:t>
      </w:r>
    </w:p>
    <w:p w14:paraId="75DC0349" w14:textId="0FFD9B00" w:rsidR="00B36A84" w:rsidRDefault="00B36A84" w:rsidP="00A51BD1">
      <w:pPr>
        <w:rPr>
          <w:rFonts w:cstheme="minorHAnsi"/>
        </w:rPr>
      </w:pPr>
      <w:r>
        <w:rPr>
          <w:rFonts w:cstheme="minorHAnsi"/>
        </w:rPr>
        <w:tab/>
        <w:t xml:space="preserve">with the refractory </w:t>
      </w:r>
      <w:r w:rsidR="002B3E52">
        <w:rPr>
          <w:rFonts w:cstheme="minorHAnsi"/>
        </w:rPr>
        <w:t>you show refractoriness.</w:t>
      </w:r>
      <w:r w:rsidR="00F221D6">
        <w:rPr>
          <w:rFonts w:cstheme="minorHAnsi"/>
        </w:rPr>
        <w:t xml:space="preserve"> (22:</w:t>
      </w:r>
      <w:r w:rsidR="00217C8E">
        <w:rPr>
          <w:rFonts w:cstheme="minorHAnsi"/>
        </w:rPr>
        <w:t>21-22, 26-27)</w:t>
      </w:r>
    </w:p>
    <w:p w14:paraId="20F9E339" w14:textId="2D8ECE23" w:rsidR="00F51AF4" w:rsidRDefault="00F51AF4" w:rsidP="00F51AF4">
      <w:pPr>
        <w:ind w:firstLine="0"/>
        <w:rPr>
          <w:rFonts w:cstheme="minorHAnsi"/>
        </w:rPr>
      </w:pPr>
    </w:p>
    <w:p w14:paraId="499E073B" w14:textId="1B3FE5C3" w:rsidR="00E809E0" w:rsidRDefault="00F51AF4" w:rsidP="00DB2A8B">
      <w:pPr>
        <w:ind w:firstLine="0"/>
        <w:rPr>
          <w:rFonts w:cstheme="minorHAnsi"/>
        </w:rPr>
      </w:pPr>
      <w:r>
        <w:rPr>
          <w:rFonts w:cstheme="minorHAnsi"/>
        </w:rPr>
        <w:t>It</w:t>
      </w:r>
      <w:r w:rsidR="00F72856">
        <w:rPr>
          <w:rFonts w:cstheme="minorHAnsi"/>
        </w:rPr>
        <w:t>’</w:t>
      </w:r>
      <w:r>
        <w:rPr>
          <w:rFonts w:cstheme="minorHAnsi"/>
        </w:rPr>
        <w:t>s just possible to take David</w:t>
      </w:r>
      <w:r w:rsidR="005F36E1">
        <w:rPr>
          <w:rFonts w:cstheme="minorHAnsi"/>
        </w:rPr>
        <w:t xml:space="preserve">’s “because” statements </w:t>
      </w:r>
      <w:r w:rsidR="00A76C26">
        <w:rPr>
          <w:rFonts w:cstheme="minorHAnsi"/>
        </w:rPr>
        <w:t>as meaning something like “insofar as”</w:t>
      </w:r>
      <w:r w:rsidR="00D7682B">
        <w:rPr>
          <w:rFonts w:cstheme="minorHAnsi"/>
        </w:rPr>
        <w:t xml:space="preserve"> and not quite claiming to have been obedient, fait</w:t>
      </w:r>
      <w:r w:rsidR="006E646C">
        <w:rPr>
          <w:rFonts w:cstheme="minorHAnsi"/>
        </w:rPr>
        <w:t xml:space="preserve">hful, and so on. </w:t>
      </w:r>
      <w:r w:rsidR="00F72856">
        <w:rPr>
          <w:rFonts w:cstheme="minorHAnsi"/>
        </w:rPr>
        <w:t>O</w:t>
      </w:r>
      <w:r w:rsidR="006E646C">
        <w:rPr>
          <w:rFonts w:cstheme="minorHAnsi"/>
        </w:rPr>
        <w:t xml:space="preserve">ne would have to make the same assumption about Israel, in a way that fitted the promises and warnings of </w:t>
      </w:r>
      <w:r w:rsidR="007105D6">
        <w:rPr>
          <w:rFonts w:cstheme="minorHAnsi"/>
        </w:rPr>
        <w:t xml:space="preserve">the Torah and the arguments of the Psalms. </w:t>
      </w:r>
      <w:r w:rsidR="00F72856">
        <w:rPr>
          <w:rFonts w:cstheme="minorHAnsi"/>
        </w:rPr>
        <w:t>It would still</w:t>
      </w:r>
      <w:r w:rsidR="00122083">
        <w:rPr>
          <w:rFonts w:cstheme="minorHAnsi"/>
        </w:rPr>
        <w:t xml:space="preserve"> make for a tension with</w:t>
      </w:r>
      <w:r w:rsidR="004506B2">
        <w:rPr>
          <w:rFonts w:cstheme="minorHAnsi"/>
        </w:rPr>
        <w:t xml:space="preserve"> Samuel as a whole</w:t>
      </w:r>
      <w:r w:rsidR="00CF772C">
        <w:rPr>
          <w:rFonts w:cstheme="minorHAnsi"/>
        </w:rPr>
        <w:t>, w</w:t>
      </w:r>
      <w:r w:rsidR="004545ED">
        <w:rPr>
          <w:rFonts w:cstheme="minorHAnsi"/>
        </w:rPr>
        <w:t xml:space="preserve">here </w:t>
      </w:r>
      <w:r w:rsidR="0066433A">
        <w:rPr>
          <w:rFonts w:cstheme="minorHAnsi"/>
        </w:rPr>
        <w:t xml:space="preserve">there </w:t>
      </w:r>
      <w:r w:rsidR="000C1880">
        <w:rPr>
          <w:rFonts w:cstheme="minorHAnsi"/>
        </w:rPr>
        <w:t>has been</w:t>
      </w:r>
      <w:r w:rsidR="004545ED">
        <w:rPr>
          <w:rFonts w:cstheme="minorHAnsi"/>
        </w:rPr>
        <w:t xml:space="preserve"> no tight relationship between </w:t>
      </w:r>
      <w:r w:rsidR="004665A6">
        <w:rPr>
          <w:rFonts w:cstheme="minorHAnsi"/>
        </w:rPr>
        <w:t>Israel’s</w:t>
      </w:r>
      <w:r w:rsidR="002021D6">
        <w:rPr>
          <w:rFonts w:cstheme="minorHAnsi"/>
        </w:rPr>
        <w:t xml:space="preserve"> faithfulness or David</w:t>
      </w:r>
      <w:r w:rsidR="004665A6">
        <w:rPr>
          <w:rFonts w:cstheme="minorHAnsi"/>
        </w:rPr>
        <w:t>’s faithfulness</w:t>
      </w:r>
      <w:r w:rsidR="002021D6">
        <w:rPr>
          <w:rFonts w:cstheme="minorHAnsi"/>
        </w:rPr>
        <w:t xml:space="preserve"> and </w:t>
      </w:r>
      <w:r w:rsidR="004665A6">
        <w:rPr>
          <w:rFonts w:cstheme="minorHAnsi"/>
        </w:rPr>
        <w:t>Yahweh’s</w:t>
      </w:r>
      <w:r w:rsidR="002021D6">
        <w:rPr>
          <w:rFonts w:cstheme="minorHAnsi"/>
        </w:rPr>
        <w:t xml:space="preserve"> faithfulness. </w:t>
      </w:r>
      <w:r w:rsidR="00D137FC">
        <w:rPr>
          <w:rFonts w:cstheme="minorHAnsi"/>
        </w:rPr>
        <w:t xml:space="preserve">While Yahweh sometimes brings calamity on David or on Israel that results from their faithlessness, </w:t>
      </w:r>
      <w:r w:rsidR="00A321D1">
        <w:rPr>
          <w:rFonts w:cstheme="minorHAnsi"/>
        </w:rPr>
        <w:t xml:space="preserve">over the long haul </w:t>
      </w:r>
      <w:r w:rsidR="002F415D">
        <w:rPr>
          <w:rFonts w:cstheme="minorHAnsi"/>
        </w:rPr>
        <w:t xml:space="preserve">it is </w:t>
      </w:r>
      <w:r w:rsidR="00A321D1">
        <w:rPr>
          <w:rFonts w:cstheme="minorHAnsi"/>
        </w:rPr>
        <w:t>despite their faithlessness</w:t>
      </w:r>
      <w:r w:rsidR="002F415D">
        <w:rPr>
          <w:rFonts w:cstheme="minorHAnsi"/>
        </w:rPr>
        <w:t xml:space="preserve"> that he continues to be faithful</w:t>
      </w:r>
      <w:r w:rsidR="00A321D1">
        <w:rPr>
          <w:rFonts w:cstheme="minorHAnsi"/>
        </w:rPr>
        <w:t xml:space="preserve">. </w:t>
      </w:r>
      <w:r w:rsidR="002308A4">
        <w:rPr>
          <w:rFonts w:cstheme="minorHAnsi"/>
        </w:rPr>
        <w:t>His commitment to Israel and to David continues because of who he is not because of who they are,</w:t>
      </w:r>
      <w:r w:rsidR="002F415D">
        <w:rPr>
          <w:rFonts w:cstheme="minorHAnsi"/>
        </w:rPr>
        <w:t xml:space="preserve"> </w:t>
      </w:r>
      <w:r w:rsidR="002308A4">
        <w:rPr>
          <w:rFonts w:cstheme="minorHAnsi"/>
        </w:rPr>
        <w:t>and because of his purpose not because of their cooperation with his p</w:t>
      </w:r>
      <w:r w:rsidR="00840DA7">
        <w:rPr>
          <w:rFonts w:cstheme="minorHAnsi"/>
        </w:rPr>
        <w:t xml:space="preserve">urpose. </w:t>
      </w:r>
      <w:r w:rsidR="00C600C9">
        <w:rPr>
          <w:rFonts w:cstheme="minorHAnsi"/>
        </w:rPr>
        <w:t xml:space="preserve">But the </w:t>
      </w:r>
      <w:r w:rsidR="00E1188D">
        <w:rPr>
          <w:rFonts w:cstheme="minorHAnsi"/>
        </w:rPr>
        <w:t>apparent implausibility of the st</w:t>
      </w:r>
      <w:r w:rsidR="002B074D">
        <w:rPr>
          <w:rFonts w:cstheme="minorHAnsi"/>
        </w:rPr>
        <w:t>ate</w:t>
      </w:r>
      <w:r w:rsidR="00E1188D">
        <w:rPr>
          <w:rFonts w:cstheme="minorHAnsi"/>
        </w:rPr>
        <w:t>ments increases as a resul</w:t>
      </w:r>
      <w:r w:rsidR="002B074D">
        <w:rPr>
          <w:rFonts w:cstheme="minorHAnsi"/>
        </w:rPr>
        <w:t xml:space="preserve">t of </w:t>
      </w:r>
      <w:r w:rsidR="002B074D">
        <w:rPr>
          <w:rFonts w:cstheme="minorHAnsi"/>
        </w:rPr>
        <w:t>the Septuagint</w:t>
      </w:r>
      <w:r w:rsidR="002B074D">
        <w:rPr>
          <w:rFonts w:cstheme="minorHAnsi"/>
        </w:rPr>
        <w:t>’s</w:t>
      </w:r>
      <w:r w:rsidR="002B074D">
        <w:rPr>
          <w:rFonts w:cstheme="minorHAnsi"/>
        </w:rPr>
        <w:t xml:space="preserve"> us</w:t>
      </w:r>
      <w:r w:rsidR="002B074D">
        <w:rPr>
          <w:rFonts w:cstheme="minorHAnsi"/>
        </w:rPr>
        <w:t>ing</w:t>
      </w:r>
      <w:r w:rsidR="002B074D">
        <w:rPr>
          <w:rFonts w:cstheme="minorHAnsi"/>
        </w:rPr>
        <w:t xml:space="preserve"> a word meaning “blameless”</w:t>
      </w:r>
      <w:r w:rsidR="001C2149">
        <w:rPr>
          <w:rFonts w:cstheme="minorHAnsi"/>
        </w:rPr>
        <w:t xml:space="preserve"> </w:t>
      </w:r>
      <w:r w:rsidR="003D3D7F">
        <w:rPr>
          <w:rFonts w:cstheme="minorHAnsi"/>
        </w:rPr>
        <w:t>where I have “upr</w:t>
      </w:r>
      <w:r w:rsidR="009036F5">
        <w:rPr>
          <w:rFonts w:cstheme="minorHAnsi"/>
        </w:rPr>
        <w:t>ight</w:t>
      </w:r>
      <w:r w:rsidR="006C6C0E">
        <w:rPr>
          <w:rFonts w:cstheme="minorHAnsi"/>
        </w:rPr>
        <w:t>,</w:t>
      </w:r>
      <w:r w:rsidR="009036F5">
        <w:rPr>
          <w:rFonts w:cstheme="minorHAnsi"/>
        </w:rPr>
        <w:t xml:space="preserve">” </w:t>
      </w:r>
      <w:r w:rsidR="00854916">
        <w:rPr>
          <w:rFonts w:cstheme="minorHAnsi"/>
        </w:rPr>
        <w:t>for</w:t>
      </w:r>
      <w:r w:rsidR="009036F5">
        <w:rPr>
          <w:rFonts w:cstheme="minorHAnsi"/>
        </w:rPr>
        <w:t xml:space="preserve"> the word</w:t>
      </w:r>
      <w:r w:rsidR="00854916">
        <w:rPr>
          <w:rFonts w:cstheme="minorHAnsi"/>
        </w:rPr>
        <w:t xml:space="preserve"> </w:t>
      </w:r>
      <w:r w:rsidR="00854916" w:rsidRPr="00AA7C8E">
        <w:rPr>
          <w:rFonts w:cstheme="minorHAnsi"/>
          <w:i/>
          <w:iCs/>
        </w:rPr>
        <w:t>tāmim</w:t>
      </w:r>
      <w:r w:rsidR="00854916">
        <w:rPr>
          <w:rFonts w:cstheme="minorHAnsi"/>
        </w:rPr>
        <w:t xml:space="preserve"> which more literally means</w:t>
      </w:r>
      <w:r w:rsidR="00854916">
        <w:rPr>
          <w:rFonts w:cstheme="minorHAnsi"/>
        </w:rPr>
        <w:t xml:space="preserve"> </w:t>
      </w:r>
      <w:r w:rsidR="003D3D7F">
        <w:rPr>
          <w:rFonts w:cstheme="minorHAnsi"/>
        </w:rPr>
        <w:t>“whole” with the implication of “wholly commit</w:t>
      </w:r>
      <w:r w:rsidR="006C6C0E">
        <w:rPr>
          <w:rFonts w:cstheme="minorHAnsi"/>
        </w:rPr>
        <w:t>ted</w:t>
      </w:r>
      <w:r w:rsidR="004755FC">
        <w:rPr>
          <w:rFonts w:cstheme="minorHAnsi"/>
        </w:rPr>
        <w:t>”;</w:t>
      </w:r>
      <w:r w:rsidR="00AA7C8E">
        <w:rPr>
          <w:rFonts w:cstheme="minorHAnsi"/>
        </w:rPr>
        <w:t xml:space="preserve"> </w:t>
      </w:r>
      <w:r w:rsidR="002E1823">
        <w:rPr>
          <w:rFonts w:cstheme="minorHAnsi"/>
        </w:rPr>
        <w:t xml:space="preserve">some </w:t>
      </w:r>
      <w:r w:rsidR="00AA7C8E">
        <w:rPr>
          <w:rFonts w:cstheme="minorHAnsi"/>
        </w:rPr>
        <w:t xml:space="preserve">English translations follow. </w:t>
      </w:r>
      <w:r w:rsidR="00E00FDF">
        <w:rPr>
          <w:rFonts w:cstheme="minorHAnsi"/>
        </w:rPr>
        <w:t xml:space="preserve">This </w:t>
      </w:r>
      <w:r w:rsidR="00505F63">
        <w:rPr>
          <w:rFonts w:cstheme="minorHAnsi"/>
        </w:rPr>
        <w:t>integrity of commitment</w:t>
      </w:r>
      <w:r w:rsidR="00E00FDF">
        <w:rPr>
          <w:rFonts w:cstheme="minorHAnsi"/>
        </w:rPr>
        <w:t xml:space="preserve"> </w:t>
      </w:r>
      <w:r w:rsidR="00E809E0">
        <w:rPr>
          <w:rFonts w:cstheme="minorHAnsi"/>
        </w:rPr>
        <w:t>means that “all is in order between God and man.”</w:t>
      </w:r>
      <w:r w:rsidR="00CB6998">
        <w:rPr>
          <w:rStyle w:val="FootnoteReference"/>
          <w:rFonts w:cstheme="minorHAnsi"/>
        </w:rPr>
        <w:footnoteReference w:id="462"/>
      </w:r>
      <w:r w:rsidR="00FF2192">
        <w:rPr>
          <w:rFonts w:cstheme="minorHAnsi"/>
        </w:rPr>
        <w:t xml:space="preserve"> But “blameless” </w:t>
      </w:r>
      <w:r w:rsidR="00F63FEA">
        <w:rPr>
          <w:rFonts w:cstheme="minorHAnsi"/>
        </w:rPr>
        <w:t>suggests the absence of any failure, which is more than the word claims.</w:t>
      </w:r>
      <w:r w:rsidR="001C2CAB">
        <w:rPr>
          <w:rFonts w:cstheme="minorHAnsi"/>
        </w:rPr>
        <w:t xml:space="preserve"> </w:t>
      </w:r>
      <w:r w:rsidR="00DE6ED0">
        <w:rPr>
          <w:rFonts w:cstheme="minorHAnsi"/>
        </w:rPr>
        <w:t xml:space="preserve">The word recurs as a </w:t>
      </w:r>
      <w:r w:rsidR="008C101F">
        <w:rPr>
          <w:rFonts w:cstheme="minorHAnsi"/>
        </w:rPr>
        <w:t>description of Yahweh:</w:t>
      </w:r>
    </w:p>
    <w:p w14:paraId="34DDB669" w14:textId="77777777" w:rsidR="009211FB" w:rsidRDefault="009211FB" w:rsidP="00401471">
      <w:pPr>
        <w:rPr>
          <w:rFonts w:cstheme="minorHAnsi"/>
        </w:rPr>
      </w:pPr>
    </w:p>
    <w:p w14:paraId="6E87F54C" w14:textId="015F0209" w:rsidR="004F3E6D" w:rsidRDefault="00E41FE3" w:rsidP="00401471">
      <w:pPr>
        <w:rPr>
          <w:rFonts w:cstheme="minorHAnsi"/>
        </w:rPr>
      </w:pPr>
      <w:r>
        <w:rPr>
          <w:rFonts w:cstheme="minorHAnsi"/>
        </w:rPr>
        <w:t>God</w:t>
      </w:r>
      <w:r w:rsidR="00B335C2">
        <w:rPr>
          <w:rFonts w:cstheme="minorHAnsi"/>
        </w:rPr>
        <w:t xml:space="preserve"> is upright in his way</w:t>
      </w:r>
      <w:r w:rsidR="009225F1">
        <w:rPr>
          <w:rFonts w:cstheme="minorHAnsi"/>
        </w:rPr>
        <w:t xml:space="preserve">, </w:t>
      </w:r>
    </w:p>
    <w:p w14:paraId="543D1735" w14:textId="6CFCD6DD" w:rsidR="009225F1" w:rsidRDefault="009225F1" w:rsidP="00401471">
      <w:pPr>
        <w:rPr>
          <w:rFonts w:cstheme="minorHAnsi"/>
        </w:rPr>
      </w:pPr>
      <w:r>
        <w:rPr>
          <w:rFonts w:cstheme="minorHAnsi"/>
        </w:rPr>
        <w:tab/>
        <w:t xml:space="preserve">Yahweh’s word is </w:t>
      </w:r>
      <w:r w:rsidR="00FD6BB0">
        <w:rPr>
          <w:rFonts w:cstheme="minorHAnsi"/>
        </w:rPr>
        <w:t xml:space="preserve">[silver] </w:t>
      </w:r>
      <w:r w:rsidR="00E9724F">
        <w:rPr>
          <w:rFonts w:cstheme="minorHAnsi"/>
        </w:rPr>
        <w:t>refined</w:t>
      </w:r>
      <w:r w:rsidR="00231671">
        <w:rPr>
          <w:rFonts w:cstheme="minorHAnsi"/>
        </w:rPr>
        <w:t>.</w:t>
      </w:r>
    </w:p>
    <w:p w14:paraId="5B4F29F3" w14:textId="77777777" w:rsidR="00727BA0" w:rsidRDefault="00231671" w:rsidP="00B245C9">
      <w:pPr>
        <w:rPr>
          <w:rFonts w:cstheme="minorHAnsi"/>
        </w:rPr>
      </w:pPr>
      <w:r>
        <w:rPr>
          <w:rFonts w:cstheme="minorHAnsi"/>
        </w:rPr>
        <w:lastRenderedPageBreak/>
        <w:t>He is a shield</w:t>
      </w:r>
      <w:r w:rsidR="00B245C9">
        <w:rPr>
          <w:rFonts w:cstheme="minorHAnsi"/>
        </w:rPr>
        <w:t xml:space="preserve"> </w:t>
      </w:r>
      <w:r>
        <w:rPr>
          <w:rFonts w:cstheme="minorHAnsi"/>
        </w:rPr>
        <w:t>to everyone</w:t>
      </w:r>
      <w:r w:rsidR="00B245C9">
        <w:rPr>
          <w:rFonts w:cstheme="minorHAnsi"/>
        </w:rPr>
        <w:t xml:space="preserve">, </w:t>
      </w:r>
    </w:p>
    <w:p w14:paraId="6709DFE6" w14:textId="77777777" w:rsidR="003C5D4B" w:rsidRDefault="00727BA0" w:rsidP="00B245C9">
      <w:pPr>
        <w:rPr>
          <w:rFonts w:cstheme="minorHAnsi"/>
        </w:rPr>
      </w:pPr>
      <w:r>
        <w:rPr>
          <w:rFonts w:cstheme="minorHAnsi"/>
        </w:rPr>
        <w:tab/>
        <w:t xml:space="preserve">people who take </w:t>
      </w:r>
      <w:r w:rsidR="003C5D4B">
        <w:rPr>
          <w:rFonts w:cstheme="minorHAnsi"/>
        </w:rPr>
        <w:t>refuge in him.</w:t>
      </w:r>
    </w:p>
    <w:p w14:paraId="0595A976" w14:textId="77777777" w:rsidR="00BF6CAA" w:rsidRDefault="003C5D4B" w:rsidP="00B245C9">
      <w:pPr>
        <w:rPr>
          <w:rFonts w:cstheme="minorHAnsi"/>
        </w:rPr>
      </w:pPr>
      <w:r>
        <w:rPr>
          <w:rFonts w:cstheme="minorHAnsi"/>
        </w:rPr>
        <w:t>Because who is God apart from Yahweh</w:t>
      </w:r>
      <w:r w:rsidR="00BF6CAA">
        <w:rPr>
          <w:rFonts w:cstheme="minorHAnsi"/>
        </w:rPr>
        <w:t>,</w:t>
      </w:r>
    </w:p>
    <w:p w14:paraId="1F33C949" w14:textId="5C83C7AE" w:rsidR="00231671" w:rsidRDefault="00BF6CAA" w:rsidP="00B245C9">
      <w:pPr>
        <w:rPr>
          <w:rFonts w:cstheme="minorHAnsi"/>
        </w:rPr>
      </w:pPr>
      <w:r>
        <w:rPr>
          <w:rFonts w:cstheme="minorHAnsi"/>
        </w:rPr>
        <w:tab/>
        <w:t xml:space="preserve">and who is a crag except </w:t>
      </w:r>
      <w:r w:rsidR="00D721EC">
        <w:rPr>
          <w:rFonts w:cstheme="minorHAnsi"/>
        </w:rPr>
        <w:t>our God?</w:t>
      </w:r>
      <w:r w:rsidR="002E73A3">
        <w:rPr>
          <w:rFonts w:cstheme="minorHAnsi"/>
        </w:rPr>
        <w:t xml:space="preserve"> (22:31-32)</w:t>
      </w:r>
      <w:r w:rsidR="00231671">
        <w:rPr>
          <w:rFonts w:cstheme="minorHAnsi"/>
        </w:rPr>
        <w:t xml:space="preserve"> </w:t>
      </w:r>
    </w:p>
    <w:p w14:paraId="04D8F735" w14:textId="77777777" w:rsidR="004F3E6D" w:rsidRDefault="004F3E6D" w:rsidP="00401471">
      <w:pPr>
        <w:rPr>
          <w:rFonts w:cstheme="minorHAnsi"/>
        </w:rPr>
      </w:pPr>
    </w:p>
    <w:p w14:paraId="6BE7A436" w14:textId="08D14F1D" w:rsidR="00E50E49" w:rsidRDefault="00401471" w:rsidP="00401471">
      <w:pPr>
        <w:rPr>
          <w:rFonts w:cstheme="minorHAnsi"/>
        </w:rPr>
      </w:pPr>
      <w:r>
        <w:rPr>
          <w:rFonts w:cstheme="minorHAnsi"/>
        </w:rPr>
        <w:t>“David’s last words” (23:1-7) restate this understanding of Yahweh</w:t>
      </w:r>
      <w:r w:rsidR="008F6C30">
        <w:rPr>
          <w:rFonts w:cstheme="minorHAnsi"/>
        </w:rPr>
        <w:t>,</w:t>
      </w:r>
      <w:r w:rsidR="00394BAA">
        <w:rPr>
          <w:rFonts w:cstheme="minorHAnsi"/>
        </w:rPr>
        <w:t xml:space="preserve"> David</w:t>
      </w:r>
      <w:r w:rsidR="008F6C30">
        <w:rPr>
          <w:rFonts w:cstheme="minorHAnsi"/>
        </w:rPr>
        <w:t>,</w:t>
      </w:r>
      <w:r w:rsidR="00394BAA">
        <w:rPr>
          <w:rFonts w:cstheme="minorHAnsi"/>
        </w:rPr>
        <w:t xml:space="preserve"> and</w:t>
      </w:r>
      <w:r>
        <w:rPr>
          <w:rFonts w:cstheme="minorHAnsi"/>
        </w:rPr>
        <w:t xml:space="preserve"> Israel</w:t>
      </w:r>
      <w:r w:rsidR="0055267A">
        <w:rPr>
          <w:rFonts w:cstheme="minorHAnsi"/>
        </w:rPr>
        <w:t xml:space="preserve">, again </w:t>
      </w:r>
      <w:r w:rsidR="005A7A33">
        <w:rPr>
          <w:rFonts w:cstheme="minorHAnsi"/>
        </w:rPr>
        <w:t>describing David</w:t>
      </w:r>
      <w:r w:rsidR="00707CD7">
        <w:rPr>
          <w:rFonts w:cstheme="minorHAnsi"/>
        </w:rPr>
        <w:t xml:space="preserve"> as “the anointed of the God of Jacob.”</w:t>
      </w:r>
      <w:r w:rsidR="006F0322">
        <w:rPr>
          <w:rFonts w:cstheme="minorHAnsi"/>
        </w:rPr>
        <w:t xml:space="preserve"> And like Hannah, David speaks like a prophet</w:t>
      </w:r>
      <w:r w:rsidR="00B112F3">
        <w:rPr>
          <w:rFonts w:cstheme="minorHAnsi"/>
        </w:rPr>
        <w:t xml:space="preserve"> (23:2-3).</w:t>
      </w:r>
      <w:r w:rsidR="005549C8">
        <w:rPr>
          <w:rFonts w:cstheme="minorHAnsi"/>
        </w:rPr>
        <w:t xml:space="preserve"> </w:t>
      </w:r>
      <w:r w:rsidR="00E24CE5">
        <w:rPr>
          <w:rFonts w:cstheme="minorHAnsi"/>
        </w:rPr>
        <w:t xml:space="preserve">It is the </w:t>
      </w:r>
      <w:r w:rsidR="00644F5E">
        <w:rPr>
          <w:rFonts w:cstheme="minorHAnsi"/>
        </w:rPr>
        <w:t>only passage</w:t>
      </w:r>
      <w:r w:rsidR="00AD4ACC">
        <w:rPr>
          <w:rFonts w:cstheme="minorHAnsi"/>
        </w:rPr>
        <w:t xml:space="preserve"> apart from the account o</w:t>
      </w:r>
      <w:r w:rsidR="00F31583">
        <w:rPr>
          <w:rFonts w:cstheme="minorHAnsi"/>
        </w:rPr>
        <w:t>f</w:t>
      </w:r>
      <w:r w:rsidR="00AD4ACC">
        <w:rPr>
          <w:rFonts w:cstheme="minorHAnsi"/>
        </w:rPr>
        <w:t xml:space="preserve"> David’s original anointing </w:t>
      </w:r>
      <w:r w:rsidR="00F31583">
        <w:rPr>
          <w:rFonts w:cstheme="minorHAnsi"/>
        </w:rPr>
        <w:t xml:space="preserve">(1 Sam 16:13) </w:t>
      </w:r>
      <w:r w:rsidR="00AD4ACC">
        <w:rPr>
          <w:rFonts w:cstheme="minorHAnsi"/>
        </w:rPr>
        <w:t xml:space="preserve">that associates </w:t>
      </w:r>
      <w:r w:rsidR="00F31583">
        <w:rPr>
          <w:rFonts w:cstheme="minorHAnsi"/>
        </w:rPr>
        <w:t>the spirit of Yahweh with David.</w:t>
      </w:r>
      <w:r w:rsidR="008D5982">
        <w:rPr>
          <w:rFonts w:cstheme="minorHAnsi"/>
        </w:rPr>
        <w:t xml:space="preserve"> Either David himself, or someone on his beha</w:t>
      </w:r>
      <w:r w:rsidR="006B6667">
        <w:rPr>
          <w:rFonts w:cstheme="minorHAnsi"/>
        </w:rPr>
        <w:t xml:space="preserve">lf, describes what he needs to be committed to being, in a way that again recalls </w:t>
      </w:r>
      <w:r w:rsidR="005E3E5D">
        <w:rPr>
          <w:rFonts w:cstheme="minorHAnsi"/>
        </w:rPr>
        <w:t xml:space="preserve">the vision for kingship in </w:t>
      </w:r>
      <w:r w:rsidR="006B6667">
        <w:rPr>
          <w:rFonts w:cstheme="minorHAnsi"/>
        </w:rPr>
        <w:t>Psa</w:t>
      </w:r>
      <w:r w:rsidR="005E3E5D">
        <w:rPr>
          <w:rFonts w:cstheme="minorHAnsi"/>
        </w:rPr>
        <w:t>l</w:t>
      </w:r>
      <w:r w:rsidR="006B6667">
        <w:rPr>
          <w:rFonts w:cstheme="minorHAnsi"/>
        </w:rPr>
        <w:t>m 72</w:t>
      </w:r>
      <w:r w:rsidR="005E3E5D">
        <w:rPr>
          <w:rFonts w:cstheme="minorHAnsi"/>
        </w:rPr>
        <w:t>.</w:t>
      </w:r>
    </w:p>
    <w:p w14:paraId="07835A0C" w14:textId="55223FB2" w:rsidR="00EB4857" w:rsidRDefault="00EB4857" w:rsidP="00401471">
      <w:pPr>
        <w:rPr>
          <w:rFonts w:cstheme="minorHAnsi"/>
        </w:rPr>
      </w:pPr>
    </w:p>
    <w:p w14:paraId="1DF2787E" w14:textId="263849CD" w:rsidR="00EB4857" w:rsidRDefault="00E12FA7" w:rsidP="00401471">
      <w:pPr>
        <w:rPr>
          <w:rFonts w:cstheme="minorHAnsi"/>
        </w:rPr>
      </w:pPr>
      <w:r>
        <w:rPr>
          <w:rFonts w:cstheme="minorHAnsi"/>
        </w:rPr>
        <w:t xml:space="preserve">One who rules </w:t>
      </w:r>
      <w:r w:rsidR="00FC495C">
        <w:rPr>
          <w:rFonts w:cstheme="minorHAnsi"/>
        </w:rPr>
        <w:t xml:space="preserve">over </w:t>
      </w:r>
      <w:r>
        <w:rPr>
          <w:rFonts w:cstheme="minorHAnsi"/>
        </w:rPr>
        <w:t xml:space="preserve">people </w:t>
      </w:r>
      <w:r w:rsidR="003B53A2">
        <w:rPr>
          <w:rFonts w:cstheme="minorHAnsi"/>
        </w:rPr>
        <w:t>as a faithful person,</w:t>
      </w:r>
    </w:p>
    <w:p w14:paraId="2EE7194E" w14:textId="31927B79" w:rsidR="003B53A2" w:rsidRDefault="003B53A2" w:rsidP="00401471">
      <w:pPr>
        <w:rPr>
          <w:rFonts w:cstheme="minorHAnsi"/>
        </w:rPr>
      </w:pPr>
      <w:r>
        <w:rPr>
          <w:rFonts w:cstheme="minorHAnsi"/>
        </w:rPr>
        <w:tab/>
      </w:r>
      <w:r w:rsidR="00BF5DF2">
        <w:rPr>
          <w:rFonts w:cstheme="minorHAnsi"/>
        </w:rPr>
        <w:t xml:space="preserve"> </w:t>
      </w:r>
      <w:r>
        <w:rPr>
          <w:rFonts w:cstheme="minorHAnsi"/>
        </w:rPr>
        <w:t>rules in awe of God,</w:t>
      </w:r>
    </w:p>
    <w:p w14:paraId="73246BF7" w14:textId="0FCC19A4" w:rsidR="00AB7EF5" w:rsidRDefault="00AB7EF5" w:rsidP="00401471">
      <w:pPr>
        <w:rPr>
          <w:rFonts w:cstheme="minorHAnsi"/>
        </w:rPr>
      </w:pPr>
      <w:r>
        <w:rPr>
          <w:rFonts w:cstheme="minorHAnsi"/>
        </w:rPr>
        <w:t xml:space="preserve">And </w:t>
      </w:r>
      <w:r w:rsidR="003932FD">
        <w:rPr>
          <w:rFonts w:cstheme="minorHAnsi"/>
        </w:rPr>
        <w:t xml:space="preserve">is </w:t>
      </w:r>
      <w:r>
        <w:rPr>
          <w:rFonts w:cstheme="minorHAnsi"/>
        </w:rPr>
        <w:t>like the light of morning</w:t>
      </w:r>
      <w:r w:rsidR="00F4057C">
        <w:rPr>
          <w:rFonts w:cstheme="minorHAnsi"/>
        </w:rPr>
        <w:t xml:space="preserve"> when the sun rises,</w:t>
      </w:r>
    </w:p>
    <w:p w14:paraId="583126E8" w14:textId="78514DD6" w:rsidR="00C469BF" w:rsidRDefault="00C469BF" w:rsidP="00401471">
      <w:pPr>
        <w:rPr>
          <w:rFonts w:cstheme="minorHAnsi"/>
        </w:rPr>
      </w:pPr>
      <w:r>
        <w:rPr>
          <w:rFonts w:cstheme="minorHAnsi"/>
        </w:rPr>
        <w:tab/>
        <w:t xml:space="preserve">a morning </w:t>
      </w:r>
      <w:r w:rsidR="00F96F0F">
        <w:rPr>
          <w:rFonts w:cstheme="minorHAnsi"/>
        </w:rPr>
        <w:t>that has no clouds</w:t>
      </w:r>
      <w:r w:rsidR="00792C0C">
        <w:rPr>
          <w:rFonts w:cstheme="minorHAnsi"/>
        </w:rPr>
        <w:t>:</w:t>
      </w:r>
    </w:p>
    <w:p w14:paraId="2E86F3A8" w14:textId="62127485" w:rsidR="00F96F0F" w:rsidRDefault="00792C0C" w:rsidP="00401471">
      <w:pPr>
        <w:rPr>
          <w:rFonts w:cstheme="minorHAnsi"/>
        </w:rPr>
      </w:pPr>
      <w:r>
        <w:rPr>
          <w:rFonts w:cstheme="minorHAnsi"/>
        </w:rPr>
        <w:t>F</w:t>
      </w:r>
      <w:r w:rsidR="00583B71">
        <w:rPr>
          <w:rFonts w:cstheme="minorHAnsi"/>
        </w:rPr>
        <w:t xml:space="preserve">rom sunshine and from rain </w:t>
      </w:r>
    </w:p>
    <w:p w14:paraId="790CF106" w14:textId="3DA5F70C" w:rsidR="00792C0C" w:rsidRDefault="00792C0C" w:rsidP="00401471">
      <w:pPr>
        <w:rPr>
          <w:rFonts w:cstheme="minorHAnsi"/>
        </w:rPr>
      </w:pPr>
      <w:r>
        <w:rPr>
          <w:rFonts w:cstheme="minorHAnsi"/>
        </w:rPr>
        <w:tab/>
      </w:r>
      <w:r w:rsidR="00266BC0">
        <w:rPr>
          <w:rFonts w:cstheme="minorHAnsi"/>
        </w:rPr>
        <w:t>there’s growth</w:t>
      </w:r>
      <w:r w:rsidR="0019652E">
        <w:rPr>
          <w:rFonts w:cstheme="minorHAnsi"/>
        </w:rPr>
        <w:t xml:space="preserve"> from the earth.</w:t>
      </w:r>
    </w:p>
    <w:p w14:paraId="230367CB" w14:textId="5E75E502" w:rsidR="00D2349A" w:rsidRDefault="00240102" w:rsidP="00401471">
      <w:pPr>
        <w:rPr>
          <w:rFonts w:cstheme="minorHAnsi"/>
        </w:rPr>
      </w:pPr>
      <w:r>
        <w:rPr>
          <w:rFonts w:cstheme="minorHAnsi"/>
        </w:rPr>
        <w:t>My household is like this with God, isn’t it</w:t>
      </w:r>
      <w:r w:rsidR="00444F82">
        <w:rPr>
          <w:rFonts w:cstheme="minorHAnsi"/>
        </w:rPr>
        <w:t>,</w:t>
      </w:r>
    </w:p>
    <w:p w14:paraId="6BDF735D" w14:textId="373144F6" w:rsidR="00444F82" w:rsidRDefault="00444F82" w:rsidP="00401471">
      <w:pPr>
        <w:rPr>
          <w:rFonts w:cstheme="minorHAnsi"/>
        </w:rPr>
      </w:pPr>
      <w:r>
        <w:rPr>
          <w:rFonts w:cstheme="minorHAnsi"/>
        </w:rPr>
        <w:tab/>
        <w:t xml:space="preserve">because he has set up a pledge </w:t>
      </w:r>
      <w:r w:rsidR="00313AEF">
        <w:t>for all time</w:t>
      </w:r>
      <w:r w:rsidR="00313AEF">
        <w:rPr>
          <w:rFonts w:cstheme="minorHAnsi"/>
        </w:rPr>
        <w:t xml:space="preserve"> </w:t>
      </w:r>
      <w:r w:rsidR="003F3C19">
        <w:rPr>
          <w:rFonts w:cstheme="minorHAnsi"/>
        </w:rPr>
        <w:t>for me</w:t>
      </w:r>
      <w:r w:rsidR="00A016C9">
        <w:rPr>
          <w:rFonts w:cstheme="minorHAnsi"/>
        </w:rPr>
        <w:t xml:space="preserve"> . . . .</w:t>
      </w:r>
    </w:p>
    <w:p w14:paraId="0515B4D8" w14:textId="5692C4DD" w:rsidR="003F3C19" w:rsidRDefault="00315729" w:rsidP="00401471">
      <w:pPr>
        <w:rPr>
          <w:rFonts w:cstheme="minorHAnsi"/>
        </w:rPr>
      </w:pPr>
      <w:r>
        <w:rPr>
          <w:rFonts w:cstheme="minorHAnsi"/>
        </w:rPr>
        <w:t>But the scoundrel is like a thistle</w:t>
      </w:r>
      <w:r w:rsidR="008B5D60">
        <w:rPr>
          <w:rFonts w:cstheme="minorHAnsi"/>
        </w:rPr>
        <w:t>,</w:t>
      </w:r>
    </w:p>
    <w:p w14:paraId="5797467F" w14:textId="27DFBA02" w:rsidR="008B5D60" w:rsidRDefault="008B5D60" w:rsidP="00401471">
      <w:pPr>
        <w:rPr>
          <w:rFonts w:cstheme="minorHAnsi"/>
        </w:rPr>
      </w:pPr>
      <w:r>
        <w:rPr>
          <w:rFonts w:cstheme="minorHAnsi"/>
        </w:rPr>
        <w:tab/>
        <w:t>thrown away, all of them</w:t>
      </w:r>
      <w:r w:rsidR="00394BAA">
        <w:rPr>
          <w:rFonts w:cstheme="minorHAnsi"/>
        </w:rPr>
        <w:t>.</w:t>
      </w:r>
    </w:p>
    <w:p w14:paraId="4CEF9B31" w14:textId="1F21970C" w:rsidR="002D68C2" w:rsidRDefault="002D68C2" w:rsidP="00401471">
      <w:pPr>
        <w:rPr>
          <w:rFonts w:cstheme="minorHAnsi"/>
        </w:rPr>
      </w:pPr>
    </w:p>
    <w:p w14:paraId="0B98C06C" w14:textId="05CE474E" w:rsidR="00CB5226" w:rsidRDefault="006C0C4D" w:rsidP="00401471">
      <w:r>
        <w:t>“</w:t>
      </w:r>
      <w:r w:rsidR="00A16D51">
        <w:t>T</w:t>
      </w:r>
      <w:r w:rsidR="00CB5226">
        <w:t>he election of a man is that in spite of himself God makes this kind of man a witness to His will, the will of His grace. Election stands or falls with that which God purposes and will effect and accomplish with him, and on this very account it can only stand and not fall.</w:t>
      </w:r>
      <w:r>
        <w:t>”</w:t>
      </w:r>
      <w:r w:rsidR="003B7CDC">
        <w:rPr>
          <w:rStyle w:val="FootnoteReference"/>
        </w:rPr>
        <w:footnoteReference w:id="463"/>
      </w:r>
      <w:r>
        <w:t xml:space="preserve"> So it is with Israel, and </w:t>
      </w:r>
      <w:r w:rsidR="00A16D51">
        <w:t>with David.</w:t>
      </w:r>
    </w:p>
    <w:p w14:paraId="7432D50F" w14:textId="0BDDD957" w:rsidR="003B02F2" w:rsidRDefault="003B02F2">
      <w:pPr>
        <w:spacing w:after="160"/>
        <w:ind w:firstLine="0"/>
      </w:pPr>
      <w:r>
        <w:br w:type="page"/>
      </w:r>
    </w:p>
    <w:p w14:paraId="78E43CAA" w14:textId="0882A6CF" w:rsidR="001F327C" w:rsidRPr="001F52A8" w:rsidRDefault="001F327C" w:rsidP="00DE39DB">
      <w:pPr>
        <w:pStyle w:val="Heading1"/>
        <w:numPr>
          <w:ilvl w:val="0"/>
          <w:numId w:val="19"/>
        </w:numPr>
      </w:pPr>
      <w:r w:rsidRPr="001F52A8">
        <w:lastRenderedPageBreak/>
        <w:t>Samuel in Its Theological Context</w:t>
      </w:r>
      <w:r>
        <w:t xml:space="preserve"> in the Scriptures</w:t>
      </w:r>
    </w:p>
    <w:p w14:paraId="0A42997D" w14:textId="2217C5D2" w:rsidR="00D6374D" w:rsidRDefault="001F327C" w:rsidP="001F327C">
      <w:r w:rsidRPr="001F52A8">
        <w:t>The theology of Samuel is set in a series of contexts within the Scriptures.</w:t>
      </w:r>
      <w:r w:rsidR="001F3073">
        <w:t xml:space="preserve"> </w:t>
      </w:r>
      <w:r w:rsidR="005F44C3">
        <w:t>T</w:t>
      </w:r>
      <w:r w:rsidR="007A7111">
        <w:t xml:space="preserve">he works </w:t>
      </w:r>
      <w:r w:rsidR="001F3073">
        <w:t xml:space="preserve">with which one can see points of comparison and contrast </w:t>
      </w:r>
      <w:r w:rsidR="00A12582">
        <w:t>share</w:t>
      </w:r>
      <w:r w:rsidR="007A7111">
        <w:t xml:space="preserve"> the assumption that Yahweh is the only God</w:t>
      </w:r>
      <w:r w:rsidR="00E842F7">
        <w:t xml:space="preserve"> and</w:t>
      </w:r>
      <w:r w:rsidR="00B01705">
        <w:t xml:space="preserve"> that lesser deities do not really deserve the </w:t>
      </w:r>
      <w:r w:rsidR="00090CC2">
        <w:t>designation God</w:t>
      </w:r>
      <w:r w:rsidR="00667760">
        <w:t>, and</w:t>
      </w:r>
      <w:r w:rsidR="00090CC2">
        <w:t xml:space="preserve"> that Yahweh has made a </w:t>
      </w:r>
      <w:r w:rsidR="009F5997">
        <w:t>distinctive commitment to Israel.</w:t>
      </w:r>
      <w:r w:rsidR="00E51FD2">
        <w:t xml:space="preserve"> </w:t>
      </w:r>
      <w:r w:rsidR="00E22F5E">
        <w:t>Some of t</w:t>
      </w:r>
      <w:r w:rsidR="00E51FD2">
        <w:t>he points of comparison and contrast point to possible</w:t>
      </w:r>
      <w:r w:rsidR="003B02F2">
        <w:t xml:space="preserve"> ongoing</w:t>
      </w:r>
      <w:r w:rsidR="00E51FD2">
        <w:t xml:space="preserve"> significances of Samuel.</w:t>
      </w:r>
    </w:p>
    <w:p w14:paraId="02D62E7E" w14:textId="3F16D9AD" w:rsidR="00D6374D" w:rsidRDefault="00401BAE" w:rsidP="005A5DCD">
      <w:r>
        <w:t>Samu</w:t>
      </w:r>
      <w:r w:rsidR="00402B3A">
        <w:t>el l</w:t>
      </w:r>
      <w:r w:rsidR="00A94C2E">
        <w:t>eads into</w:t>
      </w:r>
      <w:r w:rsidR="00402B3A">
        <w:t xml:space="preserve"> Kings</w:t>
      </w:r>
      <w:r w:rsidR="003725CB">
        <w:t>, and both works assume that</w:t>
      </w:r>
      <w:r w:rsidR="00C84B48">
        <w:t xml:space="preserve"> </w:t>
      </w:r>
      <w:r w:rsidR="008F11F1">
        <w:t>k</w:t>
      </w:r>
      <w:r w:rsidR="003725CB">
        <w:t xml:space="preserve">ings </w:t>
      </w:r>
      <w:r w:rsidR="00C84B48">
        <w:t>are</w:t>
      </w:r>
      <w:r w:rsidR="003725CB">
        <w:t xml:space="preserve"> </w:t>
      </w:r>
      <w:r w:rsidR="008F11F1">
        <w:t>integral to the life of Israel and to Yahweh’s working with it.</w:t>
      </w:r>
      <w:r w:rsidR="0063672F">
        <w:t xml:space="preserve"> </w:t>
      </w:r>
      <w:r w:rsidR="00D57696">
        <w:t>Both assume that in particular Yahweh made a commitment to the royal line of David and will be faithful to it</w:t>
      </w:r>
      <w:r w:rsidR="001F5D06">
        <w:t xml:space="preserve">. Both assume that kings go wrong in their relationship </w:t>
      </w:r>
      <w:r w:rsidR="003B6E2D">
        <w:t xml:space="preserve">with Yahweh and in their </w:t>
      </w:r>
      <w:r w:rsidR="00F61B14">
        <w:t xml:space="preserve">lives. Both assume that Yahweh </w:t>
      </w:r>
      <w:r w:rsidR="00D67AFB">
        <w:t xml:space="preserve">occasionally intervenes to </w:t>
      </w:r>
      <w:r w:rsidR="00A460FA">
        <w:t xml:space="preserve">keep Israel’s story on track. </w:t>
      </w:r>
      <w:r w:rsidR="005A7F7D">
        <w:t>Both assume that prophets</w:t>
      </w:r>
      <w:r w:rsidR="000F6BE1">
        <w:t xml:space="preserve"> stand alongside kings</w:t>
      </w:r>
      <w:r w:rsidR="00F104D5">
        <w:t>,</w:t>
      </w:r>
      <w:r w:rsidR="000F6BE1">
        <w:t xml:space="preserve"> </w:t>
      </w:r>
      <w:r w:rsidR="00877A99">
        <w:t>often</w:t>
      </w:r>
      <w:r w:rsidR="000F6BE1">
        <w:t xml:space="preserve"> in confrontation of them.</w:t>
      </w:r>
      <w:r w:rsidR="00E21352">
        <w:t xml:space="preserve"> Both</w:t>
      </w:r>
      <w:r w:rsidR="00877A99">
        <w:t xml:space="preserve"> see</w:t>
      </w:r>
      <w:r w:rsidR="00E21352">
        <w:t xml:space="preserve"> a</w:t>
      </w:r>
      <w:r w:rsidR="00784F00">
        <w:t xml:space="preserve"> </w:t>
      </w:r>
      <w:r w:rsidR="00FB13B9">
        <w:t xml:space="preserve">particular </w:t>
      </w:r>
      <w:r w:rsidR="00784F00">
        <w:t>sanctuary a</w:t>
      </w:r>
      <w:r w:rsidR="00877A99">
        <w:t>s</w:t>
      </w:r>
      <w:r w:rsidR="00784F00">
        <w:t xml:space="preserve"> </w:t>
      </w:r>
      <w:r w:rsidR="00B36D6B">
        <w:t>integral to the nation’s</w:t>
      </w:r>
      <w:r w:rsidR="00354C75">
        <w:t xml:space="preserve"> life.</w:t>
      </w:r>
      <w:r w:rsidR="00B36D6B">
        <w:t xml:space="preserve"> </w:t>
      </w:r>
      <w:r w:rsidR="00052713">
        <w:t xml:space="preserve">Kings </w:t>
      </w:r>
      <w:r w:rsidR="00B06C54">
        <w:t>puts some emphasis on Moses’</w:t>
      </w:r>
      <w:r w:rsidR="000C0BFD">
        <w:t>s</w:t>
      </w:r>
      <w:r w:rsidR="00B06C54">
        <w:t xml:space="preserve"> Torah, which Samuel does not mention. </w:t>
      </w:r>
      <w:r w:rsidR="00151B33">
        <w:t xml:space="preserve">It emphasizes the building of the Temple in Jerusalem and </w:t>
      </w:r>
      <w:r w:rsidR="008C05A9">
        <w:t xml:space="preserve">its role as (ideally) the sole location for </w:t>
      </w:r>
      <w:r w:rsidR="006C30CF">
        <w:t>the nation’s corporate worship.</w:t>
      </w:r>
      <w:r w:rsidR="00B76D38">
        <w:t xml:space="preserve"> </w:t>
      </w:r>
      <w:r w:rsidR="00295123">
        <w:t xml:space="preserve">It </w:t>
      </w:r>
      <w:r w:rsidR="00122D64">
        <w:t xml:space="preserve">emphasizes the importance of serving Yahweh rather than the traditional deities of Canaan, </w:t>
      </w:r>
      <w:r w:rsidR="005611B8">
        <w:t xml:space="preserve">which is less of an issue in Samuel. </w:t>
      </w:r>
      <w:r w:rsidR="00B76D38">
        <w:t>It is less ambiguous about the propriety of kingship than Samuel</w:t>
      </w:r>
      <w:r w:rsidR="00DC6706">
        <w:t xml:space="preserve"> and</w:t>
      </w:r>
      <w:r w:rsidR="004E668A">
        <w:t xml:space="preserve"> more ambiguous about the relationship of </w:t>
      </w:r>
      <w:r w:rsidR="004B3909">
        <w:t>Judah and Ephraim</w:t>
      </w:r>
      <w:r w:rsidR="00932CA4">
        <w:t>.</w:t>
      </w:r>
      <w:r w:rsidR="005A5DCD">
        <w:t xml:space="preserve"> </w:t>
      </w:r>
      <w:r w:rsidR="00932CA4">
        <w:t>I</w:t>
      </w:r>
      <w:r w:rsidR="00DC6706">
        <w:t xml:space="preserve">ndeed, Ephraim has a </w:t>
      </w:r>
      <w:r w:rsidR="00932CA4">
        <w:t>theological significance a little like that of Saul’s monarchy in Samuel</w:t>
      </w:r>
      <w:r w:rsidR="00345F69">
        <w:t>: it ought never have existed but Yahweh is prepared to stay with it if it submit itself to him, but it does not do so.</w:t>
      </w:r>
    </w:p>
    <w:p w14:paraId="500B268D" w14:textId="79C57E3E" w:rsidR="00483CA7" w:rsidRDefault="00234106" w:rsidP="005A5DCD">
      <w:r>
        <w:t xml:space="preserve">Samuel links retrospectively with Joshua and Judges, and along with Kings it is thus part of “The Former Prophets.” </w:t>
      </w:r>
      <w:r w:rsidR="005B4818">
        <w:t xml:space="preserve">Prophets make hardly any appearance in Joshua or Judges, but </w:t>
      </w:r>
      <w:r w:rsidR="00FA014A">
        <w:t>Joshua to Kings</w:t>
      </w:r>
      <w:r w:rsidR="005D2C42">
        <w:t xml:space="preserve"> as a whole </w:t>
      </w:r>
      <w:r w:rsidR="00FA014A">
        <w:t>has</w:t>
      </w:r>
      <w:r w:rsidR="005B4818">
        <w:t xml:space="preserve"> a prophetic </w:t>
      </w:r>
      <w:r w:rsidR="006B0461">
        <w:t xml:space="preserve">perspective on Israel’s story as </w:t>
      </w:r>
      <w:r w:rsidR="00FA014A">
        <w:t>it</w:t>
      </w:r>
      <w:r w:rsidR="006B0461">
        <w:t xml:space="preserve"> challenge</w:t>
      </w:r>
      <w:r w:rsidR="00FA014A">
        <w:t>s</w:t>
      </w:r>
      <w:r w:rsidR="006B0461">
        <w:t xml:space="preserve"> </w:t>
      </w:r>
      <w:r w:rsidR="00615824">
        <w:t>Israel about its commitment to Yahweh and promise</w:t>
      </w:r>
      <w:r w:rsidR="00FA014A">
        <w:t>s</w:t>
      </w:r>
      <w:r w:rsidR="00615824">
        <w:t xml:space="preserve"> Yahweh’s </w:t>
      </w:r>
      <w:r w:rsidR="002876C0">
        <w:t>involvement in taking it to the destiny he has in mind. T</w:t>
      </w:r>
      <w:r w:rsidR="00D51ACC">
        <w:t>he four works follow on from</w:t>
      </w:r>
      <w:r w:rsidR="004C516D">
        <w:t xml:space="preserve"> Deuteronomy, </w:t>
      </w:r>
      <w:r w:rsidR="00D51ACC">
        <w:t>and this entire sequence</w:t>
      </w:r>
      <w:r w:rsidR="00DF544E">
        <w:t xml:space="preserve"> </w:t>
      </w:r>
      <w:r w:rsidR="00D51ACC">
        <w:t>has</w:t>
      </w:r>
      <w:r w:rsidR="00DF544E">
        <w:t xml:space="preserve"> been seen as part of </w:t>
      </w:r>
      <w:r w:rsidR="002161C4">
        <w:t>a</w:t>
      </w:r>
      <w:r w:rsidR="00DF544E">
        <w:t xml:space="preserve"> Deuteronomistic History</w:t>
      </w:r>
      <w:r w:rsidR="00F56A5B">
        <w:t>.</w:t>
      </w:r>
      <w:r w:rsidR="00181D35">
        <w:t xml:space="preserve"> </w:t>
      </w:r>
      <w:r w:rsidR="00F56A5B">
        <w:t>Like Kings, Deuteronomy and Joshua emphasize the importance of Moses’</w:t>
      </w:r>
      <w:r w:rsidR="00AC4076">
        <w:t>s</w:t>
      </w:r>
      <w:r w:rsidR="00F56A5B">
        <w:t xml:space="preserve"> Torah</w:t>
      </w:r>
      <w:r w:rsidR="00173EF4">
        <w:t>, which we have</w:t>
      </w:r>
      <w:r w:rsidR="00ED4F7B">
        <w:t xml:space="preserve"> </w:t>
      </w:r>
      <w:r w:rsidR="00173EF4">
        <w:t xml:space="preserve">noted Samuel does not mention. </w:t>
      </w:r>
      <w:r w:rsidR="00DA198B">
        <w:t xml:space="preserve">Deuteronomy 17:14-20 makes brief mention of kingship, speaking of Yahweh choosing Israel’s king as Samuel does, but </w:t>
      </w:r>
      <w:r w:rsidR="00E92612">
        <w:t>it focuses more</w:t>
      </w:r>
      <w:r w:rsidR="00DA198B">
        <w:t xml:space="preserve"> </w:t>
      </w:r>
      <w:r w:rsidR="00C2222E">
        <w:t xml:space="preserve">on </w:t>
      </w:r>
      <w:r w:rsidR="00DA198B">
        <w:t>Yahweh</w:t>
      </w:r>
      <w:r w:rsidR="00C2222E">
        <w:t>’s</w:t>
      </w:r>
      <w:r w:rsidR="00DA198B">
        <w:t xml:space="preserve"> choosing a place of worship and choosing Israel as his people</w:t>
      </w:r>
      <w:r w:rsidR="00E67F71">
        <w:t>.</w:t>
      </w:r>
      <w:r w:rsidR="00AA5BC8">
        <w:t xml:space="preserve"> Joshua, Judges, and Samuel have no equivalent to Deuteronomy’s stress on worship at the place Yahweh will choose to settle his name there.</w:t>
      </w:r>
      <w:r w:rsidR="00DA198B">
        <w:t xml:space="preserve"> </w:t>
      </w:r>
      <w:r w:rsidR="00173EF4">
        <w:t xml:space="preserve">Judges </w:t>
      </w:r>
      <w:r w:rsidR="000B6521">
        <w:t xml:space="preserve">compares with </w:t>
      </w:r>
      <w:r w:rsidR="00EC0154">
        <w:t xml:space="preserve">Samuel in suggesting some ambiguous reflection on </w:t>
      </w:r>
      <w:r w:rsidR="0067658C">
        <w:t>kingship</w:t>
      </w:r>
      <w:r w:rsidR="00AC2E27">
        <w:t>.</w:t>
      </w:r>
      <w:r w:rsidR="00E60AD2">
        <w:t xml:space="preserve"> A</w:t>
      </w:r>
      <w:r w:rsidR="004145E0">
        <w:t xml:space="preserve"> hero like Gideon </w:t>
      </w:r>
      <w:r w:rsidR="00E03426">
        <w:t xml:space="preserve">refuses to rule over the people, </w:t>
      </w:r>
      <w:r w:rsidR="007279E1">
        <w:t xml:space="preserve">and one of his sons dismisses the idea of kings, </w:t>
      </w:r>
      <w:r w:rsidR="00E03426">
        <w:t xml:space="preserve">while </w:t>
      </w:r>
      <w:r w:rsidR="007279E1">
        <w:t xml:space="preserve">another of his sons </w:t>
      </w:r>
      <w:r w:rsidR="00E24FA8">
        <w:t xml:space="preserve">who </w:t>
      </w:r>
      <w:r w:rsidR="00797FDE">
        <w:t>aspires to be king is a murderer who pays for his wrongdoing with his life</w:t>
      </w:r>
      <w:r w:rsidR="00847832">
        <w:t>. On the other</w:t>
      </w:r>
      <w:r w:rsidR="00FA7985">
        <w:t xml:space="preserve"> hand</w:t>
      </w:r>
      <w:r w:rsidR="00847832">
        <w:t xml:space="preserve">, Judges </w:t>
      </w:r>
      <w:r w:rsidR="00AA4F33">
        <w:t xml:space="preserve">makes a link between </w:t>
      </w:r>
      <w:r w:rsidR="004E1450">
        <w:t xml:space="preserve">there being no king in Israel and </w:t>
      </w:r>
      <w:r w:rsidR="00AA4F33">
        <w:t>the moral, social, and religious disorder of the period it covers</w:t>
      </w:r>
      <w:r w:rsidR="004E1450">
        <w:t xml:space="preserve">, and </w:t>
      </w:r>
      <w:r w:rsidR="004A0BAA">
        <w:t xml:space="preserve">it </w:t>
      </w:r>
      <w:r w:rsidR="004E1450">
        <w:t>lets this judgment lead into Samuel.</w:t>
      </w:r>
      <w:r w:rsidR="00727BD3">
        <w:t xml:space="preserve"> LXX’s order</w:t>
      </w:r>
      <w:r w:rsidR="007650E9">
        <w:t xml:space="preserve"> has Ruth between Judges and Samuel and providing on one hand an alternative contrast and on the other an anticipatory parallel to the opening chapters of </w:t>
      </w:r>
      <w:r w:rsidR="00A64D6D">
        <w:t xml:space="preserve">Samuel. The two books both </w:t>
      </w:r>
      <w:r w:rsidR="00B7706A">
        <w:t>offer instructive realistic visions of family, which in Samuel also</w:t>
      </w:r>
      <w:r w:rsidR="00ED7668">
        <w:t xml:space="preserve"> offers a anticipatory contrast to the grim portrayal of Saul</w:t>
      </w:r>
      <w:r w:rsidR="00FA4826">
        <w:t xml:space="preserve">’s and David’s families. </w:t>
      </w:r>
    </w:p>
    <w:p w14:paraId="69DF90E5" w14:textId="2EB5D374" w:rsidR="00444DE3" w:rsidRDefault="00944585" w:rsidP="00444DE3">
      <w:r>
        <w:t xml:space="preserve">Samuel </w:t>
      </w:r>
      <w:r w:rsidR="002A7092">
        <w:t xml:space="preserve">also </w:t>
      </w:r>
      <w:r>
        <w:t>forms part of the broader work from Genesis to Kings</w:t>
      </w:r>
      <w:r w:rsidR="00D24BE7">
        <w:t>, Israel’s “First History</w:t>
      </w:r>
      <w:r w:rsidR="00B50378">
        <w:t>.</w:t>
      </w:r>
      <w:r w:rsidR="002A7092">
        <w:t>”</w:t>
      </w:r>
      <w:r w:rsidR="00B50378">
        <w:t xml:space="preserve"> </w:t>
      </w:r>
      <w:r w:rsidR="007B6845">
        <w:t xml:space="preserve">While </w:t>
      </w:r>
      <w:r w:rsidR="00784E2C">
        <w:t xml:space="preserve">Yahweh does not speak of making a pledge </w:t>
      </w:r>
      <w:r w:rsidR="002A7092">
        <w:t xml:space="preserve">or covenant </w:t>
      </w:r>
      <w:r w:rsidR="00784E2C">
        <w:t xml:space="preserve">to David as he does to Abraham, there are parallels in the dynamic of the relationship between </w:t>
      </w:r>
      <w:r w:rsidR="00CE6176">
        <w:t xml:space="preserve">God and Abraham and </w:t>
      </w:r>
      <w:r w:rsidR="007B21C8">
        <w:t xml:space="preserve">that </w:t>
      </w:r>
      <w:r w:rsidR="00CE6176">
        <w:t xml:space="preserve">between God and David. God makes a commitment to both of them that emerges from his </w:t>
      </w:r>
      <w:r w:rsidR="00073716">
        <w:t>grace and purpose and not from some deserve of theirs</w:t>
      </w:r>
      <w:r w:rsidR="00F61699">
        <w:t>, but God expects a responsive commitment from them</w:t>
      </w:r>
      <w:r w:rsidR="00E64A6B">
        <w:t xml:space="preserve"> so that the relationship becomes </w:t>
      </w:r>
      <w:r w:rsidR="00B44C22">
        <w:t xml:space="preserve">a </w:t>
      </w:r>
      <w:r w:rsidR="00E64A6B">
        <w:t xml:space="preserve">mutual commitment. </w:t>
      </w:r>
      <w:r w:rsidR="000D3B7D">
        <w:t xml:space="preserve">Conversely, the dynamics of the relationship </w:t>
      </w:r>
      <w:r w:rsidR="00D03BCE">
        <w:t xml:space="preserve">in Exodus 32 – 34 </w:t>
      </w:r>
      <w:r w:rsidR="000D3B7D">
        <w:t>between Yahweh’s commitment</w:t>
      </w:r>
      <w:r w:rsidR="008B3886">
        <w:t xml:space="preserve">, his chastisement, and his </w:t>
      </w:r>
      <w:r w:rsidR="00D03BCE">
        <w:t xml:space="preserve">relenting compare </w:t>
      </w:r>
      <w:r w:rsidR="00F16C7E">
        <w:t xml:space="preserve">and contrast </w:t>
      </w:r>
      <w:r w:rsidR="00D03BCE">
        <w:t xml:space="preserve">with the </w:t>
      </w:r>
      <w:r w:rsidR="00D03BCE">
        <w:lastRenderedPageBreak/>
        <w:t>dynamics in</w:t>
      </w:r>
      <w:r w:rsidR="00E90184">
        <w:t xml:space="preserve"> Saul’s story</w:t>
      </w:r>
      <w:r w:rsidR="00F16C7E">
        <w:t xml:space="preserve"> and in David’s story</w:t>
      </w:r>
      <w:r w:rsidR="00E90184">
        <w:t xml:space="preserve">. </w:t>
      </w:r>
      <w:r w:rsidR="00BB1FC2">
        <w:t xml:space="preserve">The dynamics of </w:t>
      </w:r>
      <w:r w:rsidR="00F16C7E">
        <w:t>Yahweh’s</w:t>
      </w:r>
      <w:r w:rsidR="00BB1FC2">
        <w:t xml:space="preserve"> delivering Israel from the Egyptians reappear in his delivering Israel from the Philistines. </w:t>
      </w:r>
      <w:r w:rsidR="00315EDD">
        <w:t xml:space="preserve">And Yahweh looks back </w:t>
      </w:r>
      <w:r w:rsidR="00F72D8E">
        <w:t xml:space="preserve">positively to the </w:t>
      </w:r>
      <w:r w:rsidR="00444DE3">
        <w:t xml:space="preserve">subsequent </w:t>
      </w:r>
      <w:r w:rsidR="00F72D8E">
        <w:t xml:space="preserve">time when he lived </w:t>
      </w:r>
      <w:r w:rsidR="004A3FA8">
        <w:t xml:space="preserve">among the Israelites on the move. </w:t>
      </w:r>
    </w:p>
    <w:p w14:paraId="73150BA7" w14:textId="413279E5" w:rsidR="006D69AB" w:rsidRDefault="006D69AB" w:rsidP="00444DE3">
      <w:r>
        <w:t>Israel’s “Second History” comprises Chronicles-Ezra-Nehemiah</w:t>
      </w:r>
      <w:r w:rsidR="00F71E4A">
        <w:t>;</w:t>
      </w:r>
      <w:r>
        <w:t xml:space="preserve"> Chronicles retells the entire story</w:t>
      </w:r>
      <w:r w:rsidR="00445583">
        <w:t xml:space="preserve"> covered by the First History</w:t>
      </w:r>
      <w:r w:rsidR="0097155D">
        <w:t xml:space="preserve">. </w:t>
      </w:r>
      <w:r w:rsidR="00363D3A">
        <w:t xml:space="preserve">In particular, </w:t>
      </w:r>
      <w:r w:rsidR="0036339D">
        <w:t xml:space="preserve">1 Chronicles 10 – 29 retells the story </w:t>
      </w:r>
      <w:r w:rsidR="002725E5">
        <w:t xml:space="preserve">in 1 Samuel </w:t>
      </w:r>
      <w:r w:rsidR="00713B1F">
        <w:t>31 to 1 Ki</w:t>
      </w:r>
      <w:r w:rsidR="002078AE">
        <w:t xml:space="preserve">ngs 2, </w:t>
      </w:r>
      <w:r w:rsidR="008B67D4">
        <w:t>from the death of Saul</w:t>
      </w:r>
      <w:r w:rsidR="002725E5">
        <w:t xml:space="preserve"> through David’s life</w:t>
      </w:r>
      <w:r w:rsidR="002078AE">
        <w:t xml:space="preserve">. </w:t>
      </w:r>
      <w:r w:rsidR="008813BD">
        <w:t xml:space="preserve">If </w:t>
      </w:r>
      <w:r w:rsidR="00DB0A0A">
        <w:t xml:space="preserve">Joshua to Kings is a prophetic history, one might call Chronicles a priestly history in the sense that it focuses on </w:t>
      </w:r>
      <w:r w:rsidR="00C43E73">
        <w:t>the im</w:t>
      </w:r>
      <w:r w:rsidR="00B13FB3">
        <w:t xml:space="preserve">portance of the temple and in connection with David </w:t>
      </w:r>
      <w:r w:rsidR="000C0A87">
        <w:t xml:space="preserve">thus focuses </w:t>
      </w:r>
      <w:r w:rsidR="00B13FB3">
        <w:t>on his</w:t>
      </w:r>
      <w:r w:rsidR="00C43E73">
        <w:t xml:space="preserve"> role in planning </w:t>
      </w:r>
      <w:r w:rsidR="00B13FB3">
        <w:t>and providing for its building.</w:t>
      </w:r>
      <w:r w:rsidR="00B6029E">
        <w:t xml:space="preserve"> Whereas Samuel’s narrative </w:t>
      </w:r>
      <w:r w:rsidR="00C739C0">
        <w:t>centers on his activity in the world of battle</w:t>
      </w:r>
      <w:r w:rsidR="00227717">
        <w:t>,</w:t>
      </w:r>
      <w:r w:rsidR="006714B6">
        <w:t xml:space="preserve"> politics</w:t>
      </w:r>
      <w:r w:rsidR="00227717">
        <w:t>,</w:t>
      </w:r>
      <w:r w:rsidR="006714B6">
        <w:t xml:space="preserve"> and family life, </w:t>
      </w:r>
      <w:r w:rsidR="00DA5DC9">
        <w:t xml:space="preserve">in </w:t>
      </w:r>
      <w:r w:rsidR="006714B6">
        <w:t>Chronicles</w:t>
      </w:r>
      <w:r w:rsidR="00DA5DC9">
        <w:t xml:space="preserve"> </w:t>
      </w:r>
      <w:r w:rsidR="006714B6">
        <w:t xml:space="preserve">such stories </w:t>
      </w:r>
      <w:r w:rsidR="00DA5DC9">
        <w:t xml:space="preserve">do not feature </w:t>
      </w:r>
      <w:r w:rsidR="00227717">
        <w:t>as</w:t>
      </w:r>
      <w:r w:rsidR="00DA5DC9">
        <w:t xml:space="preserve"> the narrative</w:t>
      </w:r>
      <w:r w:rsidR="006714B6">
        <w:t xml:space="preserve"> center</w:t>
      </w:r>
      <w:r w:rsidR="00DA5DC9">
        <w:t>s</w:t>
      </w:r>
      <w:r w:rsidR="006714B6">
        <w:t xml:space="preserve"> on his activity in relation to the temple. This </w:t>
      </w:r>
      <w:r w:rsidR="00C81C09">
        <w:t xml:space="preserve">concentration also means it </w:t>
      </w:r>
      <w:r w:rsidR="00DA5DC9">
        <w:t>lacks reference to</w:t>
      </w:r>
      <w:r w:rsidR="00C81C09">
        <w:t xml:space="preserve"> </w:t>
      </w:r>
      <w:r w:rsidR="00426DC5">
        <w:t xml:space="preserve">some of </w:t>
      </w:r>
      <w:r w:rsidR="00C81C09">
        <w:t xml:space="preserve">his </w:t>
      </w:r>
      <w:r w:rsidR="00B80B43">
        <w:t>wrongdoings and failures</w:t>
      </w:r>
      <w:r w:rsidR="00426DC5">
        <w:t>, though</w:t>
      </w:r>
      <w:r w:rsidR="002C43F2">
        <w:t xml:space="preserve"> it does not exactly whitewash him; the census </w:t>
      </w:r>
      <w:r w:rsidR="00AB0669">
        <w:t xml:space="preserve">features (1 Chron 21) because it relates to the temple. </w:t>
      </w:r>
      <w:r w:rsidR="00885FC1">
        <w:t xml:space="preserve">That story illustrates how it does safeguard against some of the </w:t>
      </w:r>
      <w:r w:rsidR="00D678E4">
        <w:t xml:space="preserve">ambiguity in the portrait of Yahweh in Samuel. In 1 Chronicles </w:t>
      </w:r>
      <w:r w:rsidR="009538DA">
        <w:t>21 it is a supernatural adversary</w:t>
      </w:r>
      <w:r w:rsidR="00807C59">
        <w:t xml:space="preserve"> who gives David the idea of a census, not Yahweh himself.</w:t>
      </w:r>
    </w:p>
    <w:p w14:paraId="11D5AFEA" w14:textId="7C5F6809" w:rsidR="001E3D05" w:rsidRDefault="00BB09B5" w:rsidP="00444DE3">
      <w:r>
        <w:t xml:space="preserve">The Psalms </w:t>
      </w:r>
      <w:r w:rsidR="00CE3930">
        <w:t>have</w:t>
      </w:r>
      <w:r>
        <w:t xml:space="preserve"> a threefold </w:t>
      </w:r>
      <w:r w:rsidR="000944A2">
        <w:t>connection</w:t>
      </w:r>
      <w:r>
        <w:t xml:space="preserve"> </w:t>
      </w:r>
      <w:r w:rsidR="00151386">
        <w:t xml:space="preserve">with Chronicles and Samuel. </w:t>
      </w:r>
      <w:r w:rsidR="000767F7">
        <w:t xml:space="preserve">The narrative introductions to twelve psalms </w:t>
      </w:r>
      <w:r w:rsidR="000944A2">
        <w:t>make links with stories in Samuel; without Samuel, these links would be impossible.</w:t>
      </w:r>
      <w:r w:rsidR="00BE1E4E">
        <w:t xml:space="preserve"> Conversely, 2 Samuel 22 is a variant on Psalm 18, Hannah’s song </w:t>
      </w:r>
      <w:r w:rsidR="00CD2F01">
        <w:t xml:space="preserve">follows the form of a psalm, </w:t>
      </w:r>
      <w:r w:rsidR="006F0698">
        <w:t>a</w:t>
      </w:r>
      <w:r w:rsidR="002E0322">
        <w:t>s</w:t>
      </w:r>
      <w:r w:rsidR="00CD2F01">
        <w:t xml:space="preserve"> </w:t>
      </w:r>
      <w:r w:rsidR="0064397F">
        <w:t xml:space="preserve">less directly </w:t>
      </w:r>
      <w:r w:rsidR="00CD2F01">
        <w:t xml:space="preserve">do David’s </w:t>
      </w:r>
      <w:r w:rsidR="0064397F">
        <w:t>lament over Saul and Jonathan</w:t>
      </w:r>
      <w:r w:rsidR="002E0322">
        <w:t>,</w:t>
      </w:r>
      <w:r w:rsidR="0064397F">
        <w:t xml:space="preserve"> and his </w:t>
      </w:r>
      <w:r w:rsidR="002F4CBC">
        <w:t xml:space="preserve">“last words” (2 Sam </w:t>
      </w:r>
      <w:r w:rsidR="002E0322">
        <w:t>1</w:t>
      </w:r>
      <w:r w:rsidR="002F4CBC">
        <w:t>; 23).</w:t>
      </w:r>
      <w:r w:rsidR="00674848">
        <w:t xml:space="preserve"> </w:t>
      </w:r>
      <w:r w:rsidR="00816BA8">
        <w:t>Second,</w:t>
      </w:r>
      <w:r w:rsidR="006F1C75">
        <w:t xml:space="preserve"> the</w:t>
      </w:r>
      <w:r w:rsidR="00C36E48">
        <w:t xml:space="preserve"> Psalms th</w:t>
      </w:r>
      <w:r w:rsidR="00FA2E5C">
        <w:t>us</w:t>
      </w:r>
      <w:r w:rsidR="00C36E48">
        <w:t xml:space="preserve"> draw readers</w:t>
      </w:r>
      <w:r w:rsidR="00FA2E5C">
        <w:t>’</w:t>
      </w:r>
      <w:r w:rsidR="00C36E48">
        <w:t xml:space="preserve"> attention to the David story </w:t>
      </w:r>
      <w:r w:rsidR="00FA2E5C">
        <w:t xml:space="preserve">as </w:t>
      </w:r>
      <w:r w:rsidR="00C36E48">
        <w:t>undergird</w:t>
      </w:r>
      <w:r w:rsidR="00FA2E5C">
        <w:t>ing</w:t>
      </w:r>
      <w:r w:rsidR="00C36E48">
        <w:t xml:space="preserve"> Yahweh’s relationship with them in the present, and </w:t>
      </w:r>
      <w:r w:rsidR="002F0911">
        <w:t xml:space="preserve">invite them to take David’s relationship with Yahweh as a model for </w:t>
      </w:r>
      <w:r w:rsidR="008D4B7A">
        <w:t>their relationship with Yahweh as ordinary Israelites.</w:t>
      </w:r>
      <w:r w:rsidR="00241208">
        <w:t xml:space="preserve"> Third, the Psalms and Samuel are the great repositories of First Testament reference to Yahweh’s Anointed, Israel’s current king, as </w:t>
      </w:r>
      <w:r w:rsidR="007F7ED1">
        <w:t xml:space="preserve">someone </w:t>
      </w:r>
      <w:r w:rsidR="00241208">
        <w:t>commissioned by Yahweh</w:t>
      </w:r>
      <w:r w:rsidR="00EC23C3">
        <w:t>. L</w:t>
      </w:r>
      <w:r w:rsidR="00241208">
        <w:t xml:space="preserve">ike the rest of the First Testament, </w:t>
      </w:r>
      <w:r w:rsidR="00945521">
        <w:t>individual</w:t>
      </w:r>
      <w:r w:rsidR="00EC23C3">
        <w:t xml:space="preserve"> </w:t>
      </w:r>
      <w:r w:rsidR="00945521">
        <w:t>p</w:t>
      </w:r>
      <w:r w:rsidR="00EC23C3">
        <w:t xml:space="preserve">salms do not use </w:t>
      </w:r>
      <w:r w:rsidR="00241208">
        <w:t xml:space="preserve">the term </w:t>
      </w:r>
      <w:r w:rsidR="00EC23C3">
        <w:t xml:space="preserve">to </w:t>
      </w:r>
      <w:r w:rsidR="00241208">
        <w:t>refer to a future king</w:t>
      </w:r>
      <w:r w:rsidR="00945521">
        <w:t>, though the collected Psalms may presuppose that reference</w:t>
      </w:r>
      <w:r w:rsidR="00241208">
        <w:t>.</w:t>
      </w:r>
      <w:r w:rsidR="008E4607">
        <w:t xml:space="preserve"> </w:t>
      </w:r>
      <w:r w:rsidR="005608A8">
        <w:t>T</w:t>
      </w:r>
      <w:r w:rsidR="008E4607">
        <w:t xml:space="preserve">hey do </w:t>
      </w:r>
      <w:r w:rsidR="003F253A">
        <w:t xml:space="preserve">take up the hints in 2 Samuel 7 that Yahweh’s </w:t>
      </w:r>
      <w:r w:rsidR="00635517">
        <w:t>words</w:t>
      </w:r>
      <w:r w:rsidR="003F253A">
        <w:t xml:space="preserve"> about David’s offspring </w:t>
      </w:r>
      <w:r w:rsidR="00635517">
        <w:t>ha</w:t>
      </w:r>
      <w:r w:rsidR="005608A8">
        <w:t>ve</w:t>
      </w:r>
      <w:r w:rsidR="00635517">
        <w:t xml:space="preserve"> implications </w:t>
      </w:r>
      <w:r w:rsidR="005608A8">
        <w:t xml:space="preserve">for kings </w:t>
      </w:r>
      <w:r w:rsidR="00635517">
        <w:t xml:space="preserve">going beyond the promise that </w:t>
      </w:r>
      <w:r w:rsidR="00D25921">
        <w:t>his</w:t>
      </w:r>
      <w:r w:rsidR="00635517">
        <w:t xml:space="preserve"> </w:t>
      </w:r>
      <w:r w:rsidR="00D25921">
        <w:t xml:space="preserve">own </w:t>
      </w:r>
      <w:r w:rsidR="00635517">
        <w:t>son be his immediate successor who will build the temple.</w:t>
      </w:r>
    </w:p>
    <w:p w14:paraId="05EF2109" w14:textId="1DB02EA6" w:rsidR="00891179" w:rsidRDefault="000B42A9" w:rsidP="00A62C14">
      <w:r>
        <w:t>The</w:t>
      </w:r>
      <w:r w:rsidR="00896E99">
        <w:t xml:space="preserve"> Latter Prophets hardly refer to </w:t>
      </w:r>
      <w:r w:rsidR="005E16C9">
        <w:t>Yahweh’s</w:t>
      </w:r>
      <w:r w:rsidR="00896E99">
        <w:t xml:space="preserve"> Anointed</w:t>
      </w:r>
      <w:r w:rsidR="00D25921">
        <w:t>,</w:t>
      </w:r>
      <w:r w:rsidR="005E16C9">
        <w:t xml:space="preserve"> but </w:t>
      </w:r>
      <w:r w:rsidR="006824DA">
        <w:t>Jeremiah’s</w:t>
      </w:r>
      <w:r w:rsidR="00EF3B75">
        <w:t xml:space="preserve"> reference </w:t>
      </w:r>
      <w:r w:rsidR="00AC4A58">
        <w:t xml:space="preserve">to </w:t>
      </w:r>
      <w:r w:rsidR="00D87488">
        <w:t>Yahweh’s</w:t>
      </w:r>
      <w:r w:rsidR="00B01126">
        <w:t xml:space="preserve"> </w:t>
      </w:r>
      <w:r w:rsidR="00D224B2">
        <w:t xml:space="preserve">indissoluble </w:t>
      </w:r>
      <w:r w:rsidR="00FD3E8A">
        <w:t>pledge with</w:t>
      </w:r>
      <w:r w:rsidR="00AC4A58">
        <w:t xml:space="preserve"> </w:t>
      </w:r>
      <w:r w:rsidR="00A82D3E">
        <w:t>“</w:t>
      </w:r>
      <w:r w:rsidR="00FD3E8A">
        <w:t xml:space="preserve">my servant </w:t>
      </w:r>
      <w:r w:rsidR="00A82D3E">
        <w:t xml:space="preserve">David” </w:t>
      </w:r>
      <w:r w:rsidR="00FE145A">
        <w:t xml:space="preserve">that he will have someone </w:t>
      </w:r>
      <w:r w:rsidR="00A82D3E">
        <w:t xml:space="preserve">to </w:t>
      </w:r>
      <w:r w:rsidR="00EF3B75">
        <w:t>ensure the</w:t>
      </w:r>
      <w:r w:rsidR="00A82D3E">
        <w:t xml:space="preserve"> </w:t>
      </w:r>
      <w:r w:rsidR="00814D94" w:rsidRPr="001F52A8">
        <w:rPr>
          <w:rFonts w:cstheme="minorHAnsi"/>
          <w:lang w:bidi="he-IL"/>
        </w:rPr>
        <w:t xml:space="preserve">exercise of faithful authority or right decision-making </w:t>
      </w:r>
      <w:r w:rsidR="00EF3B75">
        <w:rPr>
          <w:rFonts w:cstheme="minorHAnsi"/>
          <w:lang w:bidi="he-IL"/>
        </w:rPr>
        <w:t>(</w:t>
      </w:r>
      <w:r w:rsidR="00814D94" w:rsidRPr="001F52A8">
        <w:rPr>
          <w:rFonts w:cstheme="minorHAnsi"/>
          <w:i/>
          <w:iCs/>
          <w:lang w:bidi="he-IL"/>
        </w:rPr>
        <w:t>mišpāṭ ûṣədāqâ</w:t>
      </w:r>
      <w:r w:rsidR="00EF3B75">
        <w:rPr>
          <w:rFonts w:cstheme="minorHAnsi"/>
          <w:lang w:bidi="he-IL"/>
        </w:rPr>
        <w:t>)</w:t>
      </w:r>
      <w:r w:rsidR="00814D94" w:rsidRPr="001F52A8">
        <w:rPr>
          <w:rFonts w:cstheme="minorHAnsi"/>
          <w:lang w:bidi="he-IL"/>
        </w:rPr>
        <w:t xml:space="preserve"> </w:t>
      </w:r>
      <w:r w:rsidR="00D87488">
        <w:rPr>
          <w:rFonts w:cstheme="minorHAnsi"/>
          <w:lang w:bidi="he-IL"/>
        </w:rPr>
        <w:t>in the country</w:t>
      </w:r>
      <w:r w:rsidR="006824DA">
        <w:rPr>
          <w:rFonts w:cstheme="minorHAnsi"/>
          <w:lang w:bidi="he-IL"/>
        </w:rPr>
        <w:t xml:space="preserve"> (</w:t>
      </w:r>
      <w:r w:rsidR="006824DA">
        <w:t xml:space="preserve">Jer 33:14-22) </w:t>
      </w:r>
      <w:r w:rsidR="00AC4A58">
        <w:t>recalls 2 Sam 7</w:t>
      </w:r>
      <w:r w:rsidR="00DC21E6">
        <w:t>:12-16</w:t>
      </w:r>
      <w:r w:rsidR="004C7DBC">
        <w:t xml:space="preserve">; </w:t>
      </w:r>
      <w:r w:rsidR="009033E5">
        <w:t xml:space="preserve">8:15; </w:t>
      </w:r>
      <w:r w:rsidR="004C7DBC">
        <w:t>23:5</w:t>
      </w:r>
      <w:r w:rsidR="009033E5">
        <w:t>.</w:t>
      </w:r>
      <w:r w:rsidR="00244AA9">
        <w:t xml:space="preserve"> And one of the two undisputable New Testament references to Samuel</w:t>
      </w:r>
      <w:r w:rsidR="00EA7B4D">
        <w:t>, in</w:t>
      </w:r>
      <w:r w:rsidR="00244AA9">
        <w:t xml:space="preserve"> </w:t>
      </w:r>
      <w:r w:rsidR="00F0478C">
        <w:t>Heb 1:</w:t>
      </w:r>
      <w:r w:rsidR="00EA7B4D">
        <w:t xml:space="preserve">5, quotes </w:t>
      </w:r>
      <w:r w:rsidR="00F0478C">
        <w:t>2 Sam 7:14</w:t>
      </w:r>
      <w:r w:rsidR="00CF55C1">
        <w:t xml:space="preserve">; </w:t>
      </w:r>
      <w:r w:rsidR="00843949">
        <w:t xml:space="preserve">there are </w:t>
      </w:r>
      <w:r w:rsidR="00CF55C1">
        <w:t xml:space="preserve">also </w:t>
      </w:r>
      <w:r w:rsidR="00843949">
        <w:t>plausibl</w:t>
      </w:r>
      <w:r w:rsidR="00CF55C1">
        <w:t>e</w:t>
      </w:r>
      <w:r w:rsidR="00843949">
        <w:t xml:space="preserve"> allusions </w:t>
      </w:r>
      <w:r w:rsidR="00B55BE7">
        <w:t>to that chapter in John 7:42; Acts 2:30; 2 Cor 6:18</w:t>
      </w:r>
      <w:r w:rsidR="00A62C14">
        <w:t xml:space="preserve">. </w:t>
      </w:r>
      <w:r w:rsidR="00B348A9">
        <w:t>T</w:t>
      </w:r>
      <w:r w:rsidR="00B348A9">
        <w:t xml:space="preserve">he significance of </w:t>
      </w:r>
      <w:r w:rsidR="001A3AD8">
        <w:t>2 Samuel 7</w:t>
      </w:r>
      <w:r w:rsidR="00B348A9">
        <w:t xml:space="preserve"> in itsel</w:t>
      </w:r>
      <w:r w:rsidR="008F7074">
        <w:t>f</w:t>
      </w:r>
      <w:r w:rsidR="00B348A9">
        <w:t xml:space="preserve"> is that Yahweh really makes a commitment to David </w:t>
      </w:r>
      <w:r w:rsidR="00CB457B">
        <w:t xml:space="preserve">that invites </w:t>
      </w:r>
      <w:r w:rsidR="00B348A9">
        <w:t>his people’s response in the now and for the next generation</w:t>
      </w:r>
      <w:r w:rsidR="00CB457B">
        <w:t xml:space="preserve">, </w:t>
      </w:r>
      <w:r w:rsidR="00837892">
        <w:t>while</w:t>
      </w:r>
      <w:r w:rsidR="00C15583">
        <w:t xml:space="preserve"> Jeremiah </w:t>
      </w:r>
      <w:r w:rsidR="00772E05">
        <w:t xml:space="preserve">and such New Testament references remind readers that Yahweh’s promise in </w:t>
      </w:r>
      <w:r w:rsidR="00837892">
        <w:t>that chapter</w:t>
      </w:r>
      <w:r w:rsidR="000E5A6E">
        <w:t xml:space="preserve"> will turn out to </w:t>
      </w:r>
      <w:r w:rsidR="00D058F4">
        <w:t>invite</w:t>
      </w:r>
      <w:r w:rsidR="000E5A6E">
        <w:t xml:space="preserve"> extending and reapplying</w:t>
      </w:r>
      <w:r w:rsidR="00D058F4">
        <w:t xml:space="preserve">. </w:t>
      </w:r>
      <w:r w:rsidR="00E90180">
        <w:t xml:space="preserve">The other indisputable New Testament </w:t>
      </w:r>
      <w:r w:rsidR="002E1B53">
        <w:t>quotation from</w:t>
      </w:r>
      <w:r w:rsidR="00E90180">
        <w:t xml:space="preserve"> Samuel comes in Acts 13:22</w:t>
      </w:r>
      <w:r w:rsidR="00C417EA">
        <w:t>, referring to</w:t>
      </w:r>
      <w:r w:rsidR="00E90180">
        <w:t xml:space="preserve"> 1 Sam 13:14</w:t>
      </w:r>
      <w:r w:rsidR="00D61685">
        <w:t>;</w:t>
      </w:r>
      <w:r w:rsidR="00E90180">
        <w:t xml:space="preserve"> there are </w:t>
      </w:r>
      <w:r w:rsidR="007D3DAE">
        <w:t xml:space="preserve">also </w:t>
      </w:r>
      <w:r w:rsidR="00E90180">
        <w:t xml:space="preserve">references to either 2 Sam 22 or Ps 18 in Rom 15:9 and Heb 2:13. In addition, the story of Elizabeth, Zechariah, and Mary and of the births and early years of John the Baptizer and Jesus </w:t>
      </w:r>
      <w:r w:rsidR="00365C01">
        <w:t>follow</w:t>
      </w:r>
      <w:r w:rsidR="00E90180">
        <w:t xml:space="preserve"> patterns from the story of Hannah and Samuel.</w:t>
      </w:r>
      <w:r w:rsidR="002E1B53">
        <w:t xml:space="preserve"> </w:t>
      </w:r>
      <w:r w:rsidR="007D3DAE">
        <w:t>Hebrews 11:</w:t>
      </w:r>
      <w:r w:rsidR="008E6667">
        <w:t xml:space="preserve">32 regrets not having time to </w:t>
      </w:r>
      <w:r w:rsidR="004840DA">
        <w:t>tell of Samuel and David</w:t>
      </w:r>
      <w:r w:rsidR="007B03AE">
        <w:t>, but i</w:t>
      </w:r>
      <w:r w:rsidR="00A33EEE">
        <w:t xml:space="preserve">ts omission has not hindered </w:t>
      </w:r>
      <w:r w:rsidR="0016522C">
        <w:t xml:space="preserve">readers from taking David as an example </w:t>
      </w:r>
      <w:r w:rsidR="007B03AE">
        <w:t>for a</w:t>
      </w:r>
      <w:r w:rsidR="0016522C">
        <w:t xml:space="preserve"> relationship with God and in connection with Western </w:t>
      </w:r>
      <w:r w:rsidR="00952612">
        <w:t>concern with leadership</w:t>
      </w:r>
      <w:r w:rsidR="00D654D8">
        <w:t xml:space="preserve">, </w:t>
      </w:r>
      <w:r w:rsidR="00014617">
        <w:t xml:space="preserve">but </w:t>
      </w:r>
      <w:r w:rsidR="00160B64">
        <w:t>Samuel</w:t>
      </w:r>
      <w:r w:rsidR="00014617">
        <w:t xml:space="preserve"> does not look as if it sets David forward as an example in either connection</w:t>
      </w:r>
      <w:r w:rsidR="00FD3CD1">
        <w:t xml:space="preserve"> and interpretation</w:t>
      </w:r>
      <w:r w:rsidR="00160B64">
        <w:t>s</w:t>
      </w:r>
      <w:r w:rsidR="00FD3CD1">
        <w:t xml:space="preserve"> of this kind ha</w:t>
      </w:r>
      <w:r w:rsidR="00160B64">
        <w:t>ve</w:t>
      </w:r>
      <w:r w:rsidR="00FD3CD1">
        <w:t xml:space="preserve"> to be selective in </w:t>
      </w:r>
      <w:r w:rsidR="00F715E6">
        <w:t>their</w:t>
      </w:r>
      <w:r w:rsidR="00FD3CD1">
        <w:t xml:space="preserve"> reading of David</w:t>
      </w:r>
      <w:r w:rsidR="0029094B">
        <w:t xml:space="preserve"> and</w:t>
      </w:r>
      <w:r w:rsidR="004B7D91">
        <w:t xml:space="preserve"> </w:t>
      </w:r>
      <w:r w:rsidR="0029094B">
        <w:t xml:space="preserve">read it with criteria that come from elsewhere. </w:t>
      </w:r>
    </w:p>
    <w:p w14:paraId="48725C5D" w14:textId="51601641" w:rsidR="00E60AD2" w:rsidRDefault="00545DB6" w:rsidP="000E6B48">
      <w:r>
        <w:lastRenderedPageBreak/>
        <w:t>One further link of substance rather than of words lies with Proverbs and Qohelet.</w:t>
      </w:r>
      <w:r w:rsidR="00C4651A">
        <w:t xml:space="preserve"> </w:t>
      </w:r>
      <w:r w:rsidR="0017123E">
        <w:t>Yahweh affirms that he honors people who honor him</w:t>
      </w:r>
      <w:r w:rsidR="00DF6201">
        <w:t>, while people who slight him get slighted (1 Sam 2:30)</w:t>
      </w:r>
      <w:r w:rsidR="00FD1071">
        <w:t>. Faithful people find that their lives work out well; faithless people</w:t>
      </w:r>
      <w:r w:rsidR="00D50759">
        <w:t xml:space="preserve"> find that they do not. Eli’s family illustrate the </w:t>
      </w:r>
      <w:r w:rsidR="0029192D">
        <w:t>first aspect to the</w:t>
      </w:r>
      <w:r w:rsidR="00D50759">
        <w:t xml:space="preserve"> principle; Nabal illustrates the </w:t>
      </w:r>
      <w:r w:rsidR="0029192D">
        <w:t>second</w:t>
      </w:r>
      <w:r w:rsidR="00D50759">
        <w:t>.</w:t>
      </w:r>
      <w:r w:rsidR="0060462E">
        <w:t xml:space="preserve"> </w:t>
      </w:r>
      <w:r w:rsidR="00AC37E8">
        <w:t xml:space="preserve">Samuel </w:t>
      </w:r>
      <w:r w:rsidR="006647AE">
        <w:t xml:space="preserve">thus </w:t>
      </w:r>
      <w:r w:rsidR="00AC37E8">
        <w:t>affirms “</w:t>
      </w:r>
      <w:r w:rsidR="00D616CF">
        <w:rPr>
          <w:rFonts w:cstheme="minorHAnsi"/>
        </w:rPr>
        <w:t>the “traditional theological system”</w:t>
      </w:r>
      <w:r w:rsidR="00D616CF">
        <w:rPr>
          <w:rStyle w:val="FootnoteReference"/>
          <w:rFonts w:cstheme="minorHAnsi"/>
        </w:rPr>
        <w:footnoteReference w:id="464"/>
      </w:r>
      <w:r w:rsidR="00D616CF">
        <w:rPr>
          <w:rFonts w:cstheme="minorHAnsi"/>
        </w:rPr>
        <w:t xml:space="preserve"> </w:t>
      </w:r>
      <w:r w:rsidR="00D616CF">
        <w:t>t</w:t>
      </w:r>
      <w:r w:rsidR="0060462E">
        <w:t>h</w:t>
      </w:r>
      <w:r w:rsidR="006647AE">
        <w:t>at</w:t>
      </w:r>
      <w:r w:rsidR="0060462E">
        <w:t xml:space="preserve"> underlies Proverbs</w:t>
      </w:r>
      <w:r w:rsidR="00707C73">
        <w:t xml:space="preserve"> (and Deuteronomy</w:t>
      </w:r>
      <w:r w:rsidR="000E6B48">
        <w:t>, and most other books in both Testaments</w:t>
      </w:r>
      <w:r w:rsidR="00707C73">
        <w:t>)</w:t>
      </w:r>
      <w:r w:rsidR="0060462E">
        <w:t xml:space="preserve">. On the other hand, the </w:t>
      </w:r>
      <w:r w:rsidR="00707C73">
        <w:t xml:space="preserve">stories in Samuel also illustrate the </w:t>
      </w:r>
      <w:r w:rsidR="00151C37">
        <w:t>way this principle does not work out, in the lives of people such as A</w:t>
      </w:r>
      <w:r w:rsidR="000B00CE">
        <w:t>h</w:t>
      </w:r>
      <w:r w:rsidR="00151C37">
        <w:t>imelech</w:t>
      </w:r>
      <w:r w:rsidR="00F25C4C">
        <w:t>,</w:t>
      </w:r>
      <w:r w:rsidR="00C618DC">
        <w:t xml:space="preserve"> Jon</w:t>
      </w:r>
      <w:r w:rsidR="00F25C4C">
        <w:t>athan, and Tamar</w:t>
      </w:r>
      <w:r w:rsidR="00B576FF">
        <w:t xml:space="preserve"> (as most books in both Testaments also recognize)</w:t>
      </w:r>
      <w:r w:rsidR="0048243E">
        <w:t xml:space="preserve">. Things often turn out </w:t>
      </w:r>
      <w:r w:rsidR="00FA2E7E">
        <w:t xml:space="preserve">tragically </w:t>
      </w:r>
      <w:r w:rsidR="0048243E">
        <w:t>for people</w:t>
      </w:r>
      <w:r w:rsidR="00F25C4C">
        <w:t xml:space="preserve">, </w:t>
      </w:r>
      <w:r w:rsidR="00557895">
        <w:t>in a way that</w:t>
      </w:r>
      <w:r w:rsidR="00F25C4C">
        <w:t xml:space="preserve"> </w:t>
      </w:r>
      <w:r w:rsidR="00A43408">
        <w:t xml:space="preserve">morally and religiously one cannot see why they should. </w:t>
      </w:r>
      <w:r w:rsidR="003048C9">
        <w:t>This aspect of the reality of life underlies Qohelet</w:t>
      </w:r>
      <w:r w:rsidR="0099679B">
        <w:t>, though it does not trouble Samuel as it does Qohelet.</w:t>
      </w:r>
      <w:r w:rsidR="003A5EE7">
        <w:t xml:space="preserve"> </w:t>
      </w:r>
      <w:r w:rsidR="00B355F3">
        <w:t>But like Qohelet, a</w:t>
      </w:r>
      <w:r w:rsidR="00451485">
        <w:t xml:space="preserve">fter all the toughness of its story </w:t>
      </w:r>
      <w:r w:rsidR="00DF2F0B">
        <w:t xml:space="preserve">Samuel </w:t>
      </w:r>
      <w:r w:rsidR="00451485">
        <w:t xml:space="preserve">lets the moviegoers leave the theater </w:t>
      </w:r>
      <w:r w:rsidR="00B355F3">
        <w:t>with a little encouragement.</w:t>
      </w:r>
      <w:r w:rsidR="006D5A87">
        <w:t xml:space="preserve"> David </w:t>
      </w:r>
      <w:r w:rsidR="008813A0">
        <w:t>sets up</w:t>
      </w:r>
      <w:r w:rsidR="006D5A87">
        <w:t xml:space="preserve"> an altar where the temple will </w:t>
      </w:r>
      <w:r w:rsidR="008813A0">
        <w:t xml:space="preserve">be built and offers whole offerings </w:t>
      </w:r>
      <w:r w:rsidR="00D13FFD">
        <w:t>and well-being offerings</w:t>
      </w:r>
      <w:r w:rsidR="006802F6">
        <w:t xml:space="preserve">, Yahweh </w:t>
      </w:r>
      <w:r w:rsidR="000359CB">
        <w:rPr>
          <w:rFonts w:cstheme="minorHAnsi"/>
        </w:rPr>
        <w:t>let himself be petitioned for the country</w:t>
      </w:r>
      <w:r w:rsidR="000359CB">
        <w:rPr>
          <w:rFonts w:cstheme="minorHAnsi"/>
        </w:rPr>
        <w:t xml:space="preserve">, and </w:t>
      </w:r>
      <w:r w:rsidR="00813BC8">
        <w:rPr>
          <w:rFonts w:cstheme="minorHAnsi"/>
        </w:rPr>
        <w:t xml:space="preserve">the epidemic </w:t>
      </w:r>
      <w:r w:rsidR="00BC14D4">
        <w:rPr>
          <w:rFonts w:cstheme="minorHAnsi"/>
        </w:rPr>
        <w:t>ceases</w:t>
      </w:r>
      <w:r w:rsidR="00C0080E">
        <w:rPr>
          <w:rFonts w:cstheme="minorHAnsi"/>
        </w:rPr>
        <w:t xml:space="preserve"> from Israel.</w:t>
      </w:r>
    </w:p>
    <w:p w14:paraId="320277F1" w14:textId="41D2FFEE" w:rsidR="00F0478C" w:rsidRDefault="00F0478C" w:rsidP="00F0478C"/>
    <w:p w14:paraId="7D5B48BD" w14:textId="77777777" w:rsidR="00F0478C" w:rsidRDefault="00F0478C" w:rsidP="00444DE3"/>
    <w:p w14:paraId="46C12FF8" w14:textId="75C13623" w:rsidR="001F327C" w:rsidRPr="00444DE3" w:rsidRDefault="00ED4F7B" w:rsidP="00444DE3">
      <w:r>
        <w:t xml:space="preserve"> </w:t>
      </w:r>
    </w:p>
    <w:p w14:paraId="28DCCF82" w14:textId="77777777" w:rsidR="00FA5D81" w:rsidRDefault="00FA5D81">
      <w:pPr>
        <w:spacing w:after="160"/>
        <w:ind w:firstLine="0"/>
        <w:rPr>
          <w:rFonts w:eastAsiaTheme="majorEastAsia" w:cstheme="minorHAnsi"/>
          <w:color w:val="333333"/>
          <w:sz w:val="28"/>
          <w:bdr w:val="none" w:sz="0" w:space="0" w:color="auto" w:frame="1"/>
        </w:rPr>
      </w:pPr>
      <w:r>
        <w:br w:type="page"/>
      </w:r>
    </w:p>
    <w:p w14:paraId="7C5A09AB" w14:textId="5C364408" w:rsidR="001F327C" w:rsidRPr="001F52A8" w:rsidRDefault="001F327C" w:rsidP="001F327C">
      <w:pPr>
        <w:pStyle w:val="Heading1"/>
      </w:pPr>
      <w:r w:rsidRPr="001F52A8">
        <w:lastRenderedPageBreak/>
        <w:t>Further Reading</w:t>
      </w:r>
    </w:p>
    <w:p w14:paraId="2531D764" w14:textId="0C9848D5" w:rsidR="001F327C" w:rsidRPr="001F52A8" w:rsidRDefault="0089077A" w:rsidP="00420DCF">
      <w:r>
        <w:t xml:space="preserve">I have not had access </w:t>
      </w:r>
      <w:r w:rsidR="009035F2">
        <w:t xml:space="preserve">to a number of books on Samuel </w:t>
      </w:r>
      <w:r w:rsidR="00157677">
        <w:t>because of the pandemic</w:t>
      </w:r>
      <w:r w:rsidR="00287E1F">
        <w:t xml:space="preserve"> in 2019</w:t>
      </w:r>
      <w:r w:rsidR="00157677">
        <w:t>, and omission of a book from this list may re</w:t>
      </w:r>
      <w:r w:rsidR="0080564A">
        <w:t>flect that difficulty</w:t>
      </w:r>
      <w:r w:rsidR="00420DCF">
        <w:t xml:space="preserve"> rather than my not recommending it. Actually Samuel parallels </w:t>
      </w:r>
      <w:r w:rsidR="001F327C">
        <w:t>Job</w:t>
      </w:r>
      <w:r w:rsidR="009035F2">
        <w:t xml:space="preserve"> in being</w:t>
      </w:r>
      <w:r w:rsidR="001F327C">
        <w:t xml:space="preserve"> such a rich work that it’s hard to write a bad book on its literary and theological potential.</w:t>
      </w:r>
    </w:p>
    <w:p w14:paraId="0420CAF5" w14:textId="77777777" w:rsidR="001F327C" w:rsidRPr="001F52A8" w:rsidRDefault="001F327C" w:rsidP="001F327C"/>
    <w:p w14:paraId="7916D23F"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Alter, Robert. </w:t>
      </w:r>
      <w:r w:rsidRPr="001F52A8">
        <w:rPr>
          <w:rFonts w:cs="Calibri"/>
          <w:i/>
          <w:lang w:val="en-US"/>
        </w:rPr>
        <w:t>The David Story: A Translation with Commentary of 1 and 2 Samuel</w:t>
      </w:r>
      <w:r w:rsidRPr="001F52A8">
        <w:rPr>
          <w:rFonts w:cs="Calibri"/>
          <w:lang w:val="en-US"/>
        </w:rPr>
        <w:t xml:space="preserve">. New York: Norton, 1999. Independent translation by Jewish literary scholar, with </w:t>
      </w:r>
      <w:r>
        <w:rPr>
          <w:rFonts w:cs="Calibri"/>
          <w:lang w:val="en-US"/>
        </w:rPr>
        <w:t xml:space="preserve">substantial </w:t>
      </w:r>
      <w:r w:rsidRPr="001F52A8">
        <w:rPr>
          <w:rFonts w:cs="Calibri"/>
          <w:lang w:val="en-US"/>
        </w:rPr>
        <w:t>notes.</w:t>
      </w:r>
    </w:p>
    <w:p w14:paraId="5FA4C21A"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Auld, A. Graeme. </w:t>
      </w:r>
      <w:r w:rsidRPr="001F52A8">
        <w:rPr>
          <w:rFonts w:cs="Calibri"/>
          <w:i/>
          <w:lang w:val="en-US"/>
        </w:rPr>
        <w:t>I &amp; II Samuel: A Commentary</w:t>
      </w:r>
      <w:r w:rsidRPr="001F52A8">
        <w:rPr>
          <w:rFonts w:cs="Calibri"/>
          <w:lang w:val="en-US"/>
        </w:rPr>
        <w:t xml:space="preserve">. OTL. Louisville: Westminster John Knox, 2011. Exegesis with </w:t>
      </w:r>
      <w:r>
        <w:rPr>
          <w:rFonts w:cs="Calibri"/>
          <w:lang w:val="en-US"/>
        </w:rPr>
        <w:t xml:space="preserve">a text-critical and </w:t>
      </w:r>
      <w:r w:rsidRPr="001F52A8">
        <w:rPr>
          <w:rFonts w:cs="Calibri"/>
          <w:lang w:val="en-US"/>
        </w:rPr>
        <w:t>redaction-critical focus.</w:t>
      </w:r>
    </w:p>
    <w:p w14:paraId="4EB7518F"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Bodner, Keith and Benjamin J. M. Johnson, eds. </w:t>
      </w:r>
      <w:r w:rsidRPr="001F52A8">
        <w:rPr>
          <w:rFonts w:cs="Calibri"/>
          <w:i/>
          <w:lang w:val="en-US"/>
        </w:rPr>
        <w:t>Characters and Characterization in the Book of Samuel</w:t>
      </w:r>
      <w:r w:rsidRPr="001F52A8">
        <w:rPr>
          <w:rFonts w:cs="Calibri"/>
          <w:lang w:val="en-US"/>
        </w:rPr>
        <w:t>. LHBOTS 669. London: T &amp; T Clark, 2020. Studies of individual characters.</w:t>
      </w:r>
    </w:p>
    <w:p w14:paraId="69C0CD4A" w14:textId="23B95DF6" w:rsidR="001F327C" w:rsidRDefault="001F327C" w:rsidP="001F327C">
      <w:pPr>
        <w:pStyle w:val="ListParagraph"/>
        <w:spacing w:line="240" w:lineRule="auto"/>
        <w:rPr>
          <w:rFonts w:cs="Calibri"/>
          <w:lang w:val="en-US"/>
        </w:rPr>
      </w:pPr>
      <w:r w:rsidRPr="001F52A8">
        <w:rPr>
          <w:rFonts w:cs="Calibri"/>
          <w:lang w:val="en-US"/>
        </w:rPr>
        <w:t>Brueggemann, Walter</w:t>
      </w:r>
      <w:r w:rsidRPr="001F52A8">
        <w:rPr>
          <w:rFonts w:cs="Calibri"/>
          <w:iCs/>
          <w:lang w:val="en-US"/>
        </w:rPr>
        <w:t xml:space="preserve">. </w:t>
      </w:r>
      <w:r w:rsidRPr="001F52A8">
        <w:rPr>
          <w:rFonts w:cs="Calibri"/>
          <w:i/>
          <w:lang w:val="en-US"/>
        </w:rPr>
        <w:t>First and Second Samuel</w:t>
      </w:r>
      <w:r w:rsidRPr="001F52A8">
        <w:rPr>
          <w:rFonts w:cs="Calibri"/>
          <w:lang w:val="en-US"/>
        </w:rPr>
        <w:t>. Interpretation: A Bible Commentary for Teaching and Preaching. Louisville: John Knox, 1990. Exposition with a focus on ideology</w:t>
      </w:r>
      <w:r>
        <w:rPr>
          <w:rFonts w:cs="Calibri"/>
          <w:lang w:val="en-US"/>
        </w:rPr>
        <w:t>,</w:t>
      </w:r>
      <w:r w:rsidRPr="001F52A8">
        <w:rPr>
          <w:rFonts w:cs="Calibri"/>
          <w:lang w:val="en-US"/>
        </w:rPr>
        <w:t xml:space="preserve"> power</w:t>
      </w:r>
      <w:r>
        <w:rPr>
          <w:rFonts w:cs="Calibri"/>
          <w:lang w:val="en-US"/>
        </w:rPr>
        <w:t>, and psychology</w:t>
      </w:r>
      <w:r w:rsidRPr="001F52A8">
        <w:rPr>
          <w:rFonts w:cs="Calibri"/>
          <w:lang w:val="en-US"/>
        </w:rPr>
        <w:t>.</w:t>
      </w:r>
    </w:p>
    <w:p w14:paraId="19567977" w14:textId="7DAA237E" w:rsidR="00A46209" w:rsidRPr="001F52A8" w:rsidRDefault="00A46209" w:rsidP="001F327C">
      <w:pPr>
        <w:pStyle w:val="ListParagraph"/>
        <w:spacing w:line="240" w:lineRule="auto"/>
        <w:rPr>
          <w:rFonts w:cs="Calibri"/>
          <w:lang w:val="en-US"/>
        </w:rPr>
      </w:pPr>
      <w:r w:rsidRPr="00B969F3">
        <w:rPr>
          <w:color w:val="000000"/>
        </w:rPr>
        <w:t>Chapman</w:t>
      </w:r>
      <w:r>
        <w:rPr>
          <w:color w:val="000000"/>
        </w:rPr>
        <w:t>,</w:t>
      </w:r>
      <w:r w:rsidRPr="00B969F3">
        <w:rPr>
          <w:color w:val="000000"/>
        </w:rPr>
        <w:t xml:space="preserve"> Stephen B. </w:t>
      </w:r>
      <w:r w:rsidRPr="00B969F3">
        <w:rPr>
          <w:i/>
          <w:iCs/>
          <w:color w:val="000000"/>
        </w:rPr>
        <w:t>1 Samuel as Christian Scripture: A Theological Commentary</w:t>
      </w:r>
      <w:r w:rsidRPr="00B969F3">
        <w:rPr>
          <w:color w:val="000000"/>
        </w:rPr>
        <w:t xml:space="preserve"> </w:t>
      </w:r>
      <w:r>
        <w:rPr>
          <w:color w:val="000000"/>
        </w:rPr>
        <w:t xml:space="preserve">(Grand Rapids: </w:t>
      </w:r>
      <w:r w:rsidRPr="00B969F3">
        <w:rPr>
          <w:color w:val="000000"/>
        </w:rPr>
        <w:t>Eerdmans, 2016</w:t>
      </w:r>
    </w:p>
    <w:p w14:paraId="249070C4"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Cooper, Derek, and Martin J. Lohrmann, ed. </w:t>
      </w:r>
      <w:r w:rsidRPr="001F52A8">
        <w:rPr>
          <w:rFonts w:cs="Calibri"/>
          <w:i/>
          <w:iCs/>
          <w:shd w:val="clear" w:color="auto" w:fill="FFFFFF"/>
          <w:lang w:val="en-US"/>
        </w:rPr>
        <w:t>1 – 2 Samuel, 1 – 2 Kings, 1 – 2 Chronicles</w:t>
      </w:r>
      <w:r w:rsidRPr="001F52A8">
        <w:rPr>
          <w:rFonts w:cs="Calibri"/>
          <w:shd w:val="clear" w:color="auto" w:fill="FFFFFF"/>
          <w:lang w:val="en-US"/>
        </w:rPr>
        <w:t>. Reformation Commentary on Scripture</w:t>
      </w:r>
      <w:r w:rsidRPr="001F52A8">
        <w:rPr>
          <w:rFonts w:cstheme="minorHAnsi"/>
          <w:shd w:val="clear" w:color="auto" w:fill="FFFFFF"/>
          <w:lang w:val="en-US"/>
        </w:rPr>
        <w:t>: Old Testament 5</w:t>
      </w:r>
      <w:r w:rsidRPr="001F52A8">
        <w:rPr>
          <w:rFonts w:cs="Calibri"/>
          <w:shd w:val="clear" w:color="auto" w:fill="FFFFFF"/>
          <w:lang w:val="en-US"/>
        </w:rPr>
        <w:t>. Downers Grove, IL: InterVarsity, 2016. Excerpts from Reformation and post-reformation authors.</w:t>
      </w:r>
    </w:p>
    <w:p w14:paraId="5442E3B9" w14:textId="77777777" w:rsidR="001F327C" w:rsidRPr="001F52A8" w:rsidRDefault="001F327C" w:rsidP="001F327C">
      <w:pPr>
        <w:pStyle w:val="ListParagraph"/>
        <w:spacing w:line="240" w:lineRule="auto"/>
        <w:rPr>
          <w:rFonts w:cstheme="minorHAnsi"/>
          <w:lang w:val="en-US"/>
        </w:rPr>
      </w:pPr>
      <w:r w:rsidRPr="001F52A8">
        <w:rPr>
          <w:rFonts w:cstheme="minorHAnsi"/>
          <w:lang w:val="en-US"/>
        </w:rPr>
        <w:t xml:space="preserve">Edelman, Diana Vikander. </w:t>
      </w:r>
      <w:r w:rsidRPr="001F52A8">
        <w:rPr>
          <w:rFonts w:cstheme="minorHAnsi"/>
          <w:i/>
          <w:iCs/>
          <w:lang w:val="en-US"/>
        </w:rPr>
        <w:t xml:space="preserve">King Saul in the Historiography of Judah. </w:t>
      </w:r>
      <w:r w:rsidRPr="001F52A8">
        <w:rPr>
          <w:rFonts w:cstheme="minorHAnsi"/>
          <w:lang w:val="en-US"/>
        </w:rPr>
        <w:t xml:space="preserve">JSOTSup 121. Sheffield: Sheffield Academic, 1991. </w:t>
      </w:r>
      <w:r>
        <w:rPr>
          <w:rFonts w:cstheme="minorHAnsi"/>
          <w:lang w:val="en-US"/>
        </w:rPr>
        <w:t>C</w:t>
      </w:r>
      <w:r w:rsidRPr="001F52A8">
        <w:rPr>
          <w:rFonts w:cstheme="minorHAnsi"/>
          <w:lang w:val="en-US"/>
        </w:rPr>
        <w:t>ross between a literary and historical study.</w:t>
      </w:r>
    </w:p>
    <w:p w14:paraId="252705DA" w14:textId="77777777" w:rsidR="001F327C" w:rsidRPr="001F52A8" w:rsidRDefault="001F327C" w:rsidP="001F327C">
      <w:pPr>
        <w:pStyle w:val="ListParagraph"/>
        <w:spacing w:line="240" w:lineRule="auto"/>
        <w:rPr>
          <w:rFonts w:cs="Calibri"/>
          <w:lang w:val="en-US"/>
        </w:rPr>
      </w:pPr>
      <w:r w:rsidRPr="001F52A8">
        <w:rPr>
          <w:rFonts w:cstheme="minorHAnsi"/>
          <w:lang w:val="en-US"/>
        </w:rPr>
        <w:t xml:space="preserve">Eslinger, Lyle. </w:t>
      </w:r>
      <w:r w:rsidRPr="001F52A8">
        <w:rPr>
          <w:rFonts w:cs="Calibri"/>
          <w:i/>
          <w:lang w:val="en-US"/>
        </w:rPr>
        <w:t>Kingship of God in Crisis: A Close Reading of 1 Samuel 1 – 12</w:t>
      </w:r>
      <w:r w:rsidRPr="001F52A8">
        <w:rPr>
          <w:rFonts w:cs="Calibri"/>
          <w:lang w:val="en-US"/>
        </w:rPr>
        <w:t xml:space="preserve">. Sheffield: JSOT, 1985. </w:t>
      </w:r>
      <w:r>
        <w:rPr>
          <w:rFonts w:cs="Calibri"/>
          <w:lang w:val="en-US"/>
        </w:rPr>
        <w:t>L</w:t>
      </w:r>
      <w:r w:rsidRPr="001F52A8">
        <w:rPr>
          <w:rFonts w:cs="Calibri"/>
          <w:lang w:val="en-US"/>
        </w:rPr>
        <w:t>iterary study focusing on the characters in the narrative and their interaction.</w:t>
      </w:r>
    </w:p>
    <w:p w14:paraId="65184746" w14:textId="77777777" w:rsidR="001F327C" w:rsidRPr="001F52A8" w:rsidRDefault="001F327C" w:rsidP="001F327C">
      <w:pPr>
        <w:pStyle w:val="ListParagraph"/>
        <w:spacing w:line="240" w:lineRule="auto"/>
        <w:rPr>
          <w:rFonts w:cstheme="minorHAnsi"/>
          <w:lang w:val="en-US"/>
        </w:rPr>
      </w:pPr>
      <w:r w:rsidRPr="001F52A8">
        <w:rPr>
          <w:rFonts w:cstheme="minorHAnsi"/>
          <w:lang w:val="en-US"/>
        </w:rPr>
        <w:t xml:space="preserve">Firth, David G. </w:t>
      </w:r>
      <w:r w:rsidRPr="001F52A8">
        <w:rPr>
          <w:rFonts w:cstheme="minorHAnsi"/>
          <w:i/>
          <w:iCs/>
          <w:lang w:val="en-US"/>
        </w:rPr>
        <w:t>1 &amp; 2 Samuel</w:t>
      </w:r>
      <w:r w:rsidRPr="001F52A8">
        <w:rPr>
          <w:rFonts w:cstheme="minorHAnsi"/>
          <w:lang w:val="en-US"/>
        </w:rPr>
        <w:t xml:space="preserve">. Apollos Old Testament Commentary 8. Nottingham: Apollos, 2009. </w:t>
      </w:r>
      <w:r>
        <w:rPr>
          <w:rFonts w:cstheme="minorHAnsi"/>
          <w:lang w:val="en-US"/>
        </w:rPr>
        <w:t>D</w:t>
      </w:r>
      <w:r w:rsidRPr="001F52A8">
        <w:rPr>
          <w:rFonts w:cstheme="minorHAnsi"/>
          <w:lang w:val="en-US"/>
        </w:rPr>
        <w:t xml:space="preserve">etailed exegetical commentary </w:t>
      </w:r>
      <w:r>
        <w:rPr>
          <w:rFonts w:cstheme="minorHAnsi"/>
          <w:lang w:val="en-US"/>
        </w:rPr>
        <w:t>paying substantial attention to the way the story works.</w:t>
      </w:r>
    </w:p>
    <w:p w14:paraId="6F73226A"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Fokkelman, J. P. </w:t>
      </w:r>
      <w:r w:rsidRPr="001F52A8">
        <w:rPr>
          <w:rFonts w:cs="Calibri"/>
          <w:i/>
          <w:iCs/>
          <w:lang w:val="en-US"/>
        </w:rPr>
        <w:t>Narrative Art and Poetry in the Books of Samuel</w:t>
      </w:r>
      <w:r w:rsidRPr="001F52A8">
        <w:rPr>
          <w:rFonts w:cs="Calibri"/>
          <w:lang w:val="en-US"/>
        </w:rPr>
        <w:t xml:space="preserve">. Vol. 1. </w:t>
      </w:r>
      <w:r w:rsidRPr="001F52A8">
        <w:rPr>
          <w:rFonts w:cs="Calibri"/>
          <w:i/>
          <w:iCs/>
          <w:lang w:val="en-US"/>
        </w:rPr>
        <w:t>King David (II Sam. 9. – 20 &amp; 1 Kings 1 – 2)</w:t>
      </w:r>
      <w:r w:rsidRPr="001F52A8">
        <w:rPr>
          <w:rFonts w:cs="Calibri"/>
          <w:lang w:val="en-US"/>
        </w:rPr>
        <w:t>. Assen: van Gorcum, 1981.</w:t>
      </w:r>
    </w:p>
    <w:p w14:paraId="2EFC427B" w14:textId="2BF930CE" w:rsidR="001F327C" w:rsidRPr="001F52A8" w:rsidRDefault="001F327C" w:rsidP="001F327C">
      <w:pPr>
        <w:pStyle w:val="ListParagraph"/>
        <w:spacing w:line="240" w:lineRule="auto"/>
        <w:rPr>
          <w:rFonts w:cs="Calibri"/>
          <w:lang w:val="en-US"/>
        </w:rPr>
      </w:pPr>
      <w:r w:rsidRPr="001F52A8">
        <w:rPr>
          <w:rFonts w:cs="Calibri"/>
          <w:lang w:val="en-US"/>
        </w:rPr>
        <w:t xml:space="preserve">-- -- --. -- -- --. Vol. 2. </w:t>
      </w:r>
      <w:r w:rsidRPr="001F52A8">
        <w:rPr>
          <w:rFonts w:cs="Calibri"/>
          <w:i/>
          <w:iCs/>
          <w:lang w:val="en-US"/>
        </w:rPr>
        <w:t>The Crossing Fates: I Sam. 13 – 31 &amp; II Sam.</w:t>
      </w:r>
      <w:r w:rsidR="009C79E9">
        <w:rPr>
          <w:rFonts w:cs="Calibri"/>
          <w:i/>
          <w:iCs/>
          <w:lang w:val="en-US"/>
        </w:rPr>
        <w:t xml:space="preserve"> </w:t>
      </w:r>
      <w:r w:rsidRPr="001F52A8">
        <w:rPr>
          <w:rFonts w:cs="Calibri"/>
          <w:i/>
          <w:iCs/>
          <w:lang w:val="en-US"/>
        </w:rPr>
        <w:t xml:space="preserve">1). </w:t>
      </w:r>
      <w:r w:rsidRPr="001F52A8">
        <w:rPr>
          <w:rFonts w:cs="Calibri"/>
          <w:lang w:val="en-US"/>
        </w:rPr>
        <w:t xml:space="preserve">Assen: van Gorcum, 1986. </w:t>
      </w:r>
    </w:p>
    <w:p w14:paraId="1E8F39D5"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 -- --. -- -- --. Vol. 3. </w:t>
      </w:r>
      <w:r w:rsidRPr="001F52A8">
        <w:rPr>
          <w:rFonts w:cs="Calibri"/>
          <w:i/>
          <w:iCs/>
          <w:lang w:val="en-US"/>
        </w:rPr>
        <w:t>Throne and City (II Sam. 2 – 8 &amp; 21 – 24)</w:t>
      </w:r>
      <w:r w:rsidRPr="001F52A8">
        <w:rPr>
          <w:rFonts w:cs="Calibri"/>
          <w:lang w:val="en-US"/>
        </w:rPr>
        <w:t>.</w:t>
      </w:r>
      <w:r w:rsidRPr="001F52A8">
        <w:rPr>
          <w:rFonts w:cs="Calibri"/>
          <w:i/>
          <w:iCs/>
          <w:lang w:val="en-US"/>
        </w:rPr>
        <w:t xml:space="preserve"> </w:t>
      </w:r>
      <w:r w:rsidRPr="001F52A8">
        <w:rPr>
          <w:rFonts w:cs="Calibri"/>
          <w:lang w:val="en-US"/>
        </w:rPr>
        <w:t xml:space="preserve">Assen: van Gorcum, 1990. </w:t>
      </w:r>
    </w:p>
    <w:p w14:paraId="77AA6F5A" w14:textId="0842C462" w:rsidR="001F327C" w:rsidRDefault="001F327C" w:rsidP="001F327C">
      <w:pPr>
        <w:pStyle w:val="ListParagraph"/>
        <w:spacing w:line="240" w:lineRule="auto"/>
        <w:rPr>
          <w:rFonts w:cs="Calibri"/>
          <w:lang w:val="en-US"/>
        </w:rPr>
      </w:pPr>
      <w:r w:rsidRPr="001F52A8">
        <w:rPr>
          <w:rFonts w:cs="Calibri"/>
          <w:lang w:val="en-US"/>
        </w:rPr>
        <w:t xml:space="preserve">-- -- --. -- -- --. Vol. 4. </w:t>
      </w:r>
      <w:r w:rsidRPr="001F52A8">
        <w:rPr>
          <w:rFonts w:cs="Calibri"/>
          <w:i/>
          <w:iCs/>
          <w:lang w:val="en-US"/>
        </w:rPr>
        <w:t>Vow and Desire (I Sam. 1 – 12)</w:t>
      </w:r>
      <w:r w:rsidRPr="001F52A8">
        <w:rPr>
          <w:rFonts w:cs="Calibri"/>
          <w:lang w:val="en-US"/>
        </w:rPr>
        <w:t>.</w:t>
      </w:r>
      <w:r w:rsidRPr="001F52A8">
        <w:rPr>
          <w:rFonts w:cs="Calibri"/>
          <w:i/>
          <w:iCs/>
          <w:lang w:val="en-US"/>
        </w:rPr>
        <w:t xml:space="preserve"> </w:t>
      </w:r>
      <w:r w:rsidRPr="001F52A8">
        <w:rPr>
          <w:rFonts w:cs="Calibri"/>
          <w:lang w:val="en-US"/>
        </w:rPr>
        <w:t>Assen: van Gorcum, 1993.</w:t>
      </w:r>
      <w:r w:rsidR="00ED4F7B">
        <w:rPr>
          <w:rFonts w:cs="Calibri"/>
          <w:lang w:val="en-US"/>
        </w:rPr>
        <w:t xml:space="preserve"> </w:t>
      </w:r>
    </w:p>
    <w:p w14:paraId="607EBAC4" w14:textId="77777777" w:rsidR="001F327C" w:rsidRPr="001F52A8" w:rsidRDefault="001F327C" w:rsidP="001F327C">
      <w:pPr>
        <w:pStyle w:val="ListParagraph"/>
        <w:spacing w:line="240" w:lineRule="auto"/>
        <w:ind w:firstLine="0"/>
        <w:rPr>
          <w:rFonts w:cs="Calibri"/>
          <w:lang w:val="en-US"/>
        </w:rPr>
      </w:pPr>
      <w:r>
        <w:rPr>
          <w:rFonts w:cs="Calibri"/>
          <w:lang w:val="en-US"/>
        </w:rPr>
        <w:t xml:space="preserve">          M</w:t>
      </w:r>
      <w:r w:rsidRPr="001F52A8">
        <w:rPr>
          <w:rFonts w:cs="Calibri"/>
          <w:lang w:val="en-US"/>
        </w:rPr>
        <w:t>onumental detailed literary exposition.</w:t>
      </w:r>
    </w:p>
    <w:p w14:paraId="78CFE0C5" w14:textId="61CB986F" w:rsidR="001F327C" w:rsidRPr="001F52A8" w:rsidRDefault="001F327C" w:rsidP="001F327C">
      <w:pPr>
        <w:pStyle w:val="ListParagraph"/>
        <w:spacing w:line="240" w:lineRule="auto"/>
        <w:rPr>
          <w:rFonts w:cs="Calibri"/>
          <w:lang w:val="en-US"/>
        </w:rPr>
      </w:pPr>
      <w:r w:rsidRPr="001F52A8">
        <w:rPr>
          <w:rFonts w:cs="Calibri"/>
          <w:lang w:val="en-US"/>
        </w:rPr>
        <w:t xml:space="preserve">Franke, John R. </w:t>
      </w:r>
      <w:r w:rsidRPr="001F52A8">
        <w:rPr>
          <w:rFonts w:cs="Calibri"/>
          <w:i/>
          <w:iCs/>
          <w:lang w:val="en-US"/>
        </w:rPr>
        <w:t>Joshua, Judges, Ruth, 1 – 2 Samuel</w:t>
      </w:r>
      <w:r w:rsidRPr="001F52A8">
        <w:rPr>
          <w:rFonts w:cs="Calibri"/>
          <w:lang w:val="en-US"/>
        </w:rPr>
        <w:t>. Ancient Christian Commentary on Scripture</w:t>
      </w:r>
      <w:r w:rsidR="006655D4">
        <w:rPr>
          <w:rFonts w:cs="Calibri"/>
          <w:lang w:val="en-US"/>
        </w:rPr>
        <w:t xml:space="preserve"> 4</w:t>
      </w:r>
      <w:r w:rsidRPr="001F52A8">
        <w:rPr>
          <w:rFonts w:cs="Calibri"/>
          <w:lang w:val="en-US"/>
        </w:rPr>
        <w:t xml:space="preserve">. Downers Grove, IL: InterVarsity, 2005. Excerpts from early Christian authors. </w:t>
      </w:r>
    </w:p>
    <w:p w14:paraId="59EED12A"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Goldingay, John. </w:t>
      </w:r>
      <w:r w:rsidRPr="001F52A8">
        <w:rPr>
          <w:rFonts w:cs="Calibri"/>
          <w:i/>
          <w:iCs/>
          <w:lang w:val="en-US"/>
        </w:rPr>
        <w:t>Men Behaving Badly</w:t>
      </w:r>
      <w:r w:rsidRPr="001F52A8">
        <w:rPr>
          <w:rFonts w:cs="Calibri"/>
          <w:lang w:val="en-US"/>
        </w:rPr>
        <w:t xml:space="preserve">. Reprinted Eugene, OR: Wipf and Stock, 2021. </w:t>
      </w:r>
      <w:r>
        <w:rPr>
          <w:rFonts w:cs="Calibri"/>
          <w:lang w:val="en-US"/>
        </w:rPr>
        <w:t>E</w:t>
      </w:r>
      <w:r w:rsidRPr="001F52A8">
        <w:rPr>
          <w:rFonts w:cs="Calibri"/>
          <w:lang w:val="en-US"/>
        </w:rPr>
        <w:t>xposition looking at the male characters.</w:t>
      </w:r>
    </w:p>
    <w:p w14:paraId="39DB0BCE"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Green, Barbara. </w:t>
      </w:r>
      <w:r w:rsidRPr="001F52A8">
        <w:rPr>
          <w:rFonts w:cs="Calibri"/>
          <w:i/>
          <w:iCs/>
          <w:lang w:val="en-US"/>
        </w:rPr>
        <w:t xml:space="preserve">How Are the Mighty Fallen: </w:t>
      </w:r>
      <w:r w:rsidRPr="001F52A8">
        <w:rPr>
          <w:rFonts w:asciiTheme="minorHAnsi" w:hAnsiTheme="minorHAnsi" w:cstheme="minorHAnsi"/>
          <w:i/>
          <w:iCs/>
          <w:lang w:val="en-US"/>
        </w:rPr>
        <w:t>A Dialogical Study of King Saul in 1 Samuel.</w:t>
      </w:r>
      <w:r w:rsidRPr="001F52A8">
        <w:rPr>
          <w:rFonts w:asciiTheme="minorHAnsi" w:hAnsiTheme="minorHAnsi" w:cstheme="minorHAnsi"/>
          <w:lang w:val="en-US"/>
        </w:rPr>
        <w:t xml:space="preserve"> JSOTSup</w:t>
      </w:r>
      <w:r w:rsidRPr="001F52A8">
        <w:rPr>
          <w:rFonts w:cs="Calibri"/>
          <w:lang w:val="en-US"/>
        </w:rPr>
        <w:t xml:space="preserve"> 365. London: Sheffield Academic, 2003.</w:t>
      </w:r>
      <w:r>
        <w:rPr>
          <w:rFonts w:cs="Calibri"/>
          <w:lang w:val="en-US"/>
        </w:rPr>
        <w:t xml:space="preserve"> Application of Mikhail Bakhtin’s “dialogical” approach to narrative.</w:t>
      </w:r>
    </w:p>
    <w:p w14:paraId="2360A59F" w14:textId="77777777" w:rsidR="001F327C" w:rsidRPr="00486D0D" w:rsidRDefault="001F327C" w:rsidP="001F327C">
      <w:pPr>
        <w:pStyle w:val="ListParagraph"/>
        <w:spacing w:line="240" w:lineRule="auto"/>
        <w:rPr>
          <w:rFonts w:cs="Calibri"/>
          <w:lang w:val="en-US"/>
        </w:rPr>
      </w:pPr>
      <w:r w:rsidRPr="001F52A8">
        <w:rPr>
          <w:rFonts w:cs="Calibri"/>
          <w:lang w:val="en-US"/>
        </w:rPr>
        <w:t xml:space="preserve">Gunn, David M. </w:t>
      </w:r>
      <w:r w:rsidRPr="001F52A8">
        <w:rPr>
          <w:i/>
          <w:iCs/>
          <w:lang w:val="en-US"/>
        </w:rPr>
        <w:t>The Fate of King Saul: An Interpretation of a Biblical Story</w:t>
      </w:r>
      <w:r w:rsidRPr="001F52A8">
        <w:rPr>
          <w:lang w:val="en-US"/>
        </w:rPr>
        <w:t xml:space="preserve">. JSOTSup 14. Reprinted Sheffield: JSOT, 1989. </w:t>
      </w:r>
      <w:r>
        <w:rPr>
          <w:lang w:val="en-US"/>
        </w:rPr>
        <w:t>L</w:t>
      </w:r>
      <w:r w:rsidRPr="001F52A8">
        <w:rPr>
          <w:lang w:val="en-US"/>
        </w:rPr>
        <w:t>iterary study considering Saul as a tragic figure.</w:t>
      </w:r>
    </w:p>
    <w:p w14:paraId="4DBE78B0" w14:textId="680C88E0" w:rsidR="001F327C" w:rsidRPr="001F52A8" w:rsidRDefault="001F327C" w:rsidP="001F327C">
      <w:pPr>
        <w:pStyle w:val="ListParagraph"/>
        <w:spacing w:line="240" w:lineRule="auto"/>
        <w:rPr>
          <w:lang w:val="en-US"/>
        </w:rPr>
      </w:pPr>
      <w:r w:rsidRPr="001F52A8">
        <w:rPr>
          <w:lang w:val="en-US"/>
        </w:rPr>
        <w:t xml:space="preserve">Hertzberg, H. W. </w:t>
      </w:r>
      <w:r w:rsidRPr="001F52A8">
        <w:rPr>
          <w:i/>
          <w:lang w:val="en-US"/>
        </w:rPr>
        <w:t>I &amp; II Samuel</w:t>
      </w:r>
      <w:r w:rsidR="00C51101">
        <w:rPr>
          <w:i/>
          <w:lang w:val="en-US"/>
        </w:rPr>
        <w:t>: A Commentary</w:t>
      </w:r>
      <w:r w:rsidRPr="001F52A8">
        <w:rPr>
          <w:lang w:val="en-US"/>
        </w:rPr>
        <w:t xml:space="preserve">. OTL. London: SCM, 1964. </w:t>
      </w:r>
      <w:r>
        <w:rPr>
          <w:lang w:val="en-US"/>
        </w:rPr>
        <w:t>Classic theological and exegetical commentary.</w:t>
      </w:r>
    </w:p>
    <w:p w14:paraId="1F28CD0F"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Jobling, David. </w:t>
      </w:r>
      <w:r w:rsidRPr="001F52A8">
        <w:rPr>
          <w:rFonts w:cs="Calibri"/>
          <w:i/>
          <w:lang w:val="en-US"/>
        </w:rPr>
        <w:t>1 Samuel</w:t>
      </w:r>
      <w:r w:rsidRPr="001F52A8">
        <w:rPr>
          <w:rFonts w:cs="Calibri"/>
          <w:lang w:val="en-US"/>
        </w:rPr>
        <w:t xml:space="preserve">. Berit Olam: Studies in Hebrew Narrative and Poetry. Collegeville, MN: Liturgical, 1998. </w:t>
      </w:r>
      <w:r>
        <w:rPr>
          <w:rFonts w:cs="Calibri"/>
          <w:lang w:val="en-US"/>
        </w:rPr>
        <w:t>T</w:t>
      </w:r>
      <w:r w:rsidRPr="001F52A8">
        <w:rPr>
          <w:rFonts w:cs="Calibri"/>
          <w:lang w:val="en-US"/>
        </w:rPr>
        <w:t>hematic literary study taking a structuralist approach.</w:t>
      </w:r>
    </w:p>
    <w:p w14:paraId="32E61E02" w14:textId="77777777" w:rsidR="001F327C" w:rsidRPr="001F52A8" w:rsidRDefault="001F327C" w:rsidP="001F327C">
      <w:pPr>
        <w:pStyle w:val="ListParagraph"/>
        <w:spacing w:line="240" w:lineRule="auto"/>
        <w:rPr>
          <w:lang w:val="en-US"/>
        </w:rPr>
      </w:pPr>
      <w:r w:rsidRPr="001F52A8">
        <w:rPr>
          <w:lang w:val="en-US"/>
        </w:rPr>
        <w:lastRenderedPageBreak/>
        <w:t xml:space="preserve">McCarter, P. Kyle. </w:t>
      </w:r>
      <w:r w:rsidRPr="001F52A8">
        <w:rPr>
          <w:i/>
          <w:iCs/>
          <w:lang w:val="en-US"/>
        </w:rPr>
        <w:t>I Samuel: A New Translation with Introduction, Notes and Commentary</w:t>
      </w:r>
      <w:r w:rsidRPr="001F52A8">
        <w:rPr>
          <w:lang w:val="en-US"/>
        </w:rPr>
        <w:t>. AB 8. Garden City, NY: Doubleday, 1980.</w:t>
      </w:r>
    </w:p>
    <w:p w14:paraId="411A0FDD" w14:textId="77777777" w:rsidR="001F327C" w:rsidRDefault="001F327C" w:rsidP="001F327C">
      <w:pPr>
        <w:pStyle w:val="ListParagraph"/>
        <w:spacing w:line="240" w:lineRule="auto"/>
        <w:rPr>
          <w:rFonts w:cstheme="minorHAnsi"/>
          <w:lang w:val="en-US"/>
        </w:rPr>
      </w:pPr>
      <w:r w:rsidRPr="001F52A8">
        <w:rPr>
          <w:rFonts w:cstheme="minorHAnsi"/>
          <w:lang w:val="en-US"/>
        </w:rPr>
        <w:t xml:space="preserve">———. </w:t>
      </w:r>
      <w:r w:rsidRPr="001F52A8">
        <w:rPr>
          <w:rFonts w:cstheme="minorHAnsi"/>
          <w:i/>
          <w:iCs/>
          <w:lang w:val="en-US"/>
        </w:rPr>
        <w:t xml:space="preserve">II Samuel: </w:t>
      </w:r>
      <w:r w:rsidRPr="001F52A8">
        <w:rPr>
          <w:i/>
          <w:iCs/>
          <w:lang w:val="en-US"/>
        </w:rPr>
        <w:t>A New Translation with Introduction, Notes and Commentary</w:t>
      </w:r>
      <w:r w:rsidRPr="001F52A8">
        <w:rPr>
          <w:rFonts w:cstheme="minorHAnsi"/>
          <w:lang w:val="en-US"/>
        </w:rPr>
        <w:t>. AB 9. Garden City, NY: Doubleday, 1984.</w:t>
      </w:r>
    </w:p>
    <w:p w14:paraId="1FDF62A9" w14:textId="77777777" w:rsidR="001F327C" w:rsidRPr="001F52A8" w:rsidRDefault="001F327C" w:rsidP="001F327C">
      <w:pPr>
        <w:pStyle w:val="ListParagraph"/>
        <w:spacing w:line="240" w:lineRule="auto"/>
        <w:rPr>
          <w:rFonts w:cstheme="minorHAnsi"/>
          <w:lang w:val="en-US"/>
        </w:rPr>
      </w:pPr>
      <w:r>
        <w:rPr>
          <w:rFonts w:cstheme="minorHAnsi"/>
          <w:lang w:val="en-US"/>
        </w:rPr>
        <w:tab/>
        <w:t>A substantial pair of commentaries with detailed treatment of textual and redactional questions.</w:t>
      </w:r>
    </w:p>
    <w:p w14:paraId="57D8AAE9" w14:textId="77777777" w:rsidR="001F327C" w:rsidRPr="001F52A8" w:rsidRDefault="001F327C" w:rsidP="001F327C">
      <w:pPr>
        <w:pStyle w:val="ListParagraph"/>
        <w:spacing w:line="240" w:lineRule="auto"/>
        <w:rPr>
          <w:rFonts w:cs="Calibri"/>
          <w:lang w:val="en-US"/>
        </w:rPr>
      </w:pPr>
      <w:r w:rsidRPr="001F52A8">
        <w:rPr>
          <w:rFonts w:cs="Calibri"/>
          <w:lang w:val="en-US"/>
        </w:rPr>
        <w:t xml:space="preserve">Miscall, Peter D. </w:t>
      </w:r>
      <w:r w:rsidRPr="001F52A8">
        <w:rPr>
          <w:rFonts w:cs="Calibri"/>
          <w:i/>
          <w:lang w:val="en-US"/>
        </w:rPr>
        <w:t>1 Samuel: A Literary Reading</w:t>
      </w:r>
      <w:r w:rsidRPr="001F52A8">
        <w:rPr>
          <w:rFonts w:cs="Calibri"/>
          <w:lang w:val="en-US"/>
        </w:rPr>
        <w:t>. Bloomington: Indiana University Press, 1986. Literary study emphasizing ambiguity in the text.</w:t>
      </w:r>
    </w:p>
    <w:p w14:paraId="2E218B5B" w14:textId="6F26C3A3" w:rsidR="001F327C" w:rsidRPr="001F52A8" w:rsidRDefault="001F327C" w:rsidP="001F327C">
      <w:pPr>
        <w:pStyle w:val="ListParagraph"/>
        <w:spacing w:line="240" w:lineRule="auto"/>
        <w:rPr>
          <w:rFonts w:cs="Calibri"/>
          <w:lang w:val="en-US"/>
        </w:rPr>
      </w:pPr>
      <w:r w:rsidRPr="001F52A8">
        <w:rPr>
          <w:rFonts w:cs="Calibri"/>
          <w:lang w:val="en-US"/>
        </w:rPr>
        <w:t xml:space="preserve">Morrison, Craig E. </w:t>
      </w:r>
      <w:r w:rsidRPr="001F52A8">
        <w:rPr>
          <w:rFonts w:cs="Calibri"/>
          <w:i/>
          <w:lang w:val="en-US"/>
        </w:rPr>
        <w:t>2 Samuel</w:t>
      </w:r>
      <w:r w:rsidRPr="001F52A8">
        <w:rPr>
          <w:rFonts w:cs="Calibri"/>
          <w:lang w:val="en-US"/>
        </w:rPr>
        <w:t>. Berit Olam</w:t>
      </w:r>
      <w:r w:rsidR="00765D3E">
        <w:rPr>
          <w:rFonts w:cs="Calibri"/>
          <w:lang w:val="en-US"/>
        </w:rPr>
        <w:t xml:space="preserve">: </w:t>
      </w:r>
      <w:r w:rsidR="00765D3E" w:rsidRPr="001F52A8">
        <w:rPr>
          <w:rFonts w:cs="Calibri"/>
          <w:lang w:val="en-US"/>
        </w:rPr>
        <w:t>Studies in Hebrew Narrative and Poetry</w:t>
      </w:r>
      <w:r w:rsidRPr="001F52A8">
        <w:rPr>
          <w:rFonts w:cs="Calibri"/>
          <w:lang w:val="en-US"/>
        </w:rPr>
        <w:t>. Collegeville, MN: Liturgical, 2013.</w:t>
      </w:r>
      <w:r>
        <w:rPr>
          <w:rFonts w:cs="Calibri"/>
          <w:lang w:val="en-US"/>
        </w:rPr>
        <w:t xml:space="preserve"> Literary study making links with other literary works.</w:t>
      </w:r>
    </w:p>
    <w:p w14:paraId="57EBEC50" w14:textId="6EDD6A0A" w:rsidR="001F327C" w:rsidRPr="001F52A8" w:rsidRDefault="001F327C" w:rsidP="001F327C">
      <w:pPr>
        <w:pStyle w:val="ListParagraph"/>
        <w:spacing w:line="240" w:lineRule="auto"/>
        <w:rPr>
          <w:rFonts w:cs="Calibri"/>
          <w:bCs/>
          <w:lang w:val="en-US" w:bidi="he-IL"/>
        </w:rPr>
      </w:pPr>
      <w:r w:rsidRPr="001F52A8">
        <w:rPr>
          <w:rFonts w:cs="Calibri"/>
          <w:lang w:val="en-US"/>
        </w:rPr>
        <w:t xml:space="preserve">Murphy, </w:t>
      </w:r>
      <w:r w:rsidRPr="001F52A8">
        <w:rPr>
          <w:rFonts w:cs="Calibri"/>
          <w:bCs/>
          <w:lang w:val="en-US" w:bidi="he-IL"/>
        </w:rPr>
        <w:t xml:space="preserve">Francesca Aran. </w:t>
      </w:r>
      <w:r w:rsidRPr="001F52A8">
        <w:rPr>
          <w:rFonts w:cs="Calibri"/>
          <w:bCs/>
          <w:i/>
          <w:lang w:val="en-US" w:bidi="he-IL"/>
        </w:rPr>
        <w:t xml:space="preserve">1 </w:t>
      </w:r>
      <w:r w:rsidRPr="00B87211">
        <w:rPr>
          <w:rFonts w:cs="Calibri"/>
          <w:bCs/>
          <w:i/>
          <w:lang w:val="en-US" w:bidi="he-IL"/>
        </w:rPr>
        <w:t>Samuel</w:t>
      </w:r>
      <w:r w:rsidRPr="00B87211">
        <w:rPr>
          <w:rFonts w:cs="Calibri"/>
          <w:bCs/>
          <w:lang w:val="en-US" w:bidi="he-IL"/>
        </w:rPr>
        <w:t xml:space="preserve">. </w:t>
      </w:r>
      <w:r w:rsidR="00391955" w:rsidRPr="00B87211">
        <w:rPr>
          <w:rFonts w:cs="Calibri"/>
          <w:shd w:val="clear" w:color="auto" w:fill="FFFFFF"/>
        </w:rPr>
        <w:t>Brazos Theological Commentary on the Bible</w:t>
      </w:r>
      <w:r w:rsidR="00B87211" w:rsidRPr="00B87211">
        <w:rPr>
          <w:rFonts w:cs="Calibri"/>
        </w:rPr>
        <w:t xml:space="preserve">. </w:t>
      </w:r>
      <w:r w:rsidRPr="00B87211">
        <w:rPr>
          <w:rFonts w:cs="Calibri"/>
          <w:bCs/>
          <w:lang w:val="en-US" w:bidi="he-IL"/>
        </w:rPr>
        <w:t>Grand</w:t>
      </w:r>
      <w:r w:rsidRPr="001F52A8">
        <w:rPr>
          <w:rFonts w:cs="Calibri"/>
          <w:bCs/>
          <w:lang w:val="en-US" w:bidi="he-IL"/>
        </w:rPr>
        <w:t xml:space="preserve"> Rapids: Brazos, 2010.</w:t>
      </w:r>
      <w:r>
        <w:rPr>
          <w:rFonts w:cs="Calibri"/>
          <w:bCs/>
          <w:lang w:val="en-US" w:bidi="he-IL"/>
        </w:rPr>
        <w:t xml:space="preserve"> Theological commentary making links with systematical and historical theology.</w:t>
      </w:r>
    </w:p>
    <w:p w14:paraId="10D59321" w14:textId="77777777" w:rsidR="001F327C" w:rsidRPr="001F52A8" w:rsidRDefault="001F327C" w:rsidP="001F327C">
      <w:pPr>
        <w:pStyle w:val="ListParagraph"/>
        <w:spacing w:line="240" w:lineRule="auto"/>
        <w:rPr>
          <w:rFonts w:cs="Calibri"/>
          <w:iCs/>
          <w:lang w:val="en-US"/>
        </w:rPr>
      </w:pPr>
      <w:r w:rsidRPr="001F52A8">
        <w:rPr>
          <w:rFonts w:cs="Calibri"/>
          <w:lang w:val="en-US"/>
        </w:rPr>
        <w:t xml:space="preserve">Polzin, Robert. </w:t>
      </w:r>
      <w:r w:rsidRPr="001F52A8">
        <w:rPr>
          <w:rFonts w:cs="Calibri"/>
          <w:i/>
          <w:lang w:val="en-US"/>
        </w:rPr>
        <w:t>David and the Deuteronomist: A Literary Study of the Deuteronomic History</w:t>
      </w:r>
      <w:r w:rsidRPr="001F52A8">
        <w:rPr>
          <w:rFonts w:cs="Calibri"/>
          <w:iCs/>
          <w:lang w:val="en-US"/>
        </w:rPr>
        <w:t xml:space="preserve">. Part Three: 2 Samuel. </w:t>
      </w:r>
      <w:r w:rsidRPr="001F52A8">
        <w:rPr>
          <w:rFonts w:cs="Calibri"/>
          <w:lang w:val="en-US"/>
        </w:rPr>
        <w:t xml:space="preserve">Bloomington: Indiana University Press, </w:t>
      </w:r>
      <w:r w:rsidRPr="001F52A8">
        <w:rPr>
          <w:rFonts w:cs="Calibri"/>
          <w:iCs/>
          <w:lang w:val="en-US"/>
        </w:rPr>
        <w:t>1993</w:t>
      </w:r>
    </w:p>
    <w:p w14:paraId="6C7A1933" w14:textId="77777777" w:rsidR="001F327C" w:rsidRPr="001F52A8" w:rsidRDefault="001F327C" w:rsidP="001F327C">
      <w:pPr>
        <w:pStyle w:val="ListParagraph"/>
        <w:spacing w:line="240" w:lineRule="auto"/>
        <w:rPr>
          <w:rFonts w:cs="Calibri"/>
          <w:lang w:val="en-US"/>
        </w:rPr>
      </w:pPr>
      <w:r w:rsidRPr="001F52A8">
        <w:rPr>
          <w:rFonts w:cs="Calibri"/>
          <w:iCs/>
          <w:lang w:val="en-US"/>
        </w:rPr>
        <w:t xml:space="preserve">-- -- -- </w:t>
      </w:r>
      <w:r w:rsidRPr="001F52A8">
        <w:rPr>
          <w:rFonts w:cs="Calibri"/>
          <w:i/>
          <w:lang w:val="en-US"/>
        </w:rPr>
        <w:t>Samuel and the Deuteronomist: A Literary Study of the Deuteronomic History</w:t>
      </w:r>
      <w:r w:rsidRPr="001F52A8">
        <w:rPr>
          <w:rFonts w:cs="Calibri"/>
          <w:lang w:val="en-US"/>
        </w:rPr>
        <w:t>. Part Two: 1 Samuel. Reprinted Bloomington: Indiana University Press, 1993.</w:t>
      </w:r>
    </w:p>
    <w:p w14:paraId="2325ACEB" w14:textId="77777777" w:rsidR="001F327C" w:rsidRPr="001F52A8" w:rsidRDefault="001F327C" w:rsidP="001F327C">
      <w:pPr>
        <w:pStyle w:val="ListParagraph"/>
        <w:spacing w:line="240" w:lineRule="auto"/>
        <w:rPr>
          <w:rFonts w:cs="Calibri"/>
          <w:lang w:val="en-US"/>
        </w:rPr>
      </w:pPr>
      <w:r w:rsidRPr="001F52A8">
        <w:rPr>
          <w:rFonts w:cs="Calibri"/>
          <w:lang w:val="en-US"/>
        </w:rPr>
        <w:tab/>
        <w:t xml:space="preserve">Two </w:t>
      </w:r>
      <w:r>
        <w:rPr>
          <w:rFonts w:cs="Calibri"/>
          <w:lang w:val="en-US"/>
        </w:rPr>
        <w:t>studies</w:t>
      </w:r>
      <w:r w:rsidRPr="001F52A8">
        <w:rPr>
          <w:rFonts w:cs="Calibri"/>
          <w:lang w:val="en-US"/>
        </w:rPr>
        <w:t xml:space="preserve"> focusing on the characters</w:t>
      </w:r>
      <w:r>
        <w:rPr>
          <w:rFonts w:cs="Calibri"/>
          <w:lang w:val="en-US"/>
        </w:rPr>
        <w:t xml:space="preserve"> and teasing out ambiguities.</w:t>
      </w:r>
    </w:p>
    <w:p w14:paraId="776782B8" w14:textId="06F19628" w:rsidR="001F327C" w:rsidRPr="001F52A8" w:rsidRDefault="001F327C" w:rsidP="001F327C">
      <w:pPr>
        <w:pStyle w:val="ListParagraph"/>
        <w:spacing w:line="240" w:lineRule="auto"/>
        <w:rPr>
          <w:rFonts w:asciiTheme="minorHAnsi" w:eastAsia="Brill-Bold" w:hAnsiTheme="minorHAnsi" w:cstheme="minorHAnsi"/>
          <w:bCs/>
          <w:lang w:val="en-US"/>
        </w:rPr>
      </w:pPr>
      <w:r w:rsidRPr="001F52A8">
        <w:rPr>
          <w:rFonts w:asciiTheme="minorHAnsi" w:hAnsiTheme="minorHAnsi" w:cstheme="minorHAnsi"/>
          <w:lang w:val="en-US"/>
        </w:rPr>
        <w:t>Rosenberg,</w:t>
      </w:r>
      <w:r w:rsidRPr="001F52A8">
        <w:rPr>
          <w:rFonts w:asciiTheme="minorHAnsi" w:eastAsia="Brill-Bold" w:hAnsiTheme="minorHAnsi" w:cstheme="minorHAnsi"/>
          <w:bCs/>
          <w:lang w:val="en-US"/>
        </w:rPr>
        <w:t xml:space="preserve"> A. J. </w:t>
      </w:r>
      <w:r w:rsidRPr="001F52A8">
        <w:rPr>
          <w:rFonts w:asciiTheme="minorHAnsi" w:eastAsia="Brill-Bold" w:hAnsiTheme="minorHAnsi" w:cstheme="minorHAnsi"/>
          <w:bCs/>
          <w:i/>
          <w:iCs/>
          <w:lang w:val="en-US"/>
        </w:rPr>
        <w:t xml:space="preserve">Samuel I. </w:t>
      </w:r>
      <w:r w:rsidRPr="001F52A8">
        <w:rPr>
          <w:rFonts w:asciiTheme="minorHAnsi" w:eastAsia="Brill-Bold" w:hAnsiTheme="minorHAnsi" w:cstheme="minorHAnsi"/>
          <w:bCs/>
          <w:lang w:val="en-US"/>
        </w:rPr>
        <w:t>Reprinted</w:t>
      </w:r>
      <w:r w:rsidRPr="001F52A8">
        <w:rPr>
          <w:rFonts w:asciiTheme="minorHAnsi" w:eastAsia="Brill-Bold" w:hAnsiTheme="minorHAnsi" w:cstheme="minorHAnsi"/>
          <w:bCs/>
          <w:i/>
          <w:iCs/>
          <w:lang w:val="en-US"/>
        </w:rPr>
        <w:t xml:space="preserve"> </w:t>
      </w:r>
      <w:r w:rsidRPr="001F52A8">
        <w:rPr>
          <w:rFonts w:asciiTheme="minorHAnsi" w:eastAsia="Brill-Bold" w:hAnsiTheme="minorHAnsi" w:cstheme="minorHAnsi"/>
          <w:bCs/>
          <w:lang w:val="en-US"/>
        </w:rPr>
        <w:t>New York: Judaica, 1984.</w:t>
      </w:r>
      <w:r w:rsidR="00ED4F7B">
        <w:rPr>
          <w:rFonts w:asciiTheme="minorHAnsi" w:eastAsia="Brill-Bold" w:hAnsiTheme="minorHAnsi" w:cstheme="minorHAnsi"/>
          <w:bCs/>
          <w:lang w:val="en-US"/>
        </w:rPr>
        <w:t xml:space="preserve"> </w:t>
      </w:r>
    </w:p>
    <w:p w14:paraId="590EB465" w14:textId="77777777" w:rsidR="001F327C" w:rsidRDefault="001F327C" w:rsidP="001F327C">
      <w:pPr>
        <w:pStyle w:val="ListParagraph"/>
        <w:spacing w:line="240" w:lineRule="auto"/>
        <w:rPr>
          <w:rFonts w:asciiTheme="minorHAnsi" w:eastAsia="Brill-Bold" w:hAnsiTheme="minorHAnsi" w:cstheme="minorHAnsi"/>
          <w:bCs/>
          <w:lang w:val="en-US"/>
        </w:rPr>
      </w:pPr>
      <w:r w:rsidRPr="001F52A8">
        <w:rPr>
          <w:rFonts w:asciiTheme="minorHAnsi" w:eastAsia="Brill-Bold" w:hAnsiTheme="minorHAnsi" w:cstheme="minorHAnsi"/>
          <w:bCs/>
          <w:lang w:val="en-US"/>
        </w:rPr>
        <w:t xml:space="preserve">Sosevsky, Moshe C., and A. J. Rosenberg. </w:t>
      </w:r>
      <w:r w:rsidRPr="001F52A8">
        <w:rPr>
          <w:rFonts w:asciiTheme="minorHAnsi" w:eastAsia="Brill-Bold" w:hAnsiTheme="minorHAnsi" w:cstheme="minorHAnsi"/>
          <w:bCs/>
          <w:i/>
          <w:iCs/>
          <w:lang w:val="en-US"/>
        </w:rPr>
        <w:t xml:space="preserve">Samuel II. </w:t>
      </w:r>
      <w:r w:rsidRPr="001F52A8">
        <w:rPr>
          <w:rFonts w:asciiTheme="minorHAnsi" w:eastAsia="Brill-Bold" w:hAnsiTheme="minorHAnsi" w:cstheme="minorHAnsi"/>
          <w:bCs/>
          <w:lang w:val="en-US"/>
        </w:rPr>
        <w:t xml:space="preserve">New York: Judaica, 1989. </w:t>
      </w:r>
    </w:p>
    <w:p w14:paraId="242B61BB" w14:textId="77777777" w:rsidR="001F327C" w:rsidRPr="001F52A8" w:rsidRDefault="001F327C" w:rsidP="001F327C">
      <w:pPr>
        <w:pStyle w:val="ListParagraph"/>
        <w:spacing w:line="240" w:lineRule="auto"/>
        <w:ind w:firstLine="0"/>
        <w:rPr>
          <w:rFonts w:asciiTheme="minorHAnsi" w:eastAsia="Brill-Bold" w:hAnsiTheme="minorHAnsi" w:cstheme="minorHAnsi"/>
          <w:bCs/>
          <w:lang w:val="en-US"/>
        </w:rPr>
      </w:pPr>
      <w:r>
        <w:rPr>
          <w:rFonts w:asciiTheme="minorHAnsi" w:eastAsia="Brill-Bold" w:hAnsiTheme="minorHAnsi" w:cstheme="minorHAnsi"/>
          <w:bCs/>
          <w:lang w:val="en-US"/>
        </w:rPr>
        <w:t xml:space="preserve">Both include translations of </w:t>
      </w:r>
      <w:r w:rsidRPr="001F52A8">
        <w:rPr>
          <w:rFonts w:asciiTheme="minorHAnsi" w:eastAsia="Brill-Bold" w:hAnsiTheme="minorHAnsi" w:cstheme="minorHAnsi"/>
          <w:bCs/>
          <w:lang w:val="en-US"/>
        </w:rPr>
        <w:t xml:space="preserve">Rashi’s commentary </w:t>
      </w:r>
      <w:r>
        <w:rPr>
          <w:rFonts w:asciiTheme="minorHAnsi" w:eastAsia="Brill-Bold" w:hAnsiTheme="minorHAnsi" w:cstheme="minorHAnsi"/>
          <w:bCs/>
          <w:lang w:val="en-US"/>
        </w:rPr>
        <w:t>and</w:t>
      </w:r>
      <w:r w:rsidRPr="001F52A8">
        <w:rPr>
          <w:rFonts w:asciiTheme="minorHAnsi" w:eastAsia="Brill-Bold" w:hAnsiTheme="minorHAnsi" w:cstheme="minorHAnsi"/>
          <w:bCs/>
          <w:lang w:val="en-US"/>
        </w:rPr>
        <w:t xml:space="preserve"> excerpts from other classic Jewish commentaries.</w:t>
      </w:r>
    </w:p>
    <w:p w14:paraId="2F511103" w14:textId="77777777" w:rsidR="001F327C" w:rsidRPr="001F52A8" w:rsidRDefault="001F327C" w:rsidP="001F327C">
      <w:pPr>
        <w:pStyle w:val="ListParagraph"/>
        <w:spacing w:line="240" w:lineRule="auto"/>
        <w:rPr>
          <w:lang w:val="en-US"/>
        </w:rPr>
      </w:pPr>
      <w:r w:rsidRPr="001F52A8">
        <w:rPr>
          <w:lang w:val="en-US"/>
        </w:rPr>
        <w:t xml:space="preserve">Tsumura, David Toshio. </w:t>
      </w:r>
      <w:r w:rsidRPr="001F52A8">
        <w:rPr>
          <w:i/>
          <w:iCs/>
          <w:lang w:val="en-US"/>
        </w:rPr>
        <w:t>The First Book of Samuel</w:t>
      </w:r>
      <w:r w:rsidRPr="001F52A8">
        <w:rPr>
          <w:lang w:val="en-US"/>
        </w:rPr>
        <w:t>. NICOT. Grand Rapids: Eerdmans, 2007.</w:t>
      </w:r>
    </w:p>
    <w:p w14:paraId="54065DE8" w14:textId="77777777" w:rsidR="001F327C" w:rsidRDefault="001F327C" w:rsidP="001F327C">
      <w:pPr>
        <w:pStyle w:val="ListParagraph"/>
        <w:spacing w:line="240" w:lineRule="auto"/>
        <w:rPr>
          <w:lang w:val="en-US"/>
        </w:rPr>
      </w:pPr>
      <w:r w:rsidRPr="001F52A8">
        <w:rPr>
          <w:lang w:val="en-US"/>
        </w:rPr>
        <w:t xml:space="preserve">-- -- --. </w:t>
      </w:r>
      <w:r w:rsidRPr="001F52A8">
        <w:rPr>
          <w:i/>
          <w:iCs/>
          <w:lang w:val="en-US"/>
        </w:rPr>
        <w:t>The Second Book of Samuel</w:t>
      </w:r>
      <w:r w:rsidRPr="001F52A8">
        <w:rPr>
          <w:lang w:val="en-US"/>
        </w:rPr>
        <w:t>. NICOT. Grand Rapids: Eerdmans, 2019.</w:t>
      </w:r>
    </w:p>
    <w:p w14:paraId="134D6181" w14:textId="77777777" w:rsidR="001F327C" w:rsidRPr="001F52A8" w:rsidRDefault="001F327C" w:rsidP="001F327C">
      <w:pPr>
        <w:pStyle w:val="ListParagraph"/>
        <w:spacing w:line="240" w:lineRule="auto"/>
        <w:rPr>
          <w:lang w:val="en-US"/>
        </w:rPr>
      </w:pPr>
      <w:r>
        <w:rPr>
          <w:lang w:val="en-US"/>
        </w:rPr>
        <w:tab/>
        <w:t>Two exegetical and historical commentaries</w:t>
      </w:r>
    </w:p>
    <w:p w14:paraId="1AA24BA3" w14:textId="77777777" w:rsidR="001F327C" w:rsidRPr="001F52A8" w:rsidRDefault="001F327C" w:rsidP="001F327C">
      <w:pPr>
        <w:pStyle w:val="ListParagraph"/>
        <w:spacing w:line="240" w:lineRule="auto"/>
        <w:rPr>
          <w:rFonts w:eastAsia="Times New Roman" w:cs="Calibri"/>
          <w:color w:val="3A3A3A"/>
          <w:lang w:val="en-US"/>
        </w:rPr>
      </w:pPr>
      <w:r w:rsidRPr="001F52A8">
        <w:rPr>
          <w:rFonts w:eastAsia="Times New Roman" w:cs="Calibri"/>
          <w:color w:val="3A3A3A"/>
          <w:lang w:val="en-US"/>
        </w:rPr>
        <w:t xml:space="preserve">Wijk-bos Johanna W. H. van. </w:t>
      </w:r>
      <w:r w:rsidRPr="001F52A8">
        <w:rPr>
          <w:rFonts w:eastAsia="Times New Roman" w:cs="Calibri"/>
          <w:i/>
          <w:iCs/>
          <w:color w:val="3A3A3A"/>
          <w:lang w:val="en-US"/>
        </w:rPr>
        <w:t>A People and a Land 2: The Road to Kingship</w:t>
      </w:r>
      <w:r w:rsidRPr="001F52A8">
        <w:rPr>
          <w:rFonts w:eastAsia="Times New Roman" w:cs="Calibri"/>
          <w:color w:val="3A3A3A"/>
          <w:lang w:val="en-US"/>
        </w:rPr>
        <w:t>. Grand Rapids: Eerdmans, 2020.</w:t>
      </w:r>
    </w:p>
    <w:p w14:paraId="5F3C616A" w14:textId="76DD8BD2" w:rsidR="001F327C" w:rsidRDefault="001F327C" w:rsidP="001F327C">
      <w:pPr>
        <w:pStyle w:val="ListParagraph"/>
        <w:spacing w:line="240" w:lineRule="auto"/>
        <w:rPr>
          <w:rFonts w:eastAsia="Times New Roman" w:cs="Calibri"/>
          <w:color w:val="3A3A3A"/>
          <w:lang w:val="en-US"/>
        </w:rPr>
      </w:pPr>
      <w:r w:rsidRPr="001F52A8">
        <w:rPr>
          <w:rFonts w:eastAsia="Times New Roman" w:cs="Calibri"/>
          <w:color w:val="3A3A3A"/>
          <w:lang w:val="en-US"/>
        </w:rPr>
        <w:t xml:space="preserve">-- -- -- </w:t>
      </w:r>
      <w:r w:rsidRPr="001F52A8">
        <w:rPr>
          <w:rFonts w:eastAsia="Times New Roman" w:cs="Calibri"/>
          <w:i/>
          <w:iCs/>
          <w:color w:val="3A3A3A"/>
          <w:lang w:val="en-US"/>
        </w:rPr>
        <w:t xml:space="preserve">Reading Samuel: </w:t>
      </w:r>
      <w:r w:rsidRPr="001F52A8">
        <w:rPr>
          <w:rFonts w:cs="Calibri"/>
          <w:i/>
          <w:iCs/>
          <w:lang w:val="en-US"/>
        </w:rPr>
        <w:t>A Literary and Theological Commentary</w:t>
      </w:r>
      <w:r w:rsidRPr="001F52A8">
        <w:rPr>
          <w:rFonts w:eastAsia="Times New Roman" w:cs="Calibri"/>
          <w:i/>
          <w:iCs/>
          <w:color w:val="3A3A3A"/>
          <w:lang w:val="en-US"/>
        </w:rPr>
        <w:t>.</w:t>
      </w:r>
      <w:r w:rsidRPr="001F52A8">
        <w:rPr>
          <w:rFonts w:eastAsia="Times New Roman" w:cs="Calibri"/>
          <w:color w:val="3A3A3A"/>
          <w:lang w:val="en-US"/>
        </w:rPr>
        <w:t xml:space="preserve"> </w:t>
      </w:r>
      <w:r w:rsidR="00D519B8">
        <w:rPr>
          <w:rFonts w:eastAsia="Times New Roman" w:cs="Calibri"/>
          <w:color w:val="3A3A3A"/>
          <w:lang w:val="en-US"/>
        </w:rPr>
        <w:t xml:space="preserve">Macon, GA: Smith and Helwys, </w:t>
      </w:r>
      <w:r w:rsidRPr="001F52A8">
        <w:rPr>
          <w:rFonts w:eastAsia="Times New Roman" w:cs="Calibri"/>
          <w:color w:val="3A3A3A"/>
          <w:lang w:val="en-US"/>
        </w:rPr>
        <w:t>2011.</w:t>
      </w:r>
    </w:p>
    <w:p w14:paraId="2A71F800" w14:textId="77777777" w:rsidR="001F327C" w:rsidRPr="001F52A8" w:rsidRDefault="001F327C" w:rsidP="001F327C">
      <w:pPr>
        <w:pStyle w:val="ListParagraph"/>
        <w:spacing w:line="240" w:lineRule="auto"/>
        <w:rPr>
          <w:rFonts w:eastAsia="Times New Roman" w:cs="Calibri"/>
          <w:color w:val="3A3A3A"/>
          <w:lang w:val="en-US"/>
        </w:rPr>
      </w:pPr>
      <w:r>
        <w:rPr>
          <w:rFonts w:eastAsia="Times New Roman" w:cs="Calibri"/>
          <w:color w:val="3A3A3A"/>
          <w:lang w:val="en-US"/>
        </w:rPr>
        <w:tab/>
        <w:t>Two different literary and theological commentaries with feminist insights.</w:t>
      </w:r>
    </w:p>
    <w:p w14:paraId="7143DF54" w14:textId="77777777" w:rsidR="001F327C" w:rsidRPr="001F52A8" w:rsidRDefault="001F327C" w:rsidP="001F327C">
      <w:pPr>
        <w:pStyle w:val="ListParagraph"/>
        <w:spacing w:line="240" w:lineRule="auto"/>
        <w:rPr>
          <w:rFonts w:cs="Calibri"/>
          <w:lang w:val="en-US"/>
        </w:rPr>
      </w:pPr>
    </w:p>
    <w:p w14:paraId="53DB96B8" w14:textId="77777777" w:rsidR="001F327C" w:rsidRPr="001F52A8" w:rsidRDefault="001F327C" w:rsidP="001F327C">
      <w:pPr>
        <w:pStyle w:val="ListParagraph"/>
        <w:rPr>
          <w:rStyle w:val="BookTitle"/>
          <w:i w:val="0"/>
          <w:iCs w:val="0"/>
          <w:lang w:val="en-US"/>
        </w:rPr>
      </w:pPr>
    </w:p>
    <w:p w14:paraId="5E8D96EF" w14:textId="77777777" w:rsidR="001F327C" w:rsidRDefault="001F327C" w:rsidP="00401471">
      <w:pPr>
        <w:rPr>
          <w:rFonts w:cstheme="minorHAnsi"/>
        </w:rPr>
      </w:pPr>
    </w:p>
    <w:sectPr w:rsidR="001F3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38953" w14:textId="77777777" w:rsidR="000E364F" w:rsidRDefault="000E364F" w:rsidP="003A6D7C">
      <w:pPr>
        <w:spacing w:line="240" w:lineRule="auto"/>
      </w:pPr>
      <w:r>
        <w:separator/>
      </w:r>
    </w:p>
  </w:endnote>
  <w:endnote w:type="continuationSeparator" w:id="0">
    <w:p w14:paraId="5AA0A7FF" w14:textId="77777777" w:rsidR="000E364F" w:rsidRDefault="000E364F" w:rsidP="003A6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ll-Bold">
    <w:altName w:val="MS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asis">
    <w:altName w:val="Times New Roman"/>
    <w:panose1 w:val="00000000000000000000"/>
    <w:charset w:val="00"/>
    <w:family w:val="auto"/>
    <w:notTrueType/>
    <w:pitch w:val="default"/>
    <w:sig w:usb0="00000003" w:usb1="00000000" w:usb2="00000000" w:usb3="00000000" w:csb0="00000001" w:csb1="00000000"/>
  </w:font>
  <w:font w:name="MinionPro-Regular">
    <w:altName w:val="Yu Gothic"/>
    <w:panose1 w:val="00000000000000000000"/>
    <w:charset w:val="EE"/>
    <w:family w:val="roman"/>
    <w:notTrueType/>
    <w:pitch w:val="default"/>
    <w:sig w:usb0="00000007" w:usb1="00000000" w:usb2="00000000" w:usb3="00000000" w:csb0="00000003" w:csb1="00000000"/>
  </w:font>
  <w:font w:name="SabonMTPro-Regular">
    <w:altName w:val="Yu Gothic"/>
    <w:panose1 w:val="00000000000000000000"/>
    <w:charset w:val="80"/>
    <w:family w:val="roman"/>
    <w:notTrueType/>
    <w:pitch w:val="default"/>
    <w:sig w:usb0="00000001" w:usb1="08070000" w:usb2="00000010" w:usb3="00000000" w:csb0="00020000" w:csb1="00000000"/>
  </w:font>
  <w:font w:name="SabonMTPro-Italic">
    <w:altName w:val="Yu Gothic"/>
    <w:panose1 w:val="00000000000000000000"/>
    <w:charset w:val="80"/>
    <w:family w:val="roman"/>
    <w:notTrueType/>
    <w:pitch w:val="default"/>
    <w:sig w:usb0="00000001" w:usb1="08070000" w:usb2="00000010" w:usb3="00000000" w:csb0="00020000" w:csb1="00000000"/>
  </w:font>
  <w:font w:name="AJensonPro-It">
    <w:altName w:val="Yu Gothic"/>
    <w:panose1 w:val="00000000000000000000"/>
    <w:charset w:val="80"/>
    <w:family w:val="roman"/>
    <w:notTrueType/>
    <w:pitch w:val="default"/>
    <w:sig w:usb0="00000001" w:usb1="08070000" w:usb2="00000010" w:usb3="00000000" w:csb0="00020000" w:csb1="00000000"/>
  </w:font>
  <w:font w:name="LiberationSerif">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MinionPro-It">
    <w:altName w:val="Yu Gothic"/>
    <w:panose1 w:val="00000000000000000000"/>
    <w:charset w:val="EE"/>
    <w:family w:val="roman"/>
    <w:notTrueType/>
    <w:pitch w:val="default"/>
    <w:sig w:usb0="00000005" w:usb1="00000000" w:usb2="00000000" w:usb3="00000000" w:csb0="00000002" w:csb1="00000000"/>
  </w:font>
  <w:font w:name="TimesNewRomanPS-BoldMT">
    <w:altName w:val="Arial"/>
    <w:panose1 w:val="00000000000000000000"/>
    <w:charset w:val="B2"/>
    <w:family w:val="auto"/>
    <w:notTrueType/>
    <w:pitch w:val="default"/>
    <w:sig w:usb0="00002003" w:usb1="00000000" w:usb2="00000000" w:usb3="00000000" w:csb0="00000041" w:csb1="00000000"/>
  </w:font>
  <w:font w:name="GaramondPremrPro">
    <w:altName w:val="Cambri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B2"/>
    <w:family w:val="auto"/>
    <w:notTrueType/>
    <w:pitch w:val="default"/>
    <w:sig w:usb0="00002003" w:usb1="00000000" w:usb2="00000000" w:usb3="00000000" w:csb0="00000041" w:csb1="00000000"/>
  </w:font>
  <w:font w:name="Times-Roman">
    <w:altName w:val="Yu Gothic UI"/>
    <w:panose1 w:val="00000000000000000000"/>
    <w:charset w:val="80"/>
    <w:family w:val="auto"/>
    <w:notTrueType/>
    <w:pitch w:val="default"/>
    <w:sig w:usb0="00000003" w:usb1="08070000" w:usb2="00000010" w:usb3="00000000" w:csb0="00020001" w:csb1="00000000"/>
  </w:font>
  <w:font w:name="GaramondPremrPro-It">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8B9E" w14:textId="77777777" w:rsidR="000E364F" w:rsidRDefault="000E364F" w:rsidP="003A6D7C">
      <w:pPr>
        <w:spacing w:line="240" w:lineRule="auto"/>
      </w:pPr>
      <w:r>
        <w:separator/>
      </w:r>
    </w:p>
  </w:footnote>
  <w:footnote w:type="continuationSeparator" w:id="0">
    <w:p w14:paraId="023A4B44" w14:textId="77777777" w:rsidR="000E364F" w:rsidRDefault="000E364F" w:rsidP="003A6D7C">
      <w:pPr>
        <w:spacing w:line="240" w:lineRule="auto"/>
      </w:pPr>
      <w:r>
        <w:continuationSeparator/>
      </w:r>
    </w:p>
  </w:footnote>
  <w:footnote w:id="1">
    <w:p w14:paraId="30E10097" w14:textId="77777777" w:rsidR="007B7018" w:rsidRPr="00B969F3" w:rsidRDefault="007B7018" w:rsidP="002E3333">
      <w:pPr>
        <w:pStyle w:val="FootnoteText"/>
      </w:pPr>
      <w:r>
        <w:rPr>
          <w:rStyle w:val="FootnoteReference"/>
        </w:rPr>
        <w:footnoteRef/>
      </w:r>
      <w:r>
        <w:t xml:space="preserve"> </w:t>
      </w:r>
      <w:r w:rsidRPr="00B969F3">
        <w:rPr>
          <w:color w:val="000000"/>
        </w:rPr>
        <w:t>Stephen B. Chapman</w:t>
      </w:r>
      <w:r>
        <w:rPr>
          <w:color w:val="000000"/>
        </w:rPr>
        <w:t>,</w:t>
      </w:r>
      <w:r w:rsidRPr="00B969F3">
        <w:rPr>
          <w:color w:val="000000"/>
        </w:rPr>
        <w:t xml:space="preserve"> </w:t>
      </w:r>
      <w:r w:rsidRPr="00B969F3">
        <w:rPr>
          <w:i/>
          <w:iCs/>
          <w:color w:val="000000"/>
        </w:rPr>
        <w:t>1 Samuel as Christian Scripture: A Theological Commentary</w:t>
      </w:r>
      <w:r w:rsidRPr="00B969F3">
        <w:rPr>
          <w:color w:val="000000"/>
        </w:rPr>
        <w:t xml:space="preserve"> </w:t>
      </w:r>
      <w:r>
        <w:rPr>
          <w:color w:val="000000"/>
        </w:rPr>
        <w:t xml:space="preserve">(Grand Rapids: </w:t>
      </w:r>
      <w:r w:rsidRPr="00B969F3">
        <w:rPr>
          <w:color w:val="000000"/>
        </w:rPr>
        <w:t>Eerdmans, 2016</w:t>
      </w:r>
      <w:r>
        <w:rPr>
          <w:color w:val="000000"/>
        </w:rPr>
        <w:t>), 46.</w:t>
      </w:r>
    </w:p>
  </w:footnote>
  <w:footnote w:id="2">
    <w:p w14:paraId="42E07B85" w14:textId="7BBC3D91" w:rsidR="007B7018" w:rsidRPr="00C8754C" w:rsidRDefault="007B7018" w:rsidP="002E3333">
      <w:pPr>
        <w:pStyle w:val="FootnoteText"/>
        <w:rPr>
          <w:rFonts w:ascii="Calibri" w:hAnsi="Calibri" w:cs="Calibri"/>
          <w:iCs/>
        </w:rPr>
      </w:pPr>
      <w:r>
        <w:rPr>
          <w:rStyle w:val="FootnoteReference"/>
        </w:rPr>
        <w:footnoteRef/>
      </w:r>
      <w:r>
        <w:t xml:space="preserve"> A. Graeme Auld, </w:t>
      </w:r>
      <w:r>
        <w:rPr>
          <w:i/>
          <w:iCs/>
        </w:rPr>
        <w:t>I &amp; II Samuel: A Commentary</w:t>
      </w:r>
      <w:r>
        <w:rPr>
          <w:rFonts w:cs="Calibri"/>
        </w:rPr>
        <w:t xml:space="preserve">, </w:t>
      </w:r>
      <w:r w:rsidRPr="00BA34A3">
        <w:rPr>
          <w:rFonts w:cs="Calibri"/>
        </w:rPr>
        <w:t xml:space="preserve">OTL </w:t>
      </w:r>
      <w:r>
        <w:rPr>
          <w:rFonts w:cs="Calibri"/>
        </w:rPr>
        <w:t>(</w:t>
      </w:r>
      <w:r w:rsidRPr="00BA34A3">
        <w:rPr>
          <w:rFonts w:cs="Calibri"/>
        </w:rPr>
        <w:t>Louisville: Westminster John Knox, 2011</w:t>
      </w:r>
      <w:r>
        <w:rPr>
          <w:rFonts w:cs="Calibri"/>
        </w:rPr>
        <w:t xml:space="preserve">), </w:t>
      </w:r>
      <w:r>
        <w:t xml:space="preserve">1-2; Robert Alter’s title for his study is </w:t>
      </w:r>
      <w:r w:rsidRPr="00BA34A3">
        <w:rPr>
          <w:rFonts w:cs="Calibri"/>
          <w:i/>
        </w:rPr>
        <w:t>The David Story: A Translation with Commentary of 1 and 2 Samuel</w:t>
      </w:r>
      <w:r w:rsidRPr="00BA34A3">
        <w:rPr>
          <w:rFonts w:cs="Calibri"/>
        </w:rPr>
        <w:t xml:space="preserve"> </w:t>
      </w:r>
      <w:r>
        <w:rPr>
          <w:rFonts w:cs="Calibri"/>
        </w:rPr>
        <w:t>(</w:t>
      </w:r>
      <w:r w:rsidRPr="00BA34A3">
        <w:rPr>
          <w:rFonts w:cs="Calibri"/>
        </w:rPr>
        <w:t>New York: Norton, 1999</w:t>
      </w:r>
      <w:r>
        <w:rPr>
          <w:rFonts w:cs="Calibri"/>
        </w:rPr>
        <w:t>)</w:t>
      </w:r>
    </w:p>
  </w:footnote>
  <w:footnote w:id="3">
    <w:p w14:paraId="17C1C77B" w14:textId="51B8E93F" w:rsidR="007B7018" w:rsidRDefault="007B7018" w:rsidP="000A13C1">
      <w:pPr>
        <w:pStyle w:val="FootnoteText"/>
      </w:pPr>
      <w:r>
        <w:rPr>
          <w:rStyle w:val="FootnoteReference"/>
        </w:rPr>
        <w:footnoteRef/>
      </w:r>
      <w:r>
        <w:t xml:space="preserve"> See, e.g., David Toshio Tsumura, </w:t>
      </w:r>
      <w:r>
        <w:rPr>
          <w:i/>
          <w:iCs/>
        </w:rPr>
        <w:t>The First Book of Samuel</w:t>
      </w:r>
      <w:r>
        <w:t xml:space="preserve">, NICOT (Grand Rapids: Eerdmans, 2007); Moshe Garsiel, “The Book of Samuel: Its Composition, Structure and Significance as a Historiographical Source,” </w:t>
      </w:r>
      <w:r>
        <w:rPr>
          <w:i/>
          <w:iCs/>
        </w:rPr>
        <w:t>Journal of Hebrew Scriptures</w:t>
      </w:r>
      <w:r>
        <w:t xml:space="preserve"> 10/5 (2010); Andrew </w:t>
      </w:r>
      <w:r w:rsidRPr="001F52A8">
        <w:rPr>
          <w:rFonts w:cs="Calibri"/>
        </w:rPr>
        <w:t xml:space="preserve">Knapp, </w:t>
      </w:r>
      <w:r w:rsidRPr="001F52A8">
        <w:rPr>
          <w:rFonts w:cs="Calibri"/>
          <w:i/>
        </w:rPr>
        <w:t>Royal Apologetic in the Ancient Near East</w:t>
      </w:r>
      <w:r>
        <w:rPr>
          <w:rFonts w:cs="Calibri"/>
        </w:rPr>
        <w:t>, Writings from the Ancient World 4 (</w:t>
      </w:r>
      <w:r w:rsidRPr="001F52A8">
        <w:rPr>
          <w:rFonts w:cs="Calibri"/>
        </w:rPr>
        <w:t>Atlanta: SBL, 2015</w:t>
      </w:r>
      <w:r>
        <w:rPr>
          <w:rFonts w:cs="Calibri"/>
        </w:rPr>
        <w:t xml:space="preserve">), 161-248; </w:t>
      </w:r>
      <w:r w:rsidRPr="00A00F0E">
        <w:t xml:space="preserve">Lester L. </w:t>
      </w:r>
      <w:r w:rsidRPr="00A00F0E">
        <w:rPr>
          <w:rFonts w:ascii="Calibri" w:hAnsi="Calibri" w:cs="Calibri"/>
        </w:rPr>
        <w:t>Grabbe, “Mighty Men of Israel: 1–2 Samuel and Historicity</w:t>
      </w:r>
      <w:r>
        <w:rPr>
          <w:rFonts w:ascii="Calibri" w:hAnsi="Calibri" w:cs="Calibri"/>
        </w:rPr>
        <w:t>,</w:t>
      </w:r>
      <w:r w:rsidRPr="00A00F0E">
        <w:rPr>
          <w:rFonts w:ascii="Calibri" w:hAnsi="Calibri" w:cs="Calibri"/>
        </w:rPr>
        <w:t xml:space="preserve">” </w:t>
      </w:r>
      <w:r>
        <w:rPr>
          <w:rFonts w:ascii="Calibri" w:hAnsi="Calibri" w:cs="Calibri"/>
        </w:rPr>
        <w:t>i</w:t>
      </w:r>
      <w:r w:rsidRPr="00A00F0E">
        <w:rPr>
          <w:rFonts w:ascii="Calibri" w:hAnsi="Calibri" w:cs="Calibri"/>
        </w:rPr>
        <w:t xml:space="preserve">n W. Dietrich (ed.), </w:t>
      </w:r>
      <w:r w:rsidRPr="00A00F0E">
        <w:rPr>
          <w:rFonts w:ascii="Calibri" w:hAnsi="Calibri" w:cs="Calibri"/>
          <w:i/>
          <w:iCs/>
        </w:rPr>
        <w:t>The Books of Samuel. Stories – History –</w:t>
      </w:r>
      <w:r w:rsidRPr="00A00F0E">
        <w:rPr>
          <w:rFonts w:cs="Calibri"/>
          <w:i/>
          <w:iCs/>
        </w:rPr>
        <w:t xml:space="preserve"> Reception History</w:t>
      </w:r>
      <w:r>
        <w:rPr>
          <w:rFonts w:cs="Calibri"/>
        </w:rPr>
        <w:t xml:space="preserve">, </w:t>
      </w:r>
      <w:r w:rsidRPr="00964524">
        <w:rPr>
          <w:rFonts w:cstheme="minorHAnsi"/>
        </w:rPr>
        <w:t>Bibliotheca Ephemeridum Theologicarum Lovaniensium</w:t>
      </w:r>
      <w:r>
        <w:rPr>
          <w:rFonts w:ascii="TimesBasis" w:hAnsi="TimesBasis" w:cs="TimesBasis"/>
          <w:sz w:val="17"/>
          <w:szCs w:val="17"/>
        </w:rPr>
        <w:t xml:space="preserve"> </w:t>
      </w:r>
      <w:r w:rsidRPr="00A00F0E">
        <w:rPr>
          <w:rFonts w:cs="Calibri"/>
        </w:rPr>
        <w:t xml:space="preserve">84 </w:t>
      </w:r>
      <w:r>
        <w:rPr>
          <w:rFonts w:cs="Calibri"/>
        </w:rPr>
        <w:t>(</w:t>
      </w:r>
      <w:r w:rsidRPr="00A00F0E">
        <w:rPr>
          <w:rFonts w:cs="Calibri"/>
        </w:rPr>
        <w:t>Leuven: Peeters,</w:t>
      </w:r>
      <w:r w:rsidRPr="00A00F0E">
        <w:rPr>
          <w:rFonts w:cs="Calibri"/>
          <w:i/>
          <w:iCs/>
        </w:rPr>
        <w:t xml:space="preserve"> </w:t>
      </w:r>
      <w:r w:rsidRPr="00A00F0E">
        <w:rPr>
          <w:rFonts w:cs="Calibri"/>
        </w:rPr>
        <w:t>2016</w:t>
      </w:r>
      <w:r>
        <w:rPr>
          <w:rFonts w:cs="Calibri"/>
        </w:rPr>
        <w:t xml:space="preserve">), </w:t>
      </w:r>
      <w:r w:rsidRPr="00A00F0E">
        <w:rPr>
          <w:rFonts w:cs="Calibri"/>
        </w:rPr>
        <w:t>83-104</w:t>
      </w:r>
      <w:r>
        <w:rPr>
          <w:rFonts w:cs="Calibri"/>
        </w:rPr>
        <w:t>.</w:t>
      </w:r>
    </w:p>
  </w:footnote>
  <w:footnote w:id="4">
    <w:p w14:paraId="5AFE45FA" w14:textId="7C6DAAE2" w:rsidR="007B7018" w:rsidRDefault="007B7018" w:rsidP="00AA09E5">
      <w:pPr>
        <w:pStyle w:val="FootnoteText"/>
      </w:pPr>
      <w:r>
        <w:rPr>
          <w:rStyle w:val="FootnoteReference"/>
        </w:rPr>
        <w:footnoteRef/>
      </w:r>
      <w:r>
        <w:t xml:space="preserve"> See, e.g., Antony F. Campbell, </w:t>
      </w:r>
      <w:r w:rsidRPr="00D95920">
        <w:rPr>
          <w:i/>
          <w:iCs/>
        </w:rPr>
        <w:t>Of Prophets and Kings: A Late Ninth-Century Document (1 Samuel 1</w:t>
      </w:r>
      <w:r>
        <w:rPr>
          <w:i/>
          <w:iCs/>
        </w:rPr>
        <w:t xml:space="preserve"> – </w:t>
      </w:r>
      <w:r w:rsidRPr="00D95920">
        <w:rPr>
          <w:i/>
          <w:iCs/>
        </w:rPr>
        <w:t>2 Kings 10)</w:t>
      </w:r>
      <w:r>
        <w:t>, CBQ Monograph Series 17 (Washington, DC: CBA, 1986); P. Kyle McCarter,</w:t>
      </w:r>
      <w:r w:rsidRPr="00222246">
        <w:t xml:space="preserve"> </w:t>
      </w:r>
      <w:r>
        <w:rPr>
          <w:i/>
          <w:iCs/>
        </w:rPr>
        <w:t>I</w:t>
      </w:r>
      <w:r w:rsidRPr="00222246">
        <w:rPr>
          <w:i/>
          <w:iCs/>
        </w:rPr>
        <w:t xml:space="preserve"> Samuel</w:t>
      </w:r>
      <w:r>
        <w:rPr>
          <w:i/>
          <w:iCs/>
        </w:rPr>
        <w:t>: A New Translation with Introduction, Notes and Commentary</w:t>
      </w:r>
      <w:r>
        <w:t>, A8 8</w:t>
      </w:r>
      <w:r w:rsidRPr="00222246">
        <w:t xml:space="preserve"> </w:t>
      </w:r>
      <w:r>
        <w:t>(Garden City, NY</w:t>
      </w:r>
      <w:r w:rsidRPr="00222246">
        <w:t>: Doubleday, 1980</w:t>
      </w:r>
      <w:r>
        <w:t>), 18-23; he emphasizes the northern background of the story.</w:t>
      </w:r>
    </w:p>
  </w:footnote>
  <w:footnote w:id="5">
    <w:p w14:paraId="296C13C3" w14:textId="600D5288" w:rsidR="007B7018" w:rsidRPr="00714666" w:rsidRDefault="007B7018" w:rsidP="002C11DA">
      <w:pPr>
        <w:pStyle w:val="FootnoteText"/>
      </w:pPr>
      <w:r>
        <w:rPr>
          <w:rStyle w:val="FootnoteReference"/>
        </w:rPr>
        <w:footnoteRef/>
      </w:r>
      <w:r>
        <w:t xml:space="preserve"> See, e.g., Richard D. </w:t>
      </w:r>
      <w:r>
        <w:rPr>
          <w:rFonts w:cs="Calibri"/>
          <w:color w:val="000000"/>
        </w:rPr>
        <w:t xml:space="preserve">Nelson, </w:t>
      </w:r>
      <w:r>
        <w:rPr>
          <w:rFonts w:cs="Calibri"/>
          <w:i/>
          <w:iCs/>
          <w:color w:val="000000"/>
        </w:rPr>
        <w:t>The Double Redaction of the Deuteronomistic History</w:t>
      </w:r>
      <w:r>
        <w:rPr>
          <w:rFonts w:cs="Calibri"/>
          <w:color w:val="000000"/>
        </w:rPr>
        <w:t xml:space="preserve">, JSOTSup 18 (Sheffield: JSOT, 1981; </w:t>
      </w:r>
      <w:r>
        <w:t xml:space="preserve">P. Kyle McCarter, “The Books of Samuel,” in Steven L. McKenzie and M. Patrick Graham, ed., </w:t>
      </w:r>
      <w:r w:rsidRPr="00264A2F">
        <w:rPr>
          <w:rFonts w:ascii="Calibri" w:hAnsi="Calibri" w:cs="Calibri"/>
          <w:i/>
          <w:iCs/>
          <w:color w:val="000000"/>
        </w:rPr>
        <w:t>The History of Israel's Traditions: The Heritage of Martin Noth</w:t>
      </w:r>
      <w:r>
        <w:rPr>
          <w:rFonts w:ascii="Calibri" w:hAnsi="Calibri" w:cs="Calibri"/>
          <w:color w:val="000000"/>
        </w:rPr>
        <w:t xml:space="preserve">, </w:t>
      </w:r>
      <w:r w:rsidRPr="00264A2F">
        <w:rPr>
          <w:rFonts w:ascii="Calibri" w:hAnsi="Calibri" w:cs="Calibri"/>
          <w:color w:val="000000"/>
        </w:rPr>
        <w:t xml:space="preserve">JSOTSup 182 </w:t>
      </w:r>
      <w:r>
        <w:rPr>
          <w:rFonts w:ascii="Calibri" w:hAnsi="Calibri" w:cs="Calibri"/>
          <w:color w:val="000000"/>
        </w:rPr>
        <w:t>(</w:t>
      </w:r>
      <w:r w:rsidRPr="00264A2F">
        <w:rPr>
          <w:rFonts w:ascii="Calibri" w:hAnsi="Calibri" w:cs="Calibri"/>
          <w:color w:val="000000"/>
        </w:rPr>
        <w:t xml:space="preserve">Sheffield: Sheffield Academic, 1994), </w:t>
      </w:r>
      <w:r>
        <w:rPr>
          <w:rFonts w:ascii="Calibri" w:hAnsi="Calibri" w:cs="Calibri"/>
          <w:color w:val="000000"/>
        </w:rPr>
        <w:t>260-80.</w:t>
      </w:r>
    </w:p>
  </w:footnote>
  <w:footnote w:id="6">
    <w:p w14:paraId="4D2E4E2F" w14:textId="035D1919" w:rsidR="007B7018" w:rsidRDefault="007B7018" w:rsidP="00904B51">
      <w:pPr>
        <w:pStyle w:val="FootnoteText"/>
      </w:pPr>
      <w:r>
        <w:rPr>
          <w:rStyle w:val="FootnoteReference"/>
        </w:rPr>
        <w:footnoteRef/>
      </w:r>
      <w:r>
        <w:t xml:space="preserve"> According to traditional critical theories, it then forms part of the Deuteronomistic History: on which see, e.g., Cynthia </w:t>
      </w:r>
      <w:r w:rsidRPr="001F52A8">
        <w:rPr>
          <w:rFonts w:cs="Calibri"/>
        </w:rPr>
        <w:t>Edenburg and Juha Pakkala, ed.</w:t>
      </w:r>
      <w:r>
        <w:rPr>
          <w:rFonts w:cs="Calibri"/>
        </w:rPr>
        <w:t>,</w:t>
      </w:r>
      <w:r w:rsidRPr="001F52A8">
        <w:rPr>
          <w:rFonts w:cs="Calibri"/>
        </w:rPr>
        <w:t xml:space="preserve"> </w:t>
      </w:r>
      <w:r w:rsidRPr="001F52A8">
        <w:rPr>
          <w:rFonts w:cs="Calibri"/>
          <w:i/>
        </w:rPr>
        <w:t>Is Samuel Among the Deuteronomists?</w:t>
      </w:r>
      <w:r>
        <w:rPr>
          <w:rFonts w:cs="Calibri"/>
          <w:i/>
        </w:rPr>
        <w:t xml:space="preserve"> Current Views on the Place of Samuel in a Deuteronomistic History</w:t>
      </w:r>
      <w:r>
        <w:rPr>
          <w:rFonts w:cs="Calibri"/>
          <w:iCs/>
        </w:rPr>
        <w:t>, Ancient Israel and Its Literature 16</w:t>
      </w:r>
      <w:r w:rsidRPr="001F52A8">
        <w:rPr>
          <w:rFonts w:cs="Calibri"/>
        </w:rPr>
        <w:t xml:space="preserve"> </w:t>
      </w:r>
      <w:r>
        <w:rPr>
          <w:rFonts w:cs="Calibri"/>
        </w:rPr>
        <w:t>(</w:t>
      </w:r>
      <w:r w:rsidRPr="001F52A8">
        <w:rPr>
          <w:rFonts w:cs="Calibri"/>
        </w:rPr>
        <w:t>Atlanta: SBL, 2013</w:t>
      </w:r>
      <w:r>
        <w:rPr>
          <w:rFonts w:cs="Calibri"/>
        </w:rPr>
        <w:t>)</w:t>
      </w:r>
      <w:r w:rsidRPr="001F52A8">
        <w:rPr>
          <w:rFonts w:cs="Calibri"/>
        </w:rPr>
        <w:t>.</w:t>
      </w:r>
    </w:p>
  </w:footnote>
  <w:footnote w:id="7">
    <w:p w14:paraId="0E6A0D44" w14:textId="4C637C0A" w:rsidR="007B7018" w:rsidRPr="00742437" w:rsidRDefault="007B7018" w:rsidP="00742437">
      <w:pPr>
        <w:pStyle w:val="FootnoteText"/>
        <w:rPr>
          <w:rFonts w:ascii="Calibri" w:hAnsi="Calibri" w:cs="Calibri"/>
          <w:color w:val="000000"/>
        </w:rPr>
      </w:pPr>
      <w:r>
        <w:rPr>
          <w:rStyle w:val="FootnoteReference"/>
        </w:rPr>
        <w:footnoteRef/>
      </w:r>
      <w:r>
        <w:t xml:space="preserve"> See</w:t>
      </w:r>
      <w:r w:rsidRPr="00BC7F6E">
        <w:t xml:space="preserve">, e.g., Philippe </w:t>
      </w:r>
      <w:r w:rsidRPr="00BC7F6E">
        <w:rPr>
          <w:rFonts w:ascii="Calibri" w:hAnsi="Calibri" w:cs="Calibri"/>
        </w:rPr>
        <w:t>Hugo</w:t>
      </w:r>
      <w:r w:rsidRPr="00BC7F6E">
        <w:rPr>
          <w:rFonts w:ascii="Calibri" w:hAnsi="Calibri" w:cs="Calibri"/>
          <w:color w:val="000000"/>
        </w:rPr>
        <w:t xml:space="preserve"> and Adrian Schenker, ed</w:t>
      </w:r>
      <w:r w:rsidRPr="00BC7F6E">
        <w:rPr>
          <w:rFonts w:ascii="Calibri" w:hAnsi="Calibri" w:cs="Calibri"/>
          <w:i/>
          <w:iCs/>
          <w:color w:val="000000"/>
        </w:rPr>
        <w:t>.</w:t>
      </w:r>
      <w:r>
        <w:rPr>
          <w:rFonts w:ascii="Calibri" w:hAnsi="Calibri" w:cs="Calibri"/>
          <w:i/>
          <w:iCs/>
          <w:color w:val="000000"/>
        </w:rPr>
        <w:t>,</w:t>
      </w:r>
      <w:r w:rsidRPr="00BC7F6E">
        <w:rPr>
          <w:rFonts w:ascii="Calibri" w:hAnsi="Calibri" w:cs="Calibri"/>
          <w:i/>
          <w:iCs/>
          <w:color w:val="000000"/>
        </w:rPr>
        <w:t xml:space="preserve"> Archaeology of the Books of Samuel: The Entangling of the Textual </w:t>
      </w:r>
      <w:r w:rsidRPr="001F33A9">
        <w:rPr>
          <w:rFonts w:cstheme="minorHAnsi"/>
          <w:i/>
          <w:iCs/>
          <w:color w:val="000000"/>
        </w:rPr>
        <w:t>and Literary History</w:t>
      </w:r>
      <w:r>
        <w:rPr>
          <w:rFonts w:cstheme="minorHAnsi"/>
          <w:color w:val="000000"/>
        </w:rPr>
        <w:t xml:space="preserve">, </w:t>
      </w:r>
      <w:r w:rsidRPr="001F33A9">
        <w:rPr>
          <w:rFonts w:cstheme="minorHAnsi"/>
          <w:color w:val="000000"/>
        </w:rPr>
        <w:t xml:space="preserve">VTSup 132 </w:t>
      </w:r>
      <w:r>
        <w:rPr>
          <w:rFonts w:cstheme="minorHAnsi"/>
          <w:color w:val="000000"/>
        </w:rPr>
        <w:t>(</w:t>
      </w:r>
      <w:r w:rsidRPr="001F33A9">
        <w:rPr>
          <w:rFonts w:cstheme="minorHAnsi"/>
          <w:color w:val="000000"/>
        </w:rPr>
        <w:t xml:space="preserve">Leiden: Brill, 2010); Philippe </w:t>
      </w:r>
      <w:r w:rsidRPr="001F33A9">
        <w:rPr>
          <w:rFonts w:cstheme="minorHAnsi"/>
        </w:rPr>
        <w:t xml:space="preserve">Hugo, "1–2 Kingdoms (1–2 Samuel)," in </w:t>
      </w:r>
      <w:r w:rsidRPr="001F33A9">
        <w:rPr>
          <w:rFonts w:cstheme="minorHAnsi"/>
          <w:i/>
          <w:iCs/>
        </w:rPr>
        <w:t>The T</w:t>
      </w:r>
      <w:r>
        <w:rPr>
          <w:rFonts w:cstheme="minorHAnsi"/>
          <w:i/>
          <w:iCs/>
        </w:rPr>
        <w:t xml:space="preserve"> </w:t>
      </w:r>
      <w:r w:rsidRPr="001F33A9">
        <w:rPr>
          <w:rFonts w:cstheme="minorHAnsi"/>
          <w:i/>
          <w:iCs/>
        </w:rPr>
        <w:t>&amp;</w:t>
      </w:r>
      <w:r>
        <w:rPr>
          <w:rFonts w:cstheme="minorHAnsi"/>
          <w:i/>
          <w:iCs/>
        </w:rPr>
        <w:t xml:space="preserve"> </w:t>
      </w:r>
      <w:r w:rsidRPr="001F33A9">
        <w:rPr>
          <w:rFonts w:cstheme="minorHAnsi"/>
          <w:i/>
          <w:iCs/>
        </w:rPr>
        <w:t>T Clark Companion to the Septuagint</w:t>
      </w:r>
      <w:r w:rsidRPr="001F33A9">
        <w:rPr>
          <w:rFonts w:cstheme="minorHAnsi"/>
        </w:rPr>
        <w:t>, ed. James K. Aitken (London: T</w:t>
      </w:r>
      <w:r>
        <w:rPr>
          <w:rFonts w:cstheme="minorHAnsi"/>
        </w:rPr>
        <w:t xml:space="preserve"> </w:t>
      </w:r>
      <w:r w:rsidRPr="001F33A9">
        <w:rPr>
          <w:rFonts w:cstheme="minorHAnsi"/>
        </w:rPr>
        <w:t>&amp;</w:t>
      </w:r>
      <w:r>
        <w:rPr>
          <w:rFonts w:cstheme="minorHAnsi"/>
        </w:rPr>
        <w:t xml:space="preserve"> </w:t>
      </w:r>
      <w:r w:rsidRPr="001F33A9">
        <w:rPr>
          <w:rFonts w:cstheme="minorHAnsi"/>
        </w:rPr>
        <w:t>T Clark, 2015), 127–146</w:t>
      </w:r>
      <w:r>
        <w:rPr>
          <w:rFonts w:cstheme="minorHAnsi"/>
        </w:rPr>
        <w:t xml:space="preserve">; </w:t>
      </w:r>
      <w:r w:rsidRPr="001F33A9">
        <w:rPr>
          <w:rFonts w:cstheme="minorHAnsi"/>
        </w:rPr>
        <w:t>Frank</w:t>
      </w:r>
      <w:r w:rsidRPr="00BC7F6E">
        <w:rPr>
          <w:rFonts w:cs="Calibri"/>
        </w:rPr>
        <w:t xml:space="preserve"> Moore Cross et al., </w:t>
      </w:r>
      <w:r w:rsidRPr="00BC7F6E">
        <w:rPr>
          <w:rFonts w:cs="Calibri"/>
          <w:i/>
          <w:iCs/>
        </w:rPr>
        <w:t>Qumran Cave 4.XII: 1 – 2 Samuel</w:t>
      </w:r>
      <w:r>
        <w:rPr>
          <w:rFonts w:cs="Calibri"/>
        </w:rPr>
        <w:t xml:space="preserve">, </w:t>
      </w:r>
      <w:r w:rsidRPr="00BC7F6E">
        <w:rPr>
          <w:rFonts w:cs="Calibri"/>
          <w:color w:val="231F20"/>
        </w:rPr>
        <w:t>Discoveries</w:t>
      </w:r>
      <w:r w:rsidRPr="00B920A2">
        <w:rPr>
          <w:rFonts w:cs="Calibri"/>
          <w:color w:val="231F20"/>
        </w:rPr>
        <w:t xml:space="preserve"> in the Judaean Desert</w:t>
      </w:r>
      <w:r w:rsidRPr="00B920A2">
        <w:rPr>
          <w:rFonts w:cs="Calibri"/>
        </w:rPr>
        <w:t xml:space="preserve"> 17 </w:t>
      </w:r>
      <w:r>
        <w:rPr>
          <w:rFonts w:cs="Calibri"/>
        </w:rPr>
        <w:t>(</w:t>
      </w:r>
      <w:r w:rsidRPr="00B920A2">
        <w:rPr>
          <w:rFonts w:cs="Calibri"/>
        </w:rPr>
        <w:t>Oxford: Clarendon, 2005</w:t>
      </w:r>
      <w:r>
        <w:rPr>
          <w:rFonts w:cs="Calibri"/>
        </w:rPr>
        <w:t xml:space="preserve">); </w:t>
      </w:r>
      <w:r w:rsidRPr="00886108">
        <w:rPr>
          <w:rFonts w:cstheme="minorHAnsi"/>
          <w:color w:val="231F20"/>
        </w:rPr>
        <w:t>Ariel Feldman</w:t>
      </w:r>
      <w:r>
        <w:rPr>
          <w:rFonts w:cstheme="minorHAnsi"/>
          <w:color w:val="231F20"/>
        </w:rPr>
        <w:t xml:space="preserve">, </w:t>
      </w:r>
      <w:r w:rsidRPr="00886108">
        <w:rPr>
          <w:rFonts w:cstheme="minorHAnsi"/>
          <w:i/>
          <w:iCs/>
          <w:color w:val="231F20"/>
        </w:rPr>
        <w:t xml:space="preserve">The Dead Sea Scrolls Rewriting </w:t>
      </w:r>
      <w:r w:rsidRPr="00A32A8E">
        <w:rPr>
          <w:rFonts w:cstheme="minorHAnsi"/>
          <w:i/>
          <w:iCs/>
        </w:rPr>
        <w:t>Samuel and Kings: Texts and Commentary</w:t>
      </w:r>
      <w:r>
        <w:rPr>
          <w:rFonts w:cstheme="minorHAnsi"/>
        </w:rPr>
        <w:t xml:space="preserve">, </w:t>
      </w:r>
      <w:r w:rsidRPr="00A32A8E">
        <w:rPr>
          <w:rStyle w:val="Emphasis"/>
          <w:rFonts w:ascii="Calibri" w:hAnsi="Calibri" w:cs="Calibri"/>
          <w:i w:val="0"/>
          <w:iCs w:val="0"/>
        </w:rPr>
        <w:t>B</w:t>
      </w:r>
      <w:r>
        <w:rPr>
          <w:rStyle w:val="Emphasis"/>
          <w:rFonts w:ascii="Calibri" w:hAnsi="Calibri" w:cs="Calibri"/>
          <w:i w:val="0"/>
          <w:iCs w:val="0"/>
        </w:rPr>
        <w:t>ZAW</w:t>
      </w:r>
      <w:r w:rsidRPr="00A32A8E">
        <w:rPr>
          <w:rFonts w:cstheme="minorHAnsi"/>
        </w:rPr>
        <w:t xml:space="preserve"> 469 </w:t>
      </w:r>
      <w:r>
        <w:rPr>
          <w:rFonts w:cstheme="minorHAnsi"/>
        </w:rPr>
        <w:t>(</w:t>
      </w:r>
      <w:r w:rsidRPr="00A32A8E">
        <w:rPr>
          <w:rFonts w:cstheme="minorHAnsi"/>
        </w:rPr>
        <w:t>Berlin</w:t>
      </w:r>
      <w:r w:rsidRPr="00886108">
        <w:rPr>
          <w:rFonts w:cstheme="minorHAnsi"/>
          <w:color w:val="231F20"/>
        </w:rPr>
        <w:t>: de Gruyter, 2015).</w:t>
      </w:r>
    </w:p>
  </w:footnote>
  <w:footnote w:id="8">
    <w:p w14:paraId="1E2A333F" w14:textId="1FACECBB" w:rsidR="007B7018" w:rsidRDefault="007B7018" w:rsidP="00D46362">
      <w:pPr>
        <w:pStyle w:val="FootnoteText"/>
      </w:pPr>
      <w:r>
        <w:rPr>
          <w:rStyle w:val="FootnoteReference"/>
        </w:rPr>
        <w:footnoteRef/>
      </w:r>
      <w:r>
        <w:t xml:space="preserve"> See, e.g., </w:t>
      </w:r>
      <w:r w:rsidRPr="00D46362">
        <w:rPr>
          <w:rFonts w:ascii="Calibri" w:hAnsi="Calibri" w:cs="Calibri"/>
        </w:rPr>
        <w:t xml:space="preserve">John </w:t>
      </w:r>
      <w:r>
        <w:rPr>
          <w:rFonts w:ascii="Calibri" w:hAnsi="Calibri" w:cs="Calibri"/>
        </w:rPr>
        <w:t>V</w:t>
      </w:r>
      <w:r w:rsidRPr="00D46362">
        <w:rPr>
          <w:rFonts w:ascii="Calibri" w:hAnsi="Calibri" w:cs="Calibri"/>
        </w:rPr>
        <w:t xml:space="preserve">an Seters, </w:t>
      </w:r>
      <w:r w:rsidRPr="00D46362">
        <w:rPr>
          <w:rFonts w:ascii="Calibri" w:hAnsi="Calibri" w:cs="Calibri"/>
          <w:i/>
          <w:iCs/>
        </w:rPr>
        <w:t xml:space="preserve">The Biblical Saga of King David </w:t>
      </w:r>
      <w:r w:rsidRPr="00D46362">
        <w:rPr>
          <w:rFonts w:ascii="Calibri" w:hAnsi="Calibri" w:cs="Calibri"/>
        </w:rPr>
        <w:t>(Winona Lake: Eisenbrauns, 2009</w:t>
      </w:r>
      <w:r w:rsidRPr="00D46362">
        <w:rPr>
          <w:rFonts w:ascii="Times New Roman" w:hAnsi="Times New Roman" w:cs="Times New Roman"/>
          <w:sz w:val="18"/>
          <w:szCs w:val="18"/>
        </w:rPr>
        <w:t>)</w:t>
      </w:r>
      <w:r>
        <w:rPr>
          <w:rFonts w:ascii="Times New Roman" w:hAnsi="Times New Roman" w:cs="Times New Roman"/>
          <w:sz w:val="18"/>
          <w:szCs w:val="18"/>
        </w:rPr>
        <w:t>.</w:t>
      </w:r>
    </w:p>
  </w:footnote>
  <w:footnote w:id="9">
    <w:p w14:paraId="78E55804" w14:textId="28FEF5FD" w:rsidR="007B7018" w:rsidRPr="003B07ED" w:rsidRDefault="007B7018" w:rsidP="00184F4C">
      <w:pPr>
        <w:pStyle w:val="FootnoteText"/>
      </w:pPr>
      <w:r>
        <w:rPr>
          <w:rStyle w:val="FootnoteReference"/>
        </w:rPr>
        <w:footnoteRef/>
      </w:r>
      <w:r>
        <w:t xml:space="preserve"> Cf. Susan M. Pigott, “</w:t>
      </w:r>
      <w:r w:rsidRPr="00184F4C">
        <w:rPr>
          <w:rFonts w:cstheme="minorHAnsi"/>
        </w:rPr>
        <w:t>Wives, Witches and Wise Women: Prophetic Heralds of Kingship in 1 and 2 Samuel</w:t>
      </w:r>
      <w:r>
        <w:rPr>
          <w:rFonts w:cstheme="minorHAnsi"/>
        </w:rPr>
        <w:t xml:space="preserve">,” </w:t>
      </w:r>
      <w:r>
        <w:rPr>
          <w:rFonts w:cstheme="minorHAnsi"/>
          <w:i/>
          <w:iCs/>
        </w:rPr>
        <w:t xml:space="preserve">Review and Expositor </w:t>
      </w:r>
      <w:r>
        <w:rPr>
          <w:rFonts w:cstheme="minorHAnsi"/>
        </w:rPr>
        <w:t>99 (2002): 145-73.</w:t>
      </w:r>
    </w:p>
  </w:footnote>
  <w:footnote w:id="10">
    <w:p w14:paraId="44F672E3" w14:textId="77777777" w:rsidR="007B7018" w:rsidRDefault="007B7018" w:rsidP="00326355">
      <w:pPr>
        <w:pStyle w:val="FootnoteText"/>
      </w:pPr>
      <w:r>
        <w:rPr>
          <w:rStyle w:val="FootnoteReference"/>
        </w:rPr>
        <w:footnoteRef/>
      </w:r>
      <w:r>
        <w:t xml:space="preserve"> See further </w:t>
      </w:r>
      <w:r w:rsidRPr="00BC2F86">
        <w:t xml:space="preserve">Rachelle Gilmour, </w:t>
      </w:r>
      <w:r w:rsidRPr="00BC2F86">
        <w:rPr>
          <w:rFonts w:cstheme="minorHAnsi"/>
          <w:i/>
          <w:iCs/>
        </w:rPr>
        <w:t xml:space="preserve">Representing the Past: </w:t>
      </w:r>
      <w:r w:rsidRPr="00BC2F86">
        <w:rPr>
          <w:rFonts w:ascii="Calibri" w:hAnsi="Calibri" w:cs="Calibri"/>
          <w:i/>
          <w:iCs/>
        </w:rPr>
        <w:t>A Literary Analysis of Narrative Historiography in</w:t>
      </w:r>
      <w:r w:rsidRPr="00BC2F86">
        <w:rPr>
          <w:rFonts w:cs="Calibri"/>
          <w:i/>
          <w:iCs/>
        </w:rPr>
        <w:t xml:space="preserve"> the Book of Samuel</w:t>
      </w:r>
      <w:r>
        <w:rPr>
          <w:rFonts w:cs="Calibri"/>
        </w:rPr>
        <w:t xml:space="preserve">, </w:t>
      </w:r>
      <w:r w:rsidRPr="00BC2F86">
        <w:rPr>
          <w:rFonts w:cs="Calibri"/>
        </w:rPr>
        <w:t xml:space="preserve">VTSup 143 </w:t>
      </w:r>
      <w:r>
        <w:rPr>
          <w:rFonts w:cs="Calibri"/>
        </w:rPr>
        <w:t>(</w:t>
      </w:r>
      <w:r w:rsidRPr="00BC2F86">
        <w:rPr>
          <w:rFonts w:cs="Calibri"/>
        </w:rPr>
        <w:t>Leiden: Brill, 2011)</w:t>
      </w:r>
      <w:r>
        <w:rPr>
          <w:rFonts w:cs="Calibri"/>
        </w:rPr>
        <w:t>.</w:t>
      </w:r>
    </w:p>
  </w:footnote>
  <w:footnote w:id="11">
    <w:p w14:paraId="12EE3CC8" w14:textId="77777777" w:rsidR="007B7018" w:rsidRPr="00C80133" w:rsidRDefault="007B7018" w:rsidP="00B170E4">
      <w:pPr>
        <w:pStyle w:val="FootnoteText"/>
      </w:pPr>
      <w:r>
        <w:rPr>
          <w:rStyle w:val="FootnoteReference"/>
        </w:rPr>
        <w:footnoteRef/>
      </w:r>
      <w:r>
        <w:t xml:space="preserve"> Northrop Frye, </w:t>
      </w:r>
      <w:r>
        <w:rPr>
          <w:i/>
          <w:iCs/>
        </w:rPr>
        <w:t>The Educated Imagination</w:t>
      </w:r>
      <w:r>
        <w:t xml:space="preserve"> (Bloomington, IN: Indiana University Press, 1964), 64; cf. Chapman, </w:t>
      </w:r>
      <w:r w:rsidRPr="00B969F3">
        <w:rPr>
          <w:i/>
          <w:iCs/>
          <w:color w:val="000000"/>
        </w:rPr>
        <w:t>1 Samuel as Christian Scripture</w:t>
      </w:r>
      <w:r>
        <w:rPr>
          <w:color w:val="000000"/>
        </w:rPr>
        <w:t>, 92.</w:t>
      </w:r>
    </w:p>
  </w:footnote>
  <w:footnote w:id="12">
    <w:p w14:paraId="5A905A21" w14:textId="5572988D" w:rsidR="007B7018" w:rsidRPr="00EB6C22" w:rsidRDefault="007B7018" w:rsidP="00133137">
      <w:pPr>
        <w:pStyle w:val="Default"/>
        <w:ind w:firstLine="720"/>
        <w:rPr>
          <w:rFonts w:ascii="Calibri" w:hAnsi="Calibri" w:cs="Calibri"/>
          <w:sz w:val="20"/>
          <w:szCs w:val="20"/>
        </w:rPr>
      </w:pPr>
      <w:r>
        <w:rPr>
          <w:rStyle w:val="FootnoteReference"/>
        </w:rPr>
        <w:footnoteRef/>
      </w:r>
      <w:r>
        <w:t xml:space="preserve"> </w:t>
      </w:r>
      <w:r w:rsidRPr="00EB6C22">
        <w:rPr>
          <w:rFonts w:ascii="Calibri" w:hAnsi="Calibri" w:cs="Calibri"/>
          <w:sz w:val="20"/>
          <w:szCs w:val="20"/>
        </w:rPr>
        <w:t xml:space="preserve">See Marsha White, “The History of Saul’s Rise”: Saulide State Propaganda in 1 Samuel 1–14,” in </w:t>
      </w:r>
    </w:p>
    <w:p w14:paraId="2BFB90CB" w14:textId="4861123C" w:rsidR="007B7018" w:rsidRPr="00EB6C22" w:rsidRDefault="007B7018" w:rsidP="00133137">
      <w:pPr>
        <w:pStyle w:val="Default"/>
        <w:rPr>
          <w:rFonts w:ascii="Calibri" w:hAnsi="Calibri" w:cs="Calibri"/>
          <w:sz w:val="20"/>
          <w:szCs w:val="20"/>
        </w:rPr>
      </w:pPr>
      <w:r w:rsidRPr="00EB6C22">
        <w:rPr>
          <w:rFonts w:ascii="Calibri" w:hAnsi="Calibri" w:cs="Calibri"/>
          <w:sz w:val="20"/>
          <w:szCs w:val="20"/>
        </w:rPr>
        <w:t xml:space="preserve"> Saul M. Olyan and Robert C. Culley, </w:t>
      </w:r>
      <w:r w:rsidRPr="00EB6C22">
        <w:rPr>
          <w:rFonts w:ascii="Calibri" w:hAnsi="Calibri" w:cs="Calibri"/>
          <w:i/>
          <w:iCs/>
          <w:sz w:val="20"/>
          <w:szCs w:val="20"/>
        </w:rPr>
        <w:t xml:space="preserve">A </w:t>
      </w:r>
      <w:r w:rsidRPr="00653935">
        <w:rPr>
          <w:rFonts w:ascii="Calibri" w:hAnsi="Calibri" w:cs="Calibri"/>
          <w:i/>
          <w:iCs/>
          <w:sz w:val="20"/>
          <w:szCs w:val="20"/>
        </w:rPr>
        <w:t>Wise and Discerning Mind</w:t>
      </w:r>
      <w:r w:rsidRPr="00EB6C22">
        <w:rPr>
          <w:rFonts w:ascii="Calibri" w:hAnsi="Calibri" w:cs="Calibri"/>
          <w:i/>
          <w:iCs/>
          <w:sz w:val="20"/>
          <w:szCs w:val="20"/>
        </w:rPr>
        <w:t>: Essays in Honor of Burke O. Long</w:t>
      </w:r>
      <w:r>
        <w:rPr>
          <w:rFonts w:ascii="Calibri" w:hAnsi="Calibri" w:cs="Calibri"/>
          <w:sz w:val="20"/>
          <w:szCs w:val="20"/>
        </w:rPr>
        <w:t xml:space="preserve">, </w:t>
      </w:r>
      <w:r w:rsidRPr="00EB6C22">
        <w:rPr>
          <w:rFonts w:ascii="Calibri" w:hAnsi="Calibri" w:cs="Calibri"/>
          <w:sz w:val="20"/>
          <w:szCs w:val="20"/>
        </w:rPr>
        <w:t xml:space="preserve">Brown Judaic Studies </w:t>
      </w:r>
      <w:r>
        <w:rPr>
          <w:rFonts w:ascii="Calibri" w:hAnsi="Calibri" w:cs="Calibri"/>
          <w:sz w:val="20"/>
          <w:szCs w:val="20"/>
        </w:rPr>
        <w:t>(</w:t>
      </w:r>
      <w:r w:rsidRPr="00EB6C22">
        <w:rPr>
          <w:rFonts w:ascii="Calibri" w:hAnsi="Calibri" w:cs="Calibri"/>
          <w:sz w:val="20"/>
          <w:szCs w:val="20"/>
        </w:rPr>
        <w:t>Providence, RI: Brown University, 2020), 271-92.</w:t>
      </w:r>
    </w:p>
  </w:footnote>
  <w:footnote w:id="13">
    <w:p w14:paraId="0F1441E5" w14:textId="63D7843B" w:rsidR="007B7018" w:rsidRPr="00F42B25" w:rsidRDefault="007B7018" w:rsidP="00793A27">
      <w:pPr>
        <w:pStyle w:val="FootnoteText"/>
        <w:rPr>
          <w:rFonts w:cstheme="minorHAnsi"/>
        </w:rPr>
      </w:pPr>
      <w:r>
        <w:rPr>
          <w:rStyle w:val="FootnoteReference"/>
        </w:rPr>
        <w:footnoteRef/>
      </w:r>
      <w:r>
        <w:t xml:space="preserve"> See the survey in Michael Avioz, “</w:t>
      </w:r>
      <w:r w:rsidRPr="00793A27">
        <w:rPr>
          <w:rFonts w:cstheme="minorHAnsi"/>
        </w:rPr>
        <w:t>The Literary Structure of the</w:t>
      </w:r>
      <w:r>
        <w:rPr>
          <w:rFonts w:cstheme="minorHAnsi"/>
        </w:rPr>
        <w:t xml:space="preserve"> </w:t>
      </w:r>
      <w:r w:rsidRPr="00793A27">
        <w:rPr>
          <w:rFonts w:cstheme="minorHAnsi"/>
        </w:rPr>
        <w:t>Books of Samuel: Setting the</w:t>
      </w:r>
      <w:r>
        <w:t xml:space="preserve"> </w:t>
      </w:r>
      <w:r w:rsidRPr="00793A27">
        <w:rPr>
          <w:rFonts w:cstheme="minorHAnsi"/>
        </w:rPr>
        <w:t>Stage for a Coherent Reading</w:t>
      </w:r>
      <w:r w:rsidRPr="00F42B25">
        <w:rPr>
          <w:rFonts w:cstheme="minorHAnsi"/>
        </w:rPr>
        <w:t xml:space="preserve">,” </w:t>
      </w:r>
      <w:r w:rsidRPr="00F42B25">
        <w:rPr>
          <w:rFonts w:cstheme="minorHAnsi"/>
          <w:i/>
          <w:iCs/>
        </w:rPr>
        <w:t>Currents in Biblical Research</w:t>
      </w:r>
      <w:r>
        <w:rPr>
          <w:rFonts w:cstheme="minorHAnsi"/>
        </w:rPr>
        <w:t xml:space="preserve"> 16 (2017): 8-33. </w:t>
      </w:r>
    </w:p>
  </w:footnote>
  <w:footnote w:id="14">
    <w:p w14:paraId="229A8FD5" w14:textId="77777777" w:rsidR="007B7018" w:rsidRPr="0094688B" w:rsidRDefault="007B7018" w:rsidP="00AF37DC">
      <w:pPr>
        <w:pStyle w:val="FootnoteText"/>
        <w:rPr>
          <w:rFonts w:ascii="Calibri" w:hAnsi="Calibri" w:cs="Calibri"/>
        </w:rPr>
      </w:pPr>
      <w:r>
        <w:rPr>
          <w:rStyle w:val="FootnoteReference"/>
        </w:rPr>
        <w:footnoteRef/>
      </w:r>
      <w:r>
        <w:t xml:space="preserve"> See David G. Firth, “</w:t>
      </w:r>
      <w:r w:rsidRPr="0031784A">
        <w:rPr>
          <w:rFonts w:ascii="Calibri" w:hAnsi="Calibri" w:cs="Calibri"/>
        </w:rPr>
        <w:t>Some Reflections on Current Narrative Research on the Book of Samuel</w:t>
      </w:r>
      <w:r>
        <w:rPr>
          <w:rFonts w:ascii="Calibri" w:hAnsi="Calibri" w:cs="Calibri"/>
        </w:rPr>
        <w:t xml:space="preserve">,” </w:t>
      </w:r>
      <w:r>
        <w:rPr>
          <w:rFonts w:ascii="Calibri" w:hAnsi="Calibri" w:cs="Calibri"/>
          <w:i/>
          <w:iCs/>
        </w:rPr>
        <w:t>Southeastern Theological Review</w:t>
      </w:r>
      <w:r>
        <w:rPr>
          <w:rFonts w:ascii="Calibri" w:hAnsi="Calibri" w:cs="Calibri"/>
        </w:rPr>
        <w:t xml:space="preserve"> 10 (2019): 3-31.</w:t>
      </w:r>
    </w:p>
  </w:footnote>
  <w:footnote w:id="15">
    <w:p w14:paraId="2086CE0C" w14:textId="4D9A4164" w:rsidR="007B7018" w:rsidRDefault="007B7018" w:rsidP="00F44349">
      <w:pPr>
        <w:pStyle w:val="FootnoteText"/>
      </w:pPr>
      <w:r>
        <w:rPr>
          <w:rStyle w:val="FootnoteReference"/>
        </w:rPr>
        <w:footnoteRef/>
      </w:r>
      <w:r>
        <w:t xml:space="preserve"> Adapted from David Toshio Tsumura, </w:t>
      </w:r>
      <w:r>
        <w:rPr>
          <w:i/>
          <w:iCs/>
        </w:rPr>
        <w:t>The First Book of Samuel</w:t>
      </w:r>
      <w:r>
        <w:t>, NICOT (Grand Rapids: Eerdmans, 2007), 68.</w:t>
      </w:r>
    </w:p>
  </w:footnote>
  <w:footnote w:id="16">
    <w:p w14:paraId="0FF084DA" w14:textId="77777777" w:rsidR="007B7018" w:rsidRDefault="007B7018" w:rsidP="00AF0A16">
      <w:pPr>
        <w:pStyle w:val="FootnoteText"/>
      </w:pPr>
      <w:r>
        <w:rPr>
          <w:rStyle w:val="FootnoteReference"/>
        </w:rPr>
        <w:footnoteRef/>
      </w:r>
      <w:r>
        <w:t xml:space="preserve"> Cf. Walter Brueggemann, “1 Samuel 1: A Sense of a Beginning,” </w:t>
      </w:r>
      <w:r w:rsidRPr="00222BD5">
        <w:rPr>
          <w:i/>
          <w:iCs/>
        </w:rPr>
        <w:t>ZAW</w:t>
      </w:r>
      <w:r>
        <w:t xml:space="preserve"> 102 (1990): 33-48 (</w:t>
      </w:r>
      <w:r w:rsidRPr="00B44E1B">
        <w:t>39</w:t>
      </w:r>
      <w:r>
        <w:t>).</w:t>
      </w:r>
    </w:p>
  </w:footnote>
  <w:footnote w:id="17">
    <w:p w14:paraId="38BB3173" w14:textId="502D2005" w:rsidR="007B7018" w:rsidRDefault="007B7018" w:rsidP="00B531C4">
      <w:pPr>
        <w:pStyle w:val="FootnoteText"/>
      </w:pPr>
      <w:r>
        <w:rPr>
          <w:rStyle w:val="FootnoteReference"/>
        </w:rPr>
        <w:footnoteRef/>
      </w:r>
      <w:r>
        <w:t xml:space="preserve"> J. P. Fokkelman, </w:t>
      </w:r>
      <w:r>
        <w:rPr>
          <w:rFonts w:cs="Calibri"/>
          <w:i/>
          <w:iCs/>
        </w:rPr>
        <w:t xml:space="preserve">Narrative Art and </w:t>
      </w:r>
      <w:r w:rsidRPr="00C22251">
        <w:rPr>
          <w:rFonts w:cs="Calibri"/>
          <w:i/>
          <w:iCs/>
        </w:rPr>
        <w:t>Poetry</w:t>
      </w:r>
      <w:r>
        <w:rPr>
          <w:rFonts w:cs="Calibri"/>
          <w:i/>
          <w:iCs/>
        </w:rPr>
        <w:t xml:space="preserve"> </w:t>
      </w:r>
      <w:r w:rsidRPr="00712585">
        <w:rPr>
          <w:rFonts w:cs="Calibri"/>
          <w:i/>
          <w:iCs/>
        </w:rPr>
        <w:t>in the Books of Samuel</w:t>
      </w:r>
      <w:r>
        <w:rPr>
          <w:rFonts w:cs="Calibri"/>
          <w:i/>
          <w:iCs/>
        </w:rPr>
        <w:t xml:space="preserve">, </w:t>
      </w:r>
      <w:r>
        <w:rPr>
          <w:rFonts w:cs="Calibri"/>
        </w:rPr>
        <w:t>Vol. 4</w:t>
      </w:r>
      <w:r w:rsidRPr="00712585">
        <w:rPr>
          <w:rFonts w:cs="Calibri"/>
        </w:rPr>
        <w:t xml:space="preserve">. </w:t>
      </w:r>
      <w:r>
        <w:rPr>
          <w:rFonts w:cs="Calibri"/>
          <w:i/>
          <w:iCs/>
        </w:rPr>
        <w:t xml:space="preserve">Vow and Desire (I Sam. 1 – 12) </w:t>
      </w:r>
      <w:r>
        <w:rPr>
          <w:rFonts w:cs="Calibri"/>
        </w:rPr>
        <w:t>(</w:t>
      </w:r>
      <w:r w:rsidRPr="00712585">
        <w:rPr>
          <w:rFonts w:cs="Calibri"/>
        </w:rPr>
        <w:t>Assen: van Gorcum, 19</w:t>
      </w:r>
      <w:r>
        <w:rPr>
          <w:rFonts w:cs="Calibri"/>
        </w:rPr>
        <w:t xml:space="preserve">93), </w:t>
      </w:r>
      <w:r>
        <w:t>105.</w:t>
      </w:r>
    </w:p>
  </w:footnote>
  <w:footnote w:id="18">
    <w:p w14:paraId="6E9B668B" w14:textId="78B1B638" w:rsidR="007B7018" w:rsidRDefault="007B7018" w:rsidP="00F44349">
      <w:pPr>
        <w:pStyle w:val="FootnoteText"/>
      </w:pPr>
      <w:r>
        <w:rPr>
          <w:rStyle w:val="FootnoteReference"/>
        </w:rPr>
        <w:footnoteRef/>
      </w:r>
      <w:r>
        <w:t xml:space="preserve"> Cf. </w:t>
      </w:r>
      <w:r>
        <w:rPr>
          <w:rFonts w:eastAsia="Times New Roman" w:cs="Calibri"/>
          <w:color w:val="3A3A3A"/>
        </w:rPr>
        <w:t>Gale A. Yee</w:t>
      </w:r>
      <w:r w:rsidRPr="0023628C">
        <w:rPr>
          <w:rFonts w:eastAsia="Times New Roman" w:cs="Calibri"/>
          <w:color w:val="3A3A3A"/>
        </w:rPr>
        <w:t>, “</w:t>
      </w:r>
      <w:r w:rsidRPr="0023628C">
        <w:rPr>
          <w:rFonts w:cstheme="minorHAnsi"/>
        </w:rPr>
        <w:t>The Silenced Speak: Hannah, Mary, and Global Poverty</w:t>
      </w:r>
      <w:r>
        <w:rPr>
          <w:rFonts w:cstheme="minorHAnsi"/>
        </w:rPr>
        <w:t>,</w:t>
      </w:r>
      <w:r w:rsidRPr="0023628C">
        <w:rPr>
          <w:rFonts w:cstheme="minorHAnsi"/>
        </w:rPr>
        <w:t xml:space="preserve">” </w:t>
      </w:r>
      <w:r w:rsidRPr="0023628C">
        <w:rPr>
          <w:rFonts w:cstheme="minorHAnsi"/>
          <w:i/>
          <w:iCs/>
        </w:rPr>
        <w:t>Feminist</w:t>
      </w:r>
      <w:r>
        <w:rPr>
          <w:rFonts w:cstheme="minorHAnsi"/>
          <w:i/>
          <w:iCs/>
        </w:rPr>
        <w:t xml:space="preserve"> Theology</w:t>
      </w:r>
      <w:r>
        <w:rPr>
          <w:rFonts w:cstheme="minorHAnsi"/>
        </w:rPr>
        <w:t xml:space="preserve"> 21 (2012): 41-57 (42-47).</w:t>
      </w:r>
    </w:p>
  </w:footnote>
  <w:footnote w:id="19">
    <w:p w14:paraId="6B16FEDA" w14:textId="77777777" w:rsidR="007B7018" w:rsidRPr="00851C59" w:rsidRDefault="007B7018" w:rsidP="00DC65A6">
      <w:pPr>
        <w:pStyle w:val="FootnoteText"/>
      </w:pPr>
      <w:r>
        <w:rPr>
          <w:rStyle w:val="FootnoteReference"/>
        </w:rPr>
        <w:footnoteRef/>
      </w:r>
      <w:r>
        <w:t xml:space="preserve"> </w:t>
      </w:r>
      <w:r w:rsidRPr="00C456EF">
        <w:rPr>
          <w:rFonts w:ascii="Calibri" w:hAnsi="Calibri" w:cs="Calibri"/>
        </w:rPr>
        <w:t>Randall C. Bailey</w:t>
      </w:r>
      <w:r>
        <w:rPr>
          <w:rFonts w:ascii="Calibri" w:hAnsi="Calibri" w:cs="Calibri"/>
        </w:rPr>
        <w:t>, “</w:t>
      </w:r>
      <w:r w:rsidRPr="00C456EF">
        <w:rPr>
          <w:rFonts w:ascii="Calibri" w:hAnsi="Calibri" w:cs="Calibri"/>
        </w:rPr>
        <w:t xml:space="preserve">The Redemption </w:t>
      </w:r>
      <w:r>
        <w:rPr>
          <w:rFonts w:ascii="Calibri" w:hAnsi="Calibri" w:cs="Calibri"/>
        </w:rPr>
        <w:t>o</w:t>
      </w:r>
      <w:r w:rsidRPr="00C456EF">
        <w:rPr>
          <w:rFonts w:ascii="Calibri" w:hAnsi="Calibri" w:cs="Calibri"/>
        </w:rPr>
        <w:t xml:space="preserve">f Yhwh: A Literary Critical Function </w:t>
      </w:r>
      <w:r>
        <w:rPr>
          <w:rFonts w:ascii="Calibri" w:hAnsi="Calibri" w:cs="Calibri"/>
        </w:rPr>
        <w:t>o</w:t>
      </w:r>
      <w:r w:rsidRPr="00C456EF">
        <w:rPr>
          <w:rFonts w:ascii="Calibri" w:hAnsi="Calibri" w:cs="Calibri"/>
        </w:rPr>
        <w:t xml:space="preserve">f </w:t>
      </w:r>
      <w:r>
        <w:rPr>
          <w:rFonts w:ascii="Calibri" w:hAnsi="Calibri" w:cs="Calibri"/>
        </w:rPr>
        <w:t>t</w:t>
      </w:r>
      <w:r w:rsidRPr="00C456EF">
        <w:rPr>
          <w:rFonts w:ascii="Calibri" w:hAnsi="Calibri" w:cs="Calibri"/>
        </w:rPr>
        <w:t xml:space="preserve">he Songs </w:t>
      </w:r>
      <w:r>
        <w:rPr>
          <w:rFonts w:ascii="Calibri" w:hAnsi="Calibri" w:cs="Calibri"/>
        </w:rPr>
        <w:t>o</w:t>
      </w:r>
      <w:r w:rsidRPr="00C456EF">
        <w:rPr>
          <w:rFonts w:ascii="Calibri" w:hAnsi="Calibri" w:cs="Calibri"/>
        </w:rPr>
        <w:t xml:space="preserve">f Hannah </w:t>
      </w:r>
      <w:r>
        <w:rPr>
          <w:rFonts w:ascii="Calibri" w:hAnsi="Calibri" w:cs="Calibri"/>
        </w:rPr>
        <w:t>a</w:t>
      </w:r>
      <w:r w:rsidRPr="00C456EF">
        <w:rPr>
          <w:rFonts w:ascii="Calibri" w:hAnsi="Calibri" w:cs="Calibri"/>
        </w:rPr>
        <w:t>nd David</w:t>
      </w:r>
      <w:r>
        <w:rPr>
          <w:rFonts w:ascii="Calibri" w:hAnsi="Calibri" w:cs="Calibri"/>
        </w:rPr>
        <w:t>,”</w:t>
      </w:r>
      <w:r>
        <w:rPr>
          <w:rFonts w:ascii="Calibri" w:hAnsi="Calibri" w:cs="Calibri"/>
          <w:i/>
          <w:iCs/>
        </w:rPr>
        <w:t xml:space="preserve"> BibInt </w:t>
      </w:r>
      <w:r>
        <w:rPr>
          <w:rFonts w:ascii="Calibri" w:hAnsi="Calibri" w:cs="Calibri"/>
        </w:rPr>
        <w:t>3 (1995): 213-31 (217-19).</w:t>
      </w:r>
    </w:p>
  </w:footnote>
  <w:footnote w:id="20">
    <w:p w14:paraId="50A85123" w14:textId="326C1759" w:rsidR="007B7018" w:rsidRDefault="007B7018" w:rsidP="0076547A">
      <w:pPr>
        <w:pStyle w:val="FootnoteText"/>
      </w:pPr>
      <w:r>
        <w:rPr>
          <w:rStyle w:val="FootnoteReference"/>
        </w:rPr>
        <w:footnoteRef/>
      </w:r>
      <w:r>
        <w:t xml:space="preserve"> </w:t>
      </w:r>
      <w:r w:rsidRPr="00BA34A3">
        <w:rPr>
          <w:rFonts w:cs="Calibri"/>
          <w:bCs/>
          <w:lang w:bidi="he-IL"/>
        </w:rPr>
        <w:t>Francesca Aran</w:t>
      </w:r>
      <w:r>
        <w:rPr>
          <w:rFonts w:cs="Calibri"/>
          <w:bCs/>
          <w:lang w:bidi="he-IL"/>
        </w:rPr>
        <w:t xml:space="preserve"> Murphy,</w:t>
      </w:r>
      <w:r w:rsidRPr="00BA34A3">
        <w:rPr>
          <w:rFonts w:cs="Calibri"/>
          <w:bCs/>
          <w:lang w:bidi="he-IL"/>
        </w:rPr>
        <w:t xml:space="preserve"> </w:t>
      </w:r>
      <w:r w:rsidRPr="00BA34A3">
        <w:rPr>
          <w:rFonts w:cs="Calibri"/>
          <w:bCs/>
          <w:i/>
          <w:lang w:bidi="he-IL"/>
        </w:rPr>
        <w:t>1 Samuel</w:t>
      </w:r>
      <w:r>
        <w:rPr>
          <w:rFonts w:cs="Calibri"/>
          <w:bCs/>
          <w:iCs/>
          <w:lang w:bidi="he-IL"/>
        </w:rPr>
        <w:t xml:space="preserve">, </w:t>
      </w:r>
      <w:r w:rsidRPr="003D5308">
        <w:rPr>
          <w:rFonts w:ascii="Calibri" w:hAnsi="Calibri" w:cs="Calibri"/>
          <w:shd w:val="clear" w:color="auto" w:fill="FFFFFF"/>
        </w:rPr>
        <w:t>Brazos Theological Commentary on the Bible</w:t>
      </w:r>
      <w:r w:rsidRPr="00BA34A3">
        <w:rPr>
          <w:rFonts w:cs="Calibri"/>
          <w:bCs/>
          <w:lang w:bidi="he-IL"/>
        </w:rPr>
        <w:t xml:space="preserve"> </w:t>
      </w:r>
      <w:r>
        <w:rPr>
          <w:rFonts w:cs="Calibri"/>
          <w:bCs/>
          <w:lang w:bidi="he-IL"/>
        </w:rPr>
        <w:t>(</w:t>
      </w:r>
      <w:r w:rsidRPr="00BA34A3">
        <w:rPr>
          <w:rFonts w:cs="Calibri"/>
          <w:bCs/>
          <w:lang w:bidi="he-IL"/>
        </w:rPr>
        <w:t>Grand Rapids: Brazos, 2010</w:t>
      </w:r>
      <w:r>
        <w:rPr>
          <w:rFonts w:cs="Calibri"/>
          <w:bCs/>
          <w:lang w:bidi="he-IL"/>
        </w:rPr>
        <w:t xml:space="preserve">), 19. </w:t>
      </w:r>
    </w:p>
  </w:footnote>
  <w:footnote w:id="21">
    <w:p w14:paraId="56D08196" w14:textId="77777777" w:rsidR="007B7018" w:rsidRDefault="007B7018" w:rsidP="00F44349">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rPr>
        <w:t xml:space="preserve"> 4:</w:t>
      </w:r>
      <w:r>
        <w:t>99.</w:t>
      </w:r>
    </w:p>
  </w:footnote>
  <w:footnote w:id="22">
    <w:p w14:paraId="18082C77" w14:textId="77777777" w:rsidR="007B7018" w:rsidRDefault="007B7018" w:rsidP="00F44349">
      <w:pPr>
        <w:pStyle w:val="FootnoteText"/>
      </w:pPr>
      <w:r>
        <w:rPr>
          <w:rStyle w:val="FootnoteReference"/>
        </w:rPr>
        <w:footnoteRef/>
      </w:r>
      <w:r>
        <w:t xml:space="preserve"> Bruce C. Birch, </w:t>
      </w:r>
      <w:r w:rsidRPr="00BA34A3">
        <w:rPr>
          <w:rFonts w:cs="Calibri"/>
        </w:rPr>
        <w:t>“The First and Second Books of Samuel: Introduction, Commentary and Reflections</w:t>
      </w:r>
      <w:r>
        <w:rPr>
          <w:rFonts w:cs="Calibri"/>
        </w:rPr>
        <w:t>,</w:t>
      </w:r>
      <w:r w:rsidRPr="00BA34A3">
        <w:rPr>
          <w:rFonts w:cs="Calibri"/>
        </w:rPr>
        <w:t xml:space="preserve">” </w:t>
      </w:r>
      <w:r>
        <w:rPr>
          <w:rFonts w:cs="Calibri"/>
        </w:rPr>
        <w:t>i</w:t>
      </w:r>
      <w:r w:rsidRPr="00BA34A3">
        <w:rPr>
          <w:rFonts w:cs="Calibri"/>
        </w:rPr>
        <w:t xml:space="preserve">n </w:t>
      </w:r>
      <w:r w:rsidRPr="00BA34A3">
        <w:rPr>
          <w:rFonts w:cs="Calibri"/>
          <w:i/>
        </w:rPr>
        <w:t xml:space="preserve">The New Interpreter’s Bible </w:t>
      </w:r>
      <w:r>
        <w:rPr>
          <w:rFonts w:cs="Calibri"/>
          <w:iCs/>
        </w:rPr>
        <w:t>(</w:t>
      </w:r>
      <w:r w:rsidRPr="00BA34A3">
        <w:rPr>
          <w:rFonts w:cs="Calibri"/>
        </w:rPr>
        <w:t>Nashville: Abingdon, 1998</w:t>
      </w:r>
      <w:r>
        <w:rPr>
          <w:rFonts w:cs="Calibri"/>
        </w:rPr>
        <w:t xml:space="preserve">) </w:t>
      </w:r>
      <w:r w:rsidRPr="00BA34A3">
        <w:rPr>
          <w:rFonts w:cs="Calibri"/>
        </w:rPr>
        <w:t>2:947-1383</w:t>
      </w:r>
      <w:r>
        <w:rPr>
          <w:rFonts w:cs="Calibri"/>
        </w:rPr>
        <w:t xml:space="preserve"> (</w:t>
      </w:r>
      <w:r>
        <w:t xml:space="preserve">980); cf. Fokkelman, </w:t>
      </w:r>
      <w:r>
        <w:rPr>
          <w:rFonts w:cs="Calibri"/>
          <w:i/>
          <w:iCs/>
        </w:rPr>
        <w:t xml:space="preserve">Narrative Art and </w:t>
      </w:r>
      <w:r w:rsidRPr="00C22251">
        <w:rPr>
          <w:rFonts w:cs="Calibri"/>
          <w:i/>
          <w:iCs/>
        </w:rPr>
        <w:t>Poetry</w:t>
      </w:r>
      <w:r>
        <w:rPr>
          <w:rFonts w:cs="Calibri"/>
        </w:rPr>
        <w:t xml:space="preserve"> 4:</w:t>
      </w:r>
      <w:r>
        <w:t>40.</w:t>
      </w:r>
    </w:p>
  </w:footnote>
  <w:footnote w:id="23">
    <w:p w14:paraId="0C9E8F6D" w14:textId="7D2CA3B6" w:rsidR="007B7018" w:rsidRDefault="007B7018" w:rsidP="00F44349">
      <w:pPr>
        <w:pStyle w:val="FootnoteText"/>
      </w:pPr>
      <w:r>
        <w:rPr>
          <w:rStyle w:val="FootnoteReference"/>
        </w:rPr>
        <w:footnoteRef/>
      </w:r>
      <w:r>
        <w:t xml:space="preserve"> Whether or not the poem is a later addition to the story, it is the product of a creative author (imagining what Hannah might appropriately be pictured as saying, like the account of conversations in 1 Sam 1.</w:t>
      </w:r>
    </w:p>
  </w:footnote>
  <w:footnote w:id="24">
    <w:p w14:paraId="471D37E2" w14:textId="6A2A917F" w:rsidR="007B7018" w:rsidRPr="00DB51C3" w:rsidRDefault="007B7018" w:rsidP="00114B96">
      <w:pPr>
        <w:pStyle w:val="FootnoteText"/>
      </w:pPr>
      <w:r>
        <w:rPr>
          <w:rStyle w:val="FootnoteReference"/>
        </w:rPr>
        <w:footnoteRef/>
      </w:r>
      <w:r>
        <w:t xml:space="preserve"> Tg sees her as prophesying of Assyria, Babylon, Persia, Greece, and Rome. Augustine (</w:t>
      </w:r>
      <w:r>
        <w:rPr>
          <w:i/>
          <w:iCs/>
        </w:rPr>
        <w:t>City of God</w:t>
      </w:r>
      <w:r>
        <w:t xml:space="preserve"> 17:4) sees her as looking beyond David to Jesus, in keeping with messianic interpretation </w:t>
      </w:r>
      <w:r w:rsidRPr="00782F33">
        <w:rPr>
          <w:rFonts w:cstheme="minorHAnsi"/>
        </w:rPr>
        <w:t xml:space="preserve">in </w:t>
      </w:r>
      <w:r w:rsidRPr="00782F33">
        <w:rPr>
          <w:rFonts w:eastAsia="MinionPro-Regular" w:cstheme="minorHAnsi"/>
        </w:rPr>
        <w:t>Liber antiquitatum biblicarum</w:t>
      </w:r>
      <w:r>
        <w:rPr>
          <w:rFonts w:eastAsia="MinionPro-Regular" w:cstheme="minorHAnsi"/>
        </w:rPr>
        <w:t>: see Hannes Bezzel, “</w:t>
      </w:r>
      <w:r w:rsidRPr="009A1B3B">
        <w:rPr>
          <w:rFonts w:eastAsia="MinionPro-Regular" w:cstheme="minorHAnsi"/>
        </w:rPr>
        <w:t>Hannah’s Prayer(s) in 1 Samuel 1</w:t>
      </w:r>
      <w:r>
        <w:rPr>
          <w:rFonts w:eastAsia="MinionPro-Regular" w:cstheme="minorHAnsi"/>
        </w:rPr>
        <w:t xml:space="preserve"> </w:t>
      </w:r>
      <w:r w:rsidRPr="009A1B3B">
        <w:rPr>
          <w:rFonts w:eastAsia="MinionPro-Regular" w:cstheme="minorHAnsi"/>
        </w:rPr>
        <w:t>–</w:t>
      </w:r>
      <w:r>
        <w:rPr>
          <w:rFonts w:eastAsia="MinionPro-Regular" w:cstheme="minorHAnsi"/>
        </w:rPr>
        <w:t xml:space="preserve"> </w:t>
      </w:r>
      <w:r w:rsidRPr="009A1B3B">
        <w:rPr>
          <w:rFonts w:eastAsia="MinionPro-Regular" w:cstheme="minorHAnsi"/>
        </w:rPr>
        <w:t>2 and in</w:t>
      </w:r>
      <w:r>
        <w:rPr>
          <w:rFonts w:eastAsia="MinionPro-Regular" w:cstheme="minorHAnsi"/>
        </w:rPr>
        <w:t xml:space="preserve"> </w:t>
      </w:r>
      <w:r w:rsidRPr="009A1B3B">
        <w:rPr>
          <w:rFonts w:eastAsia="MinionPro-Regular" w:cstheme="minorHAnsi"/>
        </w:rPr>
        <w:t>Pseudo-Philo’s Liber antiquitatum biblicarum</w:t>
      </w:r>
      <w:r>
        <w:rPr>
          <w:rFonts w:eastAsia="MinionPro-Regular" w:cstheme="minorHAnsi"/>
        </w:rPr>
        <w:t xml:space="preserve">,” </w:t>
      </w:r>
      <w:r w:rsidRPr="006D3C5D">
        <w:rPr>
          <w:rFonts w:ascii="Calibri" w:eastAsia="MinionPro-Regular" w:hAnsi="Calibri" w:cs="Calibri"/>
        </w:rPr>
        <w:t xml:space="preserve">in </w:t>
      </w:r>
      <w:r w:rsidRPr="008128FA">
        <w:rPr>
          <w:rFonts w:ascii="Calibri" w:hAnsi="Calibri" w:cs="Calibri"/>
          <w:i/>
          <w:iCs/>
        </w:rPr>
        <w:t>Prayers and the Construction of Israelite Identity</w:t>
      </w:r>
      <w:r>
        <w:rPr>
          <w:rFonts w:ascii="Calibri" w:eastAsia="MinionPro-Regular" w:hAnsi="Calibri" w:cs="Calibri"/>
        </w:rPr>
        <w:t xml:space="preserve">, ed. Susanne </w:t>
      </w:r>
      <w:r w:rsidRPr="006D3C5D">
        <w:rPr>
          <w:rFonts w:ascii="Calibri" w:hAnsi="Calibri" w:cs="Calibri"/>
        </w:rPr>
        <w:t>Gillmayr-Bucher</w:t>
      </w:r>
      <w:r>
        <w:rPr>
          <w:rFonts w:ascii="Calibri" w:hAnsi="Calibri" w:cs="Calibri"/>
        </w:rPr>
        <w:t xml:space="preserve"> and Maria</w:t>
      </w:r>
      <w:r w:rsidRPr="006D3C5D">
        <w:rPr>
          <w:rFonts w:ascii="Calibri" w:hAnsi="Calibri" w:cs="Calibri"/>
        </w:rPr>
        <w:t xml:space="preserve"> H</w:t>
      </w:r>
      <w:r>
        <w:rPr>
          <w:rFonts w:ascii="Calibri" w:hAnsi="Calibri" w:cs="Calibri"/>
        </w:rPr>
        <w:t>ä</w:t>
      </w:r>
      <w:r w:rsidRPr="006D3C5D">
        <w:rPr>
          <w:rFonts w:ascii="Calibri" w:hAnsi="Calibri" w:cs="Calibri"/>
        </w:rPr>
        <w:t>usl</w:t>
      </w:r>
      <w:r>
        <w:rPr>
          <w:rFonts w:ascii="Calibri" w:hAnsi="Calibri" w:cs="Calibri"/>
        </w:rPr>
        <w:t xml:space="preserve"> (Atlanta: SBL, 2019), 147-64. </w:t>
      </w:r>
    </w:p>
  </w:footnote>
  <w:footnote w:id="25">
    <w:p w14:paraId="46F5B7F6" w14:textId="77777777" w:rsidR="007B7018" w:rsidRPr="00807269" w:rsidRDefault="007B7018" w:rsidP="00114B96">
      <w:pPr>
        <w:pStyle w:val="FootnoteText"/>
        <w:rPr>
          <w:sz w:val="23"/>
          <w:szCs w:val="23"/>
        </w:rPr>
      </w:pPr>
      <w:r>
        <w:rPr>
          <w:rStyle w:val="FootnoteReference"/>
        </w:rPr>
        <w:footnoteRef/>
      </w:r>
      <w:r>
        <w:t xml:space="preserve"> </w:t>
      </w:r>
      <w:r w:rsidRPr="00807269">
        <w:t>Francisco O. García-Treto,</w:t>
      </w:r>
      <w:r>
        <w:rPr>
          <w:sz w:val="23"/>
          <w:szCs w:val="23"/>
        </w:rPr>
        <w:t xml:space="preserve"> </w:t>
      </w:r>
      <w:r w:rsidRPr="00807269">
        <w:t xml:space="preserve">“A Mother's Paean, </w:t>
      </w:r>
      <w:r>
        <w:t>a</w:t>
      </w:r>
      <w:r w:rsidRPr="00807269">
        <w:t xml:space="preserve"> Warrior's Dirge: Reflections </w:t>
      </w:r>
      <w:r>
        <w:t>o</w:t>
      </w:r>
      <w:r w:rsidRPr="00807269">
        <w:t xml:space="preserve">n </w:t>
      </w:r>
      <w:r>
        <w:t>t</w:t>
      </w:r>
      <w:r w:rsidRPr="00807269">
        <w:t xml:space="preserve">he Use </w:t>
      </w:r>
      <w:r>
        <w:t>o</w:t>
      </w:r>
      <w:r w:rsidRPr="00807269">
        <w:t xml:space="preserve">f Poetic Inclusions </w:t>
      </w:r>
      <w:r>
        <w:t>i</w:t>
      </w:r>
      <w:r w:rsidRPr="00807269">
        <w:t xml:space="preserve">n </w:t>
      </w:r>
      <w:r>
        <w:t>t</w:t>
      </w:r>
      <w:r w:rsidRPr="00807269">
        <w:t xml:space="preserve">he Books </w:t>
      </w:r>
      <w:r>
        <w:t>o</w:t>
      </w:r>
      <w:r w:rsidRPr="00807269">
        <w:t>f Samuel,”</w:t>
      </w:r>
      <w:r>
        <w:t xml:space="preserve"> </w:t>
      </w:r>
      <w:r>
        <w:rPr>
          <w:i/>
          <w:iCs/>
        </w:rPr>
        <w:t>Shofar</w:t>
      </w:r>
      <w:r>
        <w:t xml:space="preserve"> 11/2 (1993): 51-64 (56).</w:t>
      </w:r>
    </w:p>
  </w:footnote>
  <w:footnote w:id="26">
    <w:p w14:paraId="6BA48659" w14:textId="77777777" w:rsidR="007B7018" w:rsidRPr="00B304D2" w:rsidRDefault="007B7018" w:rsidP="00F44349">
      <w:pPr>
        <w:pStyle w:val="FootnoteText"/>
      </w:pPr>
      <w:r>
        <w:rPr>
          <w:rStyle w:val="FootnoteReference"/>
        </w:rPr>
        <w:footnoteRef/>
      </w:r>
      <w:r>
        <w:t xml:space="preserve"> Leila L. Bronner, “Hannah’s Prayer: Rabbinic Ambivalence,” </w:t>
      </w:r>
      <w:r>
        <w:rPr>
          <w:i/>
          <w:iCs/>
        </w:rPr>
        <w:t>Shofar</w:t>
      </w:r>
      <w:r>
        <w:t xml:space="preserve"> 17/2 (1999): 36-48 (43-44).</w:t>
      </w:r>
    </w:p>
  </w:footnote>
  <w:footnote w:id="27">
    <w:p w14:paraId="4D71AD7B" w14:textId="4BFB11E0" w:rsidR="007B7018" w:rsidRDefault="007B7018" w:rsidP="00CE28D0">
      <w:pPr>
        <w:pStyle w:val="FootnoteText"/>
      </w:pPr>
      <w:r>
        <w:rPr>
          <w:rStyle w:val="FootnoteReference"/>
        </w:rPr>
        <w:footnoteRef/>
      </w:r>
      <w:r>
        <w:t xml:space="preserve"> See April </w:t>
      </w:r>
      <w:r w:rsidRPr="00240808">
        <w:rPr>
          <w:rFonts w:cs="Calibri"/>
        </w:rPr>
        <w:t xml:space="preserve">Westbrook, </w:t>
      </w:r>
      <w:r w:rsidRPr="008907A3">
        <w:rPr>
          <w:rFonts w:ascii="Calibri" w:hAnsi="Calibri" w:cs="Calibri"/>
          <w:i/>
          <w:iCs/>
        </w:rPr>
        <w:t>“And He Will Take Your Daughters":</w:t>
      </w:r>
      <w:r w:rsidRPr="008907A3">
        <w:rPr>
          <w:rFonts w:cs="Calibri"/>
          <w:i/>
          <w:iCs/>
        </w:rPr>
        <w:t xml:space="preserve"> </w:t>
      </w:r>
      <w:r w:rsidRPr="008907A3">
        <w:rPr>
          <w:rFonts w:ascii="Calibri" w:hAnsi="Calibri" w:cs="Calibri"/>
          <w:i/>
          <w:iCs/>
        </w:rPr>
        <w:t>Woman Story</w:t>
      </w:r>
      <w:r>
        <w:rPr>
          <w:rFonts w:cs="Calibri"/>
          <w:i/>
          <w:iCs/>
        </w:rPr>
        <w:t xml:space="preserve"> a</w:t>
      </w:r>
      <w:r w:rsidRPr="008907A3">
        <w:rPr>
          <w:rFonts w:ascii="Calibri" w:hAnsi="Calibri" w:cs="Calibri"/>
          <w:i/>
          <w:iCs/>
        </w:rPr>
        <w:t>s Didactic Narrative</w:t>
      </w:r>
      <w:r w:rsidRPr="008907A3">
        <w:rPr>
          <w:rFonts w:cs="Calibri"/>
          <w:i/>
          <w:iCs/>
        </w:rPr>
        <w:t xml:space="preserve"> </w:t>
      </w:r>
      <w:r>
        <w:rPr>
          <w:rFonts w:cs="Calibri"/>
          <w:i/>
          <w:iCs/>
        </w:rPr>
        <w:t>i</w:t>
      </w:r>
      <w:r w:rsidRPr="008907A3">
        <w:rPr>
          <w:rFonts w:ascii="Calibri" w:hAnsi="Calibri" w:cs="Calibri"/>
          <w:i/>
          <w:iCs/>
        </w:rPr>
        <w:t xml:space="preserve">n </w:t>
      </w:r>
      <w:r>
        <w:rPr>
          <w:rFonts w:cs="Calibri"/>
          <w:i/>
          <w:iCs/>
        </w:rPr>
        <w:t>t</w:t>
      </w:r>
      <w:r w:rsidRPr="008907A3">
        <w:rPr>
          <w:rFonts w:ascii="Calibri" w:hAnsi="Calibri" w:cs="Calibri"/>
          <w:i/>
          <w:iCs/>
        </w:rPr>
        <w:t xml:space="preserve">he Biblical Account </w:t>
      </w:r>
      <w:r>
        <w:rPr>
          <w:rFonts w:cs="Calibri"/>
          <w:i/>
          <w:iCs/>
        </w:rPr>
        <w:t>o</w:t>
      </w:r>
      <w:r w:rsidRPr="008907A3">
        <w:rPr>
          <w:rFonts w:ascii="Calibri" w:hAnsi="Calibri" w:cs="Calibri"/>
          <w:i/>
          <w:iCs/>
        </w:rPr>
        <w:t>f King David</w:t>
      </w:r>
      <w:r w:rsidRPr="008907A3">
        <w:rPr>
          <w:rFonts w:cs="Calibri"/>
          <w:i/>
          <w:iCs/>
        </w:rPr>
        <w:t>.</w:t>
      </w:r>
      <w:r>
        <w:rPr>
          <w:rFonts w:cs="Calibri"/>
          <w:i/>
          <w:iCs/>
        </w:rPr>
        <w:t xml:space="preserve"> </w:t>
      </w:r>
      <w:r>
        <w:rPr>
          <w:rFonts w:cs="Calibri"/>
        </w:rPr>
        <w:t>(Diss., Claremont, 2010).</w:t>
      </w:r>
    </w:p>
  </w:footnote>
  <w:footnote w:id="28">
    <w:p w14:paraId="2F3286CD" w14:textId="0971B590" w:rsidR="007B7018" w:rsidRPr="003112B1" w:rsidRDefault="007B7018" w:rsidP="003112B1">
      <w:pPr>
        <w:pStyle w:val="FootnoteText"/>
      </w:pPr>
      <w:r>
        <w:rPr>
          <w:rStyle w:val="FootnoteReference"/>
        </w:rPr>
        <w:footnoteRef/>
      </w:r>
      <w:r>
        <w:t xml:space="preserve"> See </w:t>
      </w:r>
      <w:r w:rsidRPr="003112B1">
        <w:t xml:space="preserve">Marti J. </w:t>
      </w:r>
      <w:r w:rsidRPr="003112B1">
        <w:rPr>
          <w:rFonts w:ascii="Calibri" w:hAnsi="Calibri" w:cs="Calibri"/>
        </w:rPr>
        <w:t xml:space="preserve">Steussy, “The Problematic God of Samuel,” in </w:t>
      </w:r>
      <w:r w:rsidRPr="003112B1">
        <w:rPr>
          <w:rFonts w:ascii="Calibri" w:hAnsi="Calibri" w:cs="Calibri"/>
          <w:i/>
          <w:iCs/>
        </w:rPr>
        <w:t>Shall Not the Judge of All the</w:t>
      </w:r>
      <w:r w:rsidRPr="003112B1">
        <w:rPr>
          <w:rFonts w:cs="Calibri"/>
          <w:i/>
          <w:iCs/>
        </w:rPr>
        <w:t xml:space="preserve"> Earth Do What Is Right? Studies on the Nature of God in Tribute to James L. Crenshaw</w:t>
      </w:r>
      <w:r w:rsidRPr="003112B1">
        <w:rPr>
          <w:rFonts w:cs="Calibri"/>
        </w:rPr>
        <w:t xml:space="preserve">, ed. David </w:t>
      </w:r>
      <w:r w:rsidRPr="003112B1">
        <w:rPr>
          <w:rFonts w:ascii="Calibri" w:hAnsi="Calibri" w:cs="Calibri"/>
        </w:rPr>
        <w:t>Penchansky</w:t>
      </w:r>
      <w:r w:rsidRPr="003112B1">
        <w:rPr>
          <w:rFonts w:cs="Calibri"/>
        </w:rPr>
        <w:t xml:space="preserve"> and Paul L. </w:t>
      </w:r>
      <w:r w:rsidRPr="003112B1">
        <w:rPr>
          <w:rFonts w:ascii="Calibri" w:hAnsi="Calibri" w:cs="Calibri"/>
        </w:rPr>
        <w:t>Redditt (</w:t>
      </w:r>
      <w:r w:rsidRPr="003112B1">
        <w:rPr>
          <w:rFonts w:cs="Calibri"/>
        </w:rPr>
        <w:t>Winona Lake, IN: Eisenbrauns, 2000), 127-61.</w:t>
      </w:r>
    </w:p>
  </w:footnote>
  <w:footnote w:id="29">
    <w:p w14:paraId="6B0CE8A7" w14:textId="77777777" w:rsidR="007B7018" w:rsidRPr="000647AC" w:rsidRDefault="007B7018" w:rsidP="00E63B95">
      <w:pPr>
        <w:pStyle w:val="FootnoteText"/>
      </w:pPr>
      <w:r>
        <w:rPr>
          <w:rStyle w:val="FootnoteReference"/>
        </w:rPr>
        <w:footnoteRef/>
      </w:r>
      <w:r>
        <w:t xml:space="preserve"> Ellen F. Davis, </w:t>
      </w:r>
      <w:r>
        <w:rPr>
          <w:i/>
          <w:iCs/>
        </w:rPr>
        <w:t>Opening Israel’s Scriptures</w:t>
      </w:r>
      <w:r>
        <w:t xml:space="preserve"> (New York: Oxford University Press, 2019), 177.</w:t>
      </w:r>
    </w:p>
  </w:footnote>
  <w:footnote w:id="30">
    <w:p w14:paraId="40458AC2" w14:textId="77777777" w:rsidR="007B7018" w:rsidRDefault="007B7018" w:rsidP="00897FDE">
      <w:pPr>
        <w:pStyle w:val="FootnoteText"/>
      </w:pPr>
      <w:r>
        <w:rPr>
          <w:rStyle w:val="FootnoteReference"/>
        </w:rPr>
        <w:footnoteRef/>
      </w:r>
      <w:r>
        <w:t xml:space="preserve"> Joel </w:t>
      </w:r>
      <w:r>
        <w:rPr>
          <w:rFonts w:cs="Calibri"/>
        </w:rPr>
        <w:t xml:space="preserve">Rosenberg, “I and 2 Samuel,” in </w:t>
      </w:r>
      <w:r w:rsidRPr="006020B1">
        <w:rPr>
          <w:rFonts w:cs="Calibri"/>
        </w:rPr>
        <w:t>Robert Alter</w:t>
      </w:r>
      <w:r>
        <w:rPr>
          <w:rFonts w:cs="Calibri"/>
        </w:rPr>
        <w:t xml:space="preserve"> and </w:t>
      </w:r>
      <w:r w:rsidRPr="006020B1">
        <w:rPr>
          <w:rFonts w:cs="Calibri"/>
        </w:rPr>
        <w:t>Frank Kermode</w:t>
      </w:r>
      <w:r>
        <w:rPr>
          <w:rFonts w:cs="Calibri"/>
        </w:rPr>
        <w:t xml:space="preserve">, ed., </w:t>
      </w:r>
      <w:r w:rsidRPr="00236DDA">
        <w:rPr>
          <w:rFonts w:cs="Calibri"/>
          <w:i/>
          <w:iCs/>
        </w:rPr>
        <w:t>The</w:t>
      </w:r>
      <w:r>
        <w:rPr>
          <w:rFonts w:cs="Calibri"/>
          <w:i/>
          <w:iCs/>
        </w:rPr>
        <w:t xml:space="preserve"> </w:t>
      </w:r>
      <w:r w:rsidRPr="00236DDA">
        <w:rPr>
          <w:rFonts w:cs="Calibri"/>
          <w:i/>
          <w:iCs/>
        </w:rPr>
        <w:t>Literary Guide</w:t>
      </w:r>
      <w:r>
        <w:rPr>
          <w:rFonts w:cs="Calibri"/>
          <w:i/>
          <w:iCs/>
        </w:rPr>
        <w:t xml:space="preserve"> t</w:t>
      </w:r>
      <w:r w:rsidRPr="00236DDA">
        <w:rPr>
          <w:rFonts w:cs="Calibri"/>
          <w:i/>
          <w:iCs/>
        </w:rPr>
        <w:t xml:space="preserve">o </w:t>
      </w:r>
      <w:r>
        <w:rPr>
          <w:rFonts w:cs="Calibri"/>
          <w:i/>
          <w:iCs/>
        </w:rPr>
        <w:t>t</w:t>
      </w:r>
      <w:r w:rsidRPr="00236DDA">
        <w:rPr>
          <w:rFonts w:cs="Calibri"/>
          <w:i/>
          <w:iCs/>
        </w:rPr>
        <w:t>he Bible</w:t>
      </w:r>
      <w:r>
        <w:rPr>
          <w:rFonts w:cs="Calibri"/>
          <w:i/>
          <w:iCs/>
        </w:rPr>
        <w:t xml:space="preserve"> </w:t>
      </w:r>
      <w:r>
        <w:rPr>
          <w:rFonts w:cs="Calibri"/>
        </w:rPr>
        <w:t>(Cambridge, MA: Harvard University Press, 1987), 122-45 (123).</w:t>
      </w:r>
    </w:p>
  </w:footnote>
  <w:footnote w:id="31">
    <w:p w14:paraId="11C40270" w14:textId="7F5985A8" w:rsidR="007B7018" w:rsidRDefault="007B7018" w:rsidP="00CB21CD">
      <w:pPr>
        <w:pStyle w:val="FootnoteText"/>
      </w:pPr>
      <w:r>
        <w:rPr>
          <w:rStyle w:val="FootnoteReference"/>
        </w:rPr>
        <w:footnoteRef/>
      </w:r>
      <w:r>
        <w:t xml:space="preserve"> </w:t>
      </w:r>
      <w:r w:rsidRPr="00BA34A3">
        <w:rPr>
          <w:rFonts w:cs="Calibri"/>
        </w:rPr>
        <w:t xml:space="preserve">Eugene H. Peterson, </w:t>
      </w:r>
      <w:r w:rsidRPr="00BA34A3">
        <w:rPr>
          <w:rFonts w:cs="Calibri"/>
          <w:i/>
        </w:rPr>
        <w:t>First and Second Samuel</w:t>
      </w:r>
      <w:r w:rsidRPr="00BA34A3">
        <w:rPr>
          <w:rFonts w:cs="Calibri"/>
        </w:rPr>
        <w:t xml:space="preserve"> </w:t>
      </w:r>
      <w:r>
        <w:rPr>
          <w:rFonts w:cs="Calibri"/>
        </w:rPr>
        <w:t>(</w:t>
      </w:r>
      <w:r w:rsidRPr="00BA34A3">
        <w:rPr>
          <w:rFonts w:cs="Calibri"/>
        </w:rPr>
        <w:t>Louisville, KY: Westminster John Knox, 1999</w:t>
      </w:r>
      <w:r>
        <w:rPr>
          <w:rFonts w:cs="Calibri"/>
        </w:rPr>
        <w:t>)</w:t>
      </w:r>
      <w:r>
        <w:rPr>
          <w:rFonts w:ascii="Calibri" w:hAnsi="Calibri" w:cs="Calibri"/>
          <w:iCs/>
        </w:rPr>
        <w:t>, 21.</w:t>
      </w:r>
    </w:p>
  </w:footnote>
  <w:footnote w:id="32">
    <w:p w14:paraId="06B15269" w14:textId="77777777" w:rsidR="007B7018" w:rsidRDefault="007B7018" w:rsidP="00E2477B">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rPr>
        <w:t xml:space="preserve"> 4:</w:t>
      </w:r>
      <w:r>
        <w:t>7.</w:t>
      </w:r>
    </w:p>
  </w:footnote>
  <w:footnote w:id="33">
    <w:p w14:paraId="24090ABA" w14:textId="5C9A0994" w:rsidR="007B7018" w:rsidRPr="001E6C0C" w:rsidRDefault="007B7018" w:rsidP="00154F5C">
      <w:pPr>
        <w:pStyle w:val="FootnoteText"/>
      </w:pPr>
      <w:r>
        <w:rPr>
          <w:rStyle w:val="FootnoteReference"/>
        </w:rPr>
        <w:footnoteRef/>
      </w:r>
      <w:r>
        <w:t xml:space="preserve"> See </w:t>
      </w:r>
      <w:r w:rsidRPr="001E6C0C">
        <w:rPr>
          <w:rFonts w:cstheme="minorHAnsi"/>
        </w:rPr>
        <w:t xml:space="preserve">Carol L. </w:t>
      </w:r>
      <w:r>
        <w:rPr>
          <w:rFonts w:cstheme="minorHAnsi"/>
        </w:rPr>
        <w:t xml:space="preserve">Meyers, </w:t>
      </w:r>
      <w:r w:rsidRPr="001E6C0C">
        <w:rPr>
          <w:rFonts w:cstheme="minorHAnsi"/>
        </w:rPr>
        <w:t xml:space="preserve">“Was Ancient Israel a Patriarchal Society?” </w:t>
      </w:r>
      <w:r w:rsidRPr="001E6C0C">
        <w:rPr>
          <w:rFonts w:cstheme="minorHAnsi"/>
          <w:i/>
          <w:iCs/>
        </w:rPr>
        <w:t>JBL</w:t>
      </w:r>
      <w:r>
        <w:rPr>
          <w:rFonts w:cstheme="minorHAnsi"/>
          <w:i/>
          <w:iCs/>
        </w:rPr>
        <w:t xml:space="preserve"> </w:t>
      </w:r>
      <w:r w:rsidRPr="001E6C0C">
        <w:rPr>
          <w:rFonts w:cstheme="minorHAnsi"/>
        </w:rPr>
        <w:t>133 (2014): 8</w:t>
      </w:r>
      <w:r>
        <w:rPr>
          <w:rFonts w:cstheme="minorHAnsi"/>
        </w:rPr>
        <w:t>-</w:t>
      </w:r>
      <w:r w:rsidRPr="001E6C0C">
        <w:rPr>
          <w:rFonts w:cstheme="minorHAnsi"/>
        </w:rPr>
        <w:t>27.</w:t>
      </w:r>
    </w:p>
  </w:footnote>
  <w:footnote w:id="34">
    <w:p w14:paraId="158BD318" w14:textId="77777777" w:rsidR="007B7018" w:rsidRDefault="007B7018" w:rsidP="00104361">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rPr>
        <w:t xml:space="preserve"> 4:</w:t>
      </w:r>
      <w:r>
        <w:t>53.</w:t>
      </w:r>
    </w:p>
  </w:footnote>
  <w:footnote w:id="35">
    <w:p w14:paraId="302DFEF6" w14:textId="4F104162" w:rsidR="007B7018" w:rsidRPr="003321A8" w:rsidRDefault="007B7018" w:rsidP="00104361">
      <w:pPr>
        <w:pStyle w:val="FootnoteText"/>
      </w:pPr>
      <w:r>
        <w:rPr>
          <w:rStyle w:val="FootnoteReference"/>
        </w:rPr>
        <w:footnoteRef/>
      </w:r>
      <w:r>
        <w:t xml:space="preserve"> </w:t>
      </w:r>
      <w:r>
        <w:rPr>
          <w:i/>
          <w:iCs/>
        </w:rPr>
        <w:t>Wayi</w:t>
      </w:r>
      <w:r>
        <w:rPr>
          <w:rFonts w:cstheme="minorHAnsi"/>
          <w:i/>
          <w:iCs/>
        </w:rPr>
        <w:t>š</w:t>
      </w:r>
      <w:r>
        <w:rPr>
          <w:i/>
          <w:iCs/>
        </w:rPr>
        <w:t>ta</w:t>
      </w:r>
      <w:r>
        <w:rPr>
          <w:rFonts w:cstheme="minorHAnsi"/>
          <w:i/>
          <w:iCs/>
        </w:rPr>
        <w:t>ḥû</w:t>
      </w:r>
      <w:r>
        <w:rPr>
          <w:rFonts w:cstheme="minorHAnsi"/>
        </w:rPr>
        <w:t xml:space="preserve"> (missing in LXX and NRSV) can be understood as singular (Eli?) or plural. In v. 19 </w:t>
      </w:r>
      <w:r>
        <w:rPr>
          <w:i/>
          <w:iCs/>
        </w:rPr>
        <w:t>wayi</w:t>
      </w:r>
      <w:r>
        <w:rPr>
          <w:rFonts w:cstheme="minorHAnsi"/>
          <w:i/>
          <w:iCs/>
        </w:rPr>
        <w:t>š</w:t>
      </w:r>
      <w:r>
        <w:rPr>
          <w:i/>
          <w:iCs/>
        </w:rPr>
        <w:t>ta</w:t>
      </w:r>
      <w:r>
        <w:rPr>
          <w:rFonts w:cstheme="minorHAnsi"/>
          <w:i/>
          <w:iCs/>
        </w:rPr>
        <w:t>ḥăwû</w:t>
      </w:r>
      <w:r>
        <w:rPr>
          <w:rFonts w:cstheme="minorHAnsi"/>
        </w:rPr>
        <w:t xml:space="preserve"> was unambiguous, but Vg and Syr have a plural here and for the plural at Gen 43:28 K has </w:t>
      </w:r>
      <w:r>
        <w:rPr>
          <w:i/>
          <w:iCs/>
        </w:rPr>
        <w:t>wy</w:t>
      </w:r>
      <w:r>
        <w:rPr>
          <w:rFonts w:cstheme="minorHAnsi"/>
          <w:i/>
          <w:iCs/>
        </w:rPr>
        <w:t>š</w:t>
      </w:r>
      <w:r>
        <w:rPr>
          <w:i/>
          <w:iCs/>
        </w:rPr>
        <w:t>t</w:t>
      </w:r>
      <w:r>
        <w:rPr>
          <w:rFonts w:cstheme="minorHAnsi"/>
          <w:i/>
          <w:iCs/>
        </w:rPr>
        <w:t xml:space="preserve">ḥw </w:t>
      </w:r>
      <w:r>
        <w:rPr>
          <w:rFonts w:cstheme="minorHAnsi"/>
        </w:rPr>
        <w:t xml:space="preserve">and Q </w:t>
      </w:r>
      <w:r>
        <w:rPr>
          <w:i/>
          <w:iCs/>
        </w:rPr>
        <w:t>wayi</w:t>
      </w:r>
      <w:r>
        <w:rPr>
          <w:rFonts w:cstheme="minorHAnsi"/>
          <w:i/>
          <w:iCs/>
        </w:rPr>
        <w:t>š</w:t>
      </w:r>
      <w:r>
        <w:rPr>
          <w:i/>
          <w:iCs/>
        </w:rPr>
        <w:t>ta</w:t>
      </w:r>
      <w:r>
        <w:rPr>
          <w:rFonts w:cstheme="minorHAnsi"/>
          <w:i/>
          <w:iCs/>
        </w:rPr>
        <w:t>ḥăwû</w:t>
      </w:r>
      <w:r>
        <w:rPr>
          <w:rFonts w:cstheme="minorHAnsi"/>
        </w:rPr>
        <w:t>. Tg has singular.</w:t>
      </w:r>
    </w:p>
  </w:footnote>
  <w:footnote w:id="36">
    <w:p w14:paraId="7FCFE71C" w14:textId="77777777" w:rsidR="007B7018" w:rsidRDefault="007B7018" w:rsidP="000871AA">
      <w:pPr>
        <w:pStyle w:val="FootnoteText"/>
      </w:pPr>
      <w:r>
        <w:rPr>
          <w:rStyle w:val="FootnoteReference"/>
        </w:rPr>
        <w:footnoteRef/>
      </w:r>
      <w:r>
        <w:t xml:space="preserve"> </w:t>
      </w:r>
      <w:r>
        <w:rPr>
          <w:rFonts w:cs="Calibri"/>
        </w:rPr>
        <w:t xml:space="preserve">Robert </w:t>
      </w:r>
      <w:r w:rsidRPr="00BA34A3">
        <w:rPr>
          <w:rFonts w:cs="Calibri"/>
        </w:rPr>
        <w:t xml:space="preserve">Alter, </w:t>
      </w:r>
      <w:r>
        <w:rPr>
          <w:rFonts w:cs="Calibri"/>
          <w:i/>
          <w:iCs/>
        </w:rPr>
        <w:t>The Art of Biblical Narrative</w:t>
      </w:r>
      <w:r>
        <w:rPr>
          <w:rFonts w:cs="Calibri"/>
        </w:rPr>
        <w:t xml:space="preserve"> (revised ed., New York: Bantam, 2011), chapter 4.</w:t>
      </w:r>
    </w:p>
  </w:footnote>
  <w:footnote w:id="37">
    <w:p w14:paraId="7F2CE8B6" w14:textId="5392B6CF" w:rsidR="007B7018" w:rsidRPr="002E7330" w:rsidRDefault="007B7018" w:rsidP="00724FEA">
      <w:pPr>
        <w:pStyle w:val="FootnoteText"/>
        <w:rPr>
          <w:rFonts w:cstheme="minorHAnsi"/>
        </w:rPr>
      </w:pPr>
      <w:r>
        <w:rPr>
          <w:rStyle w:val="FootnoteReference"/>
        </w:rPr>
        <w:footnoteRef/>
      </w:r>
      <w:r>
        <w:t xml:space="preserve"> </w:t>
      </w:r>
      <w:r w:rsidRPr="002E7330">
        <w:rPr>
          <w:rFonts w:cstheme="minorHAnsi"/>
        </w:rPr>
        <w:t>Koowon</w:t>
      </w:r>
      <w:r>
        <w:rPr>
          <w:rFonts w:cstheme="minorHAnsi"/>
        </w:rPr>
        <w:t xml:space="preserve"> Kim,</w:t>
      </w:r>
      <w:r w:rsidRPr="002E7330">
        <w:rPr>
          <w:rFonts w:cstheme="minorHAnsi"/>
        </w:rPr>
        <w:t xml:space="preserve"> </w:t>
      </w:r>
      <w:r w:rsidRPr="002E7330">
        <w:rPr>
          <w:rFonts w:cstheme="minorHAnsi"/>
          <w:i/>
          <w:iCs/>
        </w:rPr>
        <w:t>Incubation as a Type-scene in the Aqhatu, Kirta, and Hannah Stories</w:t>
      </w:r>
      <w:r>
        <w:rPr>
          <w:rFonts w:cstheme="minorHAnsi"/>
        </w:rPr>
        <w:t>, VTSup 145</w:t>
      </w:r>
      <w:r w:rsidRPr="002E7330">
        <w:rPr>
          <w:rFonts w:cstheme="minorHAnsi"/>
        </w:rPr>
        <w:t xml:space="preserve"> </w:t>
      </w:r>
      <w:r>
        <w:rPr>
          <w:rFonts w:cstheme="minorHAnsi"/>
        </w:rPr>
        <w:t>(Leiden: Brill, 2011), 279.</w:t>
      </w:r>
    </w:p>
  </w:footnote>
  <w:footnote w:id="38">
    <w:p w14:paraId="0D3CB6E5" w14:textId="1DFE7E97" w:rsidR="007B7018" w:rsidRPr="00CE21D5" w:rsidRDefault="007B7018" w:rsidP="00547385">
      <w:pPr>
        <w:pStyle w:val="FootnoteText"/>
      </w:pPr>
      <w:r>
        <w:rPr>
          <w:rStyle w:val="FootnoteReference"/>
        </w:rPr>
        <w:footnoteRef/>
      </w:r>
      <w:r>
        <w:t xml:space="preserve"> David </w:t>
      </w:r>
      <w:r w:rsidRPr="00BA34A3">
        <w:rPr>
          <w:rFonts w:cs="Calibri"/>
        </w:rPr>
        <w:t xml:space="preserve">Jobling, </w:t>
      </w:r>
      <w:r w:rsidRPr="00BA34A3">
        <w:rPr>
          <w:rFonts w:cs="Calibri"/>
          <w:i/>
        </w:rPr>
        <w:t>1 Samuel</w:t>
      </w:r>
      <w:r>
        <w:rPr>
          <w:rFonts w:cs="Calibri"/>
        </w:rPr>
        <w:t>, Berit Olam: Studies in Hebrew Narrative and Poetry (</w:t>
      </w:r>
      <w:r w:rsidRPr="00BA34A3">
        <w:rPr>
          <w:rFonts w:cs="Calibri"/>
        </w:rPr>
        <w:t>Collegeville, MN: Liturgical, 1998</w:t>
      </w:r>
      <w:r>
        <w:rPr>
          <w:rFonts w:cs="Calibri"/>
        </w:rPr>
        <w:t xml:space="preserve">), </w:t>
      </w:r>
      <w:r>
        <w:t>182.</w:t>
      </w:r>
    </w:p>
  </w:footnote>
  <w:footnote w:id="39">
    <w:p w14:paraId="5F50FE71" w14:textId="0BE5206F" w:rsidR="007B7018" w:rsidRDefault="007B7018" w:rsidP="00793017">
      <w:pPr>
        <w:pStyle w:val="FootnoteText"/>
      </w:pPr>
      <w:r>
        <w:rPr>
          <w:rStyle w:val="FootnoteReference"/>
        </w:rPr>
        <w:footnoteRef/>
      </w:r>
      <w:r>
        <w:t xml:space="preserve"> </w:t>
      </w:r>
      <w:r>
        <w:rPr>
          <w:rFonts w:cs="Calibri"/>
          <w:bCs/>
          <w:lang w:bidi="he-IL"/>
        </w:rPr>
        <w:t>Murphy,</w:t>
      </w:r>
      <w:r w:rsidRPr="00BA34A3">
        <w:rPr>
          <w:rFonts w:cs="Calibri"/>
          <w:bCs/>
          <w:lang w:bidi="he-IL"/>
        </w:rPr>
        <w:t xml:space="preserve"> </w:t>
      </w:r>
      <w:r w:rsidRPr="00BA34A3">
        <w:rPr>
          <w:rFonts w:cs="Calibri"/>
          <w:bCs/>
          <w:i/>
          <w:lang w:bidi="he-IL"/>
        </w:rPr>
        <w:t>1 Samuel</w:t>
      </w:r>
      <w:r>
        <w:t>, 7.</w:t>
      </w:r>
    </w:p>
  </w:footnote>
  <w:footnote w:id="40">
    <w:p w14:paraId="76531F63" w14:textId="77777777" w:rsidR="007B7018" w:rsidRPr="005767FE" w:rsidRDefault="007B7018" w:rsidP="00C70EA6">
      <w:pPr>
        <w:pStyle w:val="FootnoteText"/>
        <w:rPr>
          <w:rFonts w:cstheme="minorHAnsi"/>
        </w:rPr>
      </w:pPr>
      <w:r>
        <w:rPr>
          <w:rStyle w:val="FootnoteReference"/>
        </w:rPr>
        <w:footnoteRef/>
      </w:r>
      <w:r>
        <w:t xml:space="preserve"> </w:t>
      </w:r>
      <w:r w:rsidRPr="005767FE">
        <w:rPr>
          <w:rFonts w:cstheme="minorHAnsi"/>
        </w:rPr>
        <w:t>Solomon O. Ademiluka,</w:t>
      </w:r>
      <w:r>
        <w:rPr>
          <w:rFonts w:cstheme="minorHAnsi"/>
        </w:rPr>
        <w:t xml:space="preserve"> “</w:t>
      </w:r>
      <w:r w:rsidRPr="005767FE">
        <w:rPr>
          <w:rFonts w:cstheme="minorHAnsi"/>
        </w:rPr>
        <w:t xml:space="preserve">Interpreting the Hannah </w:t>
      </w:r>
      <w:r>
        <w:rPr>
          <w:rFonts w:cstheme="minorHAnsi"/>
        </w:rPr>
        <w:t>N</w:t>
      </w:r>
      <w:r w:rsidRPr="005767FE">
        <w:rPr>
          <w:rFonts w:cstheme="minorHAnsi"/>
        </w:rPr>
        <w:t>arrative (1 Sm 1:1–20)</w:t>
      </w:r>
      <w:r>
        <w:rPr>
          <w:rFonts w:cstheme="minorHAnsi"/>
        </w:rPr>
        <w:t xml:space="preserve"> </w:t>
      </w:r>
      <w:r w:rsidRPr="005767FE">
        <w:rPr>
          <w:rFonts w:cstheme="minorHAnsi"/>
        </w:rPr>
        <w:t xml:space="preserve">in </w:t>
      </w:r>
      <w:r>
        <w:rPr>
          <w:rFonts w:cstheme="minorHAnsi"/>
        </w:rPr>
        <w:t>L</w:t>
      </w:r>
      <w:r w:rsidRPr="005767FE">
        <w:rPr>
          <w:rFonts w:cstheme="minorHAnsi"/>
        </w:rPr>
        <w:t xml:space="preserve">ight of the </w:t>
      </w:r>
      <w:r>
        <w:rPr>
          <w:rFonts w:cstheme="minorHAnsi"/>
        </w:rPr>
        <w:t>A</w:t>
      </w:r>
      <w:r w:rsidRPr="005767FE">
        <w:rPr>
          <w:rFonts w:cstheme="minorHAnsi"/>
        </w:rPr>
        <w:t xml:space="preserve">ttitude of the </w:t>
      </w:r>
      <w:r>
        <w:rPr>
          <w:rFonts w:cstheme="minorHAnsi"/>
        </w:rPr>
        <w:t>C</w:t>
      </w:r>
      <w:r w:rsidRPr="005767FE">
        <w:rPr>
          <w:rFonts w:cstheme="minorHAnsi"/>
        </w:rPr>
        <w:t>hurch in</w:t>
      </w:r>
      <w:r>
        <w:rPr>
          <w:rFonts w:cstheme="minorHAnsi"/>
        </w:rPr>
        <w:t xml:space="preserve"> </w:t>
      </w:r>
      <w:r w:rsidRPr="005767FE">
        <w:rPr>
          <w:rFonts w:cstheme="minorHAnsi"/>
        </w:rPr>
        <w:t xml:space="preserve">Nigeria towards </w:t>
      </w:r>
      <w:r>
        <w:rPr>
          <w:rFonts w:cstheme="minorHAnsi"/>
        </w:rPr>
        <w:t>C</w:t>
      </w:r>
      <w:r w:rsidRPr="005767FE">
        <w:rPr>
          <w:rFonts w:cstheme="minorHAnsi"/>
        </w:rPr>
        <w:t>hildlessness</w:t>
      </w:r>
      <w:r>
        <w:rPr>
          <w:rFonts w:cstheme="minorHAnsi"/>
        </w:rPr>
        <w:t xml:space="preserve">,” </w:t>
      </w:r>
      <w:r>
        <w:rPr>
          <w:rFonts w:cstheme="minorHAnsi"/>
          <w:i/>
          <w:iCs/>
        </w:rPr>
        <w:t xml:space="preserve">Verbum et Ecclesia </w:t>
      </w:r>
      <w:r>
        <w:rPr>
          <w:rFonts w:cstheme="minorHAnsi"/>
        </w:rPr>
        <w:t>40/1 (2019): 1-10 (4-5).</w:t>
      </w:r>
    </w:p>
  </w:footnote>
  <w:footnote w:id="41">
    <w:p w14:paraId="0093A6FE" w14:textId="77777777" w:rsidR="007B7018" w:rsidRPr="00AB6524" w:rsidRDefault="007B7018" w:rsidP="00B6090E">
      <w:pPr>
        <w:pStyle w:val="FootnoteText"/>
      </w:pPr>
      <w:r>
        <w:rPr>
          <w:rStyle w:val="FootnoteReference"/>
        </w:rPr>
        <w:footnoteRef/>
      </w:r>
      <w:r>
        <w:t xml:space="preserve"> </w:t>
      </w:r>
      <w:r w:rsidRPr="00AB6524">
        <w:rPr>
          <w:rFonts w:eastAsia="Times New Roman" w:cs="Calibri"/>
        </w:rPr>
        <w:t xml:space="preserve">Johanna W. H. van </w:t>
      </w:r>
      <w:r w:rsidRPr="00AB6524">
        <w:t xml:space="preserve">Wijk-bos, </w:t>
      </w:r>
      <w:r w:rsidRPr="00AB6524">
        <w:rPr>
          <w:rFonts w:eastAsia="Times New Roman" w:cs="Calibri"/>
          <w:i/>
          <w:iCs/>
        </w:rPr>
        <w:t>A People and a Land 2: The Road to Kingship</w:t>
      </w:r>
      <w:r w:rsidRPr="00AB6524">
        <w:rPr>
          <w:rFonts w:eastAsia="Times New Roman" w:cs="Calibri"/>
        </w:rPr>
        <w:t xml:space="preserve"> (Grand Rapids: Eerdmans, 2020), </w:t>
      </w:r>
      <w:r w:rsidRPr="00AB6524">
        <w:t>26.</w:t>
      </w:r>
    </w:p>
  </w:footnote>
  <w:footnote w:id="42">
    <w:p w14:paraId="053B4588" w14:textId="142C8DAC" w:rsidR="007B7018" w:rsidRPr="005C0F9B" w:rsidRDefault="007B7018" w:rsidP="00D513E2">
      <w:pPr>
        <w:pStyle w:val="FootnoteText"/>
        <w:rPr>
          <w:iCs/>
        </w:rPr>
      </w:pPr>
      <w:r>
        <w:rPr>
          <w:rStyle w:val="FootnoteReference"/>
        </w:rPr>
        <w:footnoteRef/>
      </w:r>
      <w:r>
        <w:t xml:space="preserve"> Peterson, </w:t>
      </w:r>
      <w:r w:rsidRPr="00BA34A3">
        <w:rPr>
          <w:rFonts w:ascii="Calibri" w:hAnsi="Calibri" w:cs="Calibri"/>
          <w:i/>
        </w:rPr>
        <w:t>First and Second Samuel</w:t>
      </w:r>
      <w:r>
        <w:rPr>
          <w:rFonts w:ascii="Calibri" w:hAnsi="Calibri" w:cs="Calibri"/>
          <w:iCs/>
        </w:rPr>
        <w:t>, 9.</w:t>
      </w:r>
    </w:p>
  </w:footnote>
  <w:footnote w:id="43">
    <w:p w14:paraId="52147EAF" w14:textId="77777777" w:rsidR="007B7018" w:rsidRPr="00FB39EE" w:rsidRDefault="007B7018" w:rsidP="00D513E2">
      <w:pPr>
        <w:pStyle w:val="FootnoteText"/>
      </w:pPr>
      <w:r>
        <w:rPr>
          <w:rStyle w:val="FootnoteReference"/>
        </w:rPr>
        <w:footnoteRef/>
      </w:r>
      <w:r>
        <w:t xml:space="preserve"> Murphy, </w:t>
      </w:r>
      <w:r>
        <w:rPr>
          <w:i/>
          <w:iCs/>
        </w:rPr>
        <w:t>1 Samuel</w:t>
      </w:r>
      <w:r>
        <w:t>, 16.</w:t>
      </w:r>
    </w:p>
  </w:footnote>
  <w:footnote w:id="44">
    <w:p w14:paraId="05FC539C" w14:textId="5C5FE80B" w:rsidR="007B7018" w:rsidRPr="00A76973" w:rsidRDefault="007B7018" w:rsidP="00A544B5">
      <w:pPr>
        <w:pStyle w:val="FootnoteText"/>
      </w:pPr>
      <w:r>
        <w:rPr>
          <w:rStyle w:val="FootnoteReference"/>
        </w:rPr>
        <w:footnoteRef/>
      </w:r>
      <w:r>
        <w:t xml:space="preserve"> Yung Suk Kim, </w:t>
      </w:r>
      <w:r w:rsidRPr="00A76973">
        <w:rPr>
          <w:rFonts w:ascii="Calibri" w:hAnsi="Calibri" w:cs="Calibri"/>
        </w:rPr>
        <w:t>“The Story of Hannah (1 Sam 1:1</w:t>
      </w:r>
      <w:r>
        <w:rPr>
          <w:rFonts w:ascii="Calibri" w:hAnsi="Calibri" w:cs="Calibri"/>
        </w:rPr>
        <w:t xml:space="preserve"> </w:t>
      </w:r>
      <w:r w:rsidRPr="00A76973">
        <w:rPr>
          <w:rFonts w:ascii="Calibri" w:hAnsi="Calibri" w:cs="Calibri"/>
        </w:rPr>
        <w:t>–</w:t>
      </w:r>
      <w:r>
        <w:rPr>
          <w:rFonts w:ascii="Calibri" w:hAnsi="Calibri" w:cs="Calibri"/>
        </w:rPr>
        <w:t xml:space="preserve"> </w:t>
      </w:r>
      <w:r w:rsidRPr="00A76973">
        <w:rPr>
          <w:rFonts w:ascii="Calibri" w:hAnsi="Calibri" w:cs="Calibri"/>
        </w:rPr>
        <w:t xml:space="preserve">2:11) from a Perspective of </w:t>
      </w:r>
      <w:r w:rsidRPr="00A76973">
        <w:rPr>
          <w:rFonts w:ascii="Calibri" w:hAnsi="Calibri" w:cs="Calibri"/>
          <w:i/>
          <w:iCs/>
        </w:rPr>
        <w:t>Han</w:t>
      </w:r>
      <w:r w:rsidRPr="00A76973">
        <w:rPr>
          <w:rFonts w:ascii="Calibri" w:hAnsi="Calibri" w:cs="Calibri"/>
        </w:rPr>
        <w:t>,”</w:t>
      </w:r>
      <w:r>
        <w:rPr>
          <w:rFonts w:ascii="Calibri" w:hAnsi="Calibri" w:cs="Calibri"/>
        </w:rPr>
        <w:t xml:space="preserve"> </w:t>
      </w:r>
      <w:r w:rsidRPr="00A76973">
        <w:rPr>
          <w:rFonts w:ascii="Calibri" w:hAnsi="Calibri" w:cs="Calibri"/>
          <w:i/>
          <w:iCs/>
        </w:rPr>
        <w:t xml:space="preserve">The Bible and Critical Theory </w:t>
      </w:r>
      <w:r w:rsidRPr="00A76973">
        <w:rPr>
          <w:rFonts w:ascii="Calibri" w:hAnsi="Calibri" w:cs="Calibri"/>
        </w:rPr>
        <w:t>4/2 (2008): 26.1</w:t>
      </w:r>
      <w:r>
        <w:rPr>
          <w:rFonts w:ascii="Calibri" w:hAnsi="Calibri" w:cs="Calibri"/>
        </w:rPr>
        <w:t>-</w:t>
      </w:r>
      <w:r w:rsidRPr="00A76973">
        <w:rPr>
          <w:rFonts w:ascii="Calibri" w:hAnsi="Calibri" w:cs="Calibri"/>
        </w:rPr>
        <w:t>9</w:t>
      </w:r>
      <w:r>
        <w:rPr>
          <w:rFonts w:ascii="Calibri" w:hAnsi="Calibri" w:cs="Calibri"/>
        </w:rPr>
        <w:t xml:space="preserve"> (26.1, 2).</w:t>
      </w:r>
    </w:p>
  </w:footnote>
  <w:footnote w:id="45">
    <w:p w14:paraId="168BFF8C" w14:textId="55AB11C3" w:rsidR="007B7018" w:rsidRPr="00B6420E" w:rsidRDefault="007B7018">
      <w:pPr>
        <w:pStyle w:val="FootnoteText"/>
        <w:rPr>
          <w:i/>
          <w:iCs/>
        </w:rPr>
      </w:pPr>
      <w:r>
        <w:rPr>
          <w:rStyle w:val="FootnoteReference"/>
        </w:rPr>
        <w:footnoteRef/>
      </w:r>
      <w:r>
        <w:t xml:space="preserve"> Joan E. Cook,</w:t>
      </w:r>
      <w:r>
        <w:rPr>
          <w:rStyle w:val="fn"/>
        </w:rPr>
        <w:t xml:space="preserve"> </w:t>
      </w:r>
      <w:r>
        <w:rPr>
          <w:rStyle w:val="fn"/>
          <w:i/>
          <w:iCs/>
        </w:rPr>
        <w:t>Hannah’s Desire, God’s Design: Early Interpretations of the Story of Hannah</w:t>
      </w:r>
      <w:r>
        <w:rPr>
          <w:rStyle w:val="fn"/>
        </w:rPr>
        <w:t>, JSOTSup 282 (Sheffield: Sheffield Academic, 1999), 49-51.</w:t>
      </w:r>
    </w:p>
  </w:footnote>
  <w:footnote w:id="46">
    <w:p w14:paraId="5F15F390" w14:textId="38C9C5C8" w:rsidR="007B7018" w:rsidRDefault="007B7018" w:rsidP="00FE01BF">
      <w:pPr>
        <w:pStyle w:val="FootnoteText"/>
      </w:pPr>
      <w:r>
        <w:rPr>
          <w:rStyle w:val="FootnoteReference"/>
        </w:rPr>
        <w:footnoteRef/>
      </w:r>
      <w:r>
        <w:t xml:space="preserve"> Jean </w:t>
      </w:r>
      <w:r w:rsidRPr="00CC06F8">
        <w:rPr>
          <w:rFonts w:eastAsia="SabonMTPro-Regular" w:cstheme="minorHAnsi"/>
        </w:rPr>
        <w:t xml:space="preserve">Vanier, </w:t>
      </w:r>
      <w:r w:rsidRPr="00CC06F8">
        <w:rPr>
          <w:rFonts w:eastAsia="SabonMTPro-Italic" w:cstheme="minorHAnsi"/>
          <w:i/>
          <w:iCs/>
        </w:rPr>
        <w:t xml:space="preserve">Man and Woman He Made Them </w:t>
      </w:r>
      <w:r w:rsidRPr="00CC06F8">
        <w:rPr>
          <w:rFonts w:eastAsia="SabonMTPro-Italic" w:cstheme="minorHAnsi"/>
        </w:rPr>
        <w:t>(London: DLT, 1985)</w:t>
      </w:r>
      <w:r w:rsidRPr="00CC06F8">
        <w:rPr>
          <w:rFonts w:eastAsia="SabonMTPro-Regular" w:cstheme="minorHAnsi"/>
        </w:rPr>
        <w:t>, 141.</w:t>
      </w:r>
    </w:p>
  </w:footnote>
  <w:footnote w:id="47">
    <w:p w14:paraId="24E9DC7E" w14:textId="29D37371" w:rsidR="007B7018" w:rsidRDefault="007B7018" w:rsidP="00F762AF">
      <w:pPr>
        <w:pStyle w:val="FootnoteText"/>
      </w:pPr>
      <w:r>
        <w:rPr>
          <w:rStyle w:val="FootnoteReference"/>
        </w:rPr>
        <w:footnoteRef/>
      </w:r>
      <w:r>
        <w:t xml:space="preserve"> See Yairah Amit, “‘Am I Not More Devoted to You Than Ten Sons?’ (1 Samuel 1.8): Male and Female Interpretations,” in Athalya </w:t>
      </w:r>
      <w:r w:rsidRPr="001F52A8">
        <w:rPr>
          <w:rFonts w:cs="Calibri"/>
        </w:rPr>
        <w:t>Brenner, ed.</w:t>
      </w:r>
      <w:r>
        <w:rPr>
          <w:rFonts w:cs="Calibri"/>
        </w:rPr>
        <w:t>,</w:t>
      </w:r>
      <w:r w:rsidRPr="001F52A8">
        <w:rPr>
          <w:rFonts w:cs="Calibri"/>
        </w:rPr>
        <w:t xml:space="preserve"> </w:t>
      </w:r>
      <w:r w:rsidRPr="001F52A8">
        <w:rPr>
          <w:rFonts w:cs="Calibri"/>
          <w:i/>
        </w:rPr>
        <w:t>A Feminist Companion to Samuel-Kings</w:t>
      </w:r>
      <w:r w:rsidRPr="001F52A8">
        <w:rPr>
          <w:rFonts w:cs="Calibri"/>
        </w:rPr>
        <w:t xml:space="preserve"> </w:t>
      </w:r>
      <w:r>
        <w:rPr>
          <w:rFonts w:cs="Calibri"/>
        </w:rPr>
        <w:t>(</w:t>
      </w:r>
      <w:r w:rsidRPr="001F52A8">
        <w:rPr>
          <w:rFonts w:cs="Calibri"/>
        </w:rPr>
        <w:t>Sheffield: Sheffield Academic, 1994</w:t>
      </w:r>
      <w:r>
        <w:rPr>
          <w:rFonts w:cs="Calibri"/>
        </w:rPr>
        <w:t xml:space="preserve">), 68-76. </w:t>
      </w:r>
    </w:p>
  </w:footnote>
  <w:footnote w:id="48">
    <w:p w14:paraId="5705573D" w14:textId="77777777" w:rsidR="007B7018" w:rsidRDefault="007B7018" w:rsidP="003E4DFB">
      <w:pPr>
        <w:pStyle w:val="FootnoteText"/>
      </w:pPr>
      <w:r>
        <w:rPr>
          <w:rStyle w:val="FootnoteReference"/>
        </w:rPr>
        <w:footnoteRef/>
      </w:r>
      <w:r>
        <w:t xml:space="preserve"> Kim, </w:t>
      </w:r>
      <w:r w:rsidRPr="002E7330">
        <w:rPr>
          <w:rFonts w:cstheme="minorHAnsi"/>
          <w:i/>
          <w:iCs/>
        </w:rPr>
        <w:t>Incubation</w:t>
      </w:r>
      <w:r>
        <w:rPr>
          <w:rFonts w:cstheme="minorHAnsi"/>
        </w:rPr>
        <w:t>,</w:t>
      </w:r>
      <w:r w:rsidRPr="002E7330">
        <w:rPr>
          <w:rFonts w:cstheme="minorHAnsi"/>
          <w:i/>
          <w:iCs/>
        </w:rPr>
        <w:t xml:space="preserve"> </w:t>
      </w:r>
      <w:r>
        <w:t>299.</w:t>
      </w:r>
    </w:p>
  </w:footnote>
  <w:footnote w:id="49">
    <w:p w14:paraId="01DD7BF9" w14:textId="0B86B8AA" w:rsidR="007B7018" w:rsidRDefault="007B7018" w:rsidP="00904121">
      <w:pPr>
        <w:pStyle w:val="FootnoteText"/>
      </w:pPr>
      <w:r>
        <w:rPr>
          <w:rStyle w:val="FootnoteReference"/>
        </w:rPr>
        <w:footnoteRef/>
      </w:r>
      <w:r>
        <w:t xml:space="preserve"> Barbara Green, </w:t>
      </w:r>
      <w:r>
        <w:rPr>
          <w:rFonts w:cs="Calibri"/>
          <w:i/>
          <w:iCs/>
        </w:rPr>
        <w:t>How Are the Mighty Fallen</w:t>
      </w:r>
      <w:r w:rsidRPr="0070797F">
        <w:rPr>
          <w:rFonts w:cs="Calibri"/>
          <w:i/>
          <w:iCs/>
        </w:rPr>
        <w:t xml:space="preserve">: </w:t>
      </w:r>
      <w:r w:rsidRPr="0070797F">
        <w:rPr>
          <w:rFonts w:cstheme="minorHAnsi"/>
          <w:i/>
          <w:iCs/>
        </w:rPr>
        <w:t>A Dialogical Study of</w:t>
      </w:r>
      <w:r>
        <w:rPr>
          <w:rFonts w:cstheme="minorHAnsi"/>
          <w:i/>
          <w:iCs/>
        </w:rPr>
        <w:t xml:space="preserve"> </w:t>
      </w:r>
      <w:r w:rsidRPr="0099245F">
        <w:rPr>
          <w:rFonts w:cstheme="minorHAnsi"/>
          <w:i/>
          <w:iCs/>
        </w:rPr>
        <w:t>King Saul in 1 Samuel</w:t>
      </w:r>
      <w:r>
        <w:rPr>
          <w:rFonts w:cstheme="minorHAnsi"/>
        </w:rPr>
        <w:t xml:space="preserve">, </w:t>
      </w:r>
      <w:r w:rsidRPr="0099245F">
        <w:rPr>
          <w:rFonts w:cstheme="minorHAnsi"/>
        </w:rPr>
        <w:t>JSOTSup</w:t>
      </w:r>
      <w:r w:rsidRPr="0099245F">
        <w:rPr>
          <w:rFonts w:cs="Calibri"/>
        </w:rPr>
        <w:t xml:space="preserve"> 365 </w:t>
      </w:r>
      <w:r>
        <w:rPr>
          <w:rFonts w:cs="Calibri"/>
        </w:rPr>
        <w:t>(London: Sheffield Academic, 2003), 100.</w:t>
      </w:r>
    </w:p>
  </w:footnote>
  <w:footnote w:id="50">
    <w:p w14:paraId="312F125B" w14:textId="2022CCF9" w:rsidR="007B7018" w:rsidRPr="00C9711E" w:rsidRDefault="007B7018" w:rsidP="002A7A8B">
      <w:pPr>
        <w:pStyle w:val="FootnoteText"/>
        <w:rPr>
          <w:rFonts w:ascii="Calibri" w:hAnsi="Calibri" w:cs="Calibri"/>
        </w:rPr>
      </w:pPr>
      <w:r>
        <w:rPr>
          <w:rStyle w:val="FootnoteReference"/>
        </w:rPr>
        <w:footnoteRef/>
      </w:r>
      <w:r>
        <w:t xml:space="preserve"> </w:t>
      </w:r>
      <w:r w:rsidRPr="00C9711E">
        <w:rPr>
          <w:rFonts w:ascii="Calibri" w:hAnsi="Calibri" w:cs="Calibri"/>
        </w:rPr>
        <w:t xml:space="preserve">Johannes Bugenhagen, </w:t>
      </w:r>
      <w:r w:rsidRPr="00C9711E">
        <w:rPr>
          <w:rFonts w:ascii="Calibri" w:hAnsi="Calibri" w:cs="Calibri"/>
          <w:i/>
          <w:iCs/>
          <w:color w:val="000000"/>
          <w:shd w:val="clear" w:color="auto" w:fill="FFFFFF"/>
        </w:rPr>
        <w:t>Annotationes</w:t>
      </w:r>
      <w:r>
        <w:rPr>
          <w:rFonts w:ascii="Calibri" w:hAnsi="Calibri" w:cs="Calibri"/>
          <w:i/>
          <w:iCs/>
          <w:color w:val="000000"/>
          <w:shd w:val="clear" w:color="auto" w:fill="FFFFFF"/>
        </w:rPr>
        <w:t xml:space="preserve"> . . .</w:t>
      </w:r>
      <w:r w:rsidRPr="00C9711E">
        <w:rPr>
          <w:rFonts w:ascii="Calibri" w:hAnsi="Calibri" w:cs="Calibri"/>
          <w:i/>
          <w:iCs/>
          <w:color w:val="000000"/>
          <w:shd w:val="clear" w:color="auto" w:fill="FFFFFF"/>
        </w:rPr>
        <w:t xml:space="preserve"> in Deuteronomium</w:t>
      </w:r>
      <w:r>
        <w:rPr>
          <w:rFonts w:ascii="Calibri" w:hAnsi="Calibri" w:cs="Calibri"/>
          <w:i/>
          <w:iCs/>
          <w:color w:val="000000"/>
          <w:shd w:val="clear" w:color="auto" w:fill="FFFFFF"/>
        </w:rPr>
        <w:t>. I</w:t>
      </w:r>
      <w:r w:rsidRPr="00C9711E">
        <w:rPr>
          <w:rFonts w:ascii="Calibri" w:hAnsi="Calibri" w:cs="Calibri"/>
          <w:i/>
          <w:iCs/>
          <w:color w:val="000000"/>
          <w:shd w:val="clear" w:color="auto" w:fill="FFFFFF"/>
        </w:rPr>
        <w:t>n Samuelem prophetam, id est, duos libros Regum</w:t>
      </w:r>
      <w:r>
        <w:rPr>
          <w:rFonts w:cs="Calibri"/>
          <w:color w:val="000000"/>
          <w:shd w:val="clear" w:color="auto" w:fill="FFFFFF"/>
        </w:rPr>
        <w:t xml:space="preserve"> (Nuremberg: Petri, 1524), </w:t>
      </w:r>
      <w:r w:rsidRPr="00C9711E">
        <w:rPr>
          <w:rFonts w:ascii="Calibri" w:hAnsi="Calibri" w:cs="Calibri"/>
        </w:rPr>
        <w:t>187</w:t>
      </w:r>
      <w:r>
        <w:rPr>
          <w:rFonts w:ascii="Calibri" w:hAnsi="Calibri" w:cs="Calibri"/>
        </w:rPr>
        <w:t>, as translated in</w:t>
      </w:r>
      <w:r w:rsidRPr="00C9711E">
        <w:rPr>
          <w:rFonts w:ascii="Calibri" w:hAnsi="Calibri" w:cs="Calibri"/>
        </w:rPr>
        <w:t xml:space="preserve"> </w:t>
      </w:r>
      <w:r>
        <w:rPr>
          <w:rFonts w:eastAsia="AJensonPro-It" w:cstheme="minorHAnsi"/>
        </w:rPr>
        <w:t>Derek</w:t>
      </w:r>
      <w:r w:rsidRPr="00915DD7">
        <w:rPr>
          <w:rFonts w:eastAsia="AJensonPro-It" w:cstheme="minorHAnsi"/>
        </w:rPr>
        <w:t xml:space="preserve"> </w:t>
      </w:r>
      <w:r w:rsidRPr="00915DD7">
        <w:rPr>
          <w:rFonts w:cstheme="minorHAnsi"/>
        </w:rPr>
        <w:t>Cooper and Martin J. Loh</w:t>
      </w:r>
      <w:r>
        <w:rPr>
          <w:rFonts w:cstheme="minorHAnsi"/>
        </w:rPr>
        <w:t>r</w:t>
      </w:r>
      <w:r w:rsidRPr="00915DD7">
        <w:rPr>
          <w:rFonts w:cstheme="minorHAnsi"/>
        </w:rPr>
        <w:t xml:space="preserve">mann, ed., </w:t>
      </w:r>
      <w:r w:rsidRPr="00915DD7">
        <w:rPr>
          <w:rFonts w:cstheme="minorHAnsi"/>
          <w:i/>
          <w:iCs/>
          <w:shd w:val="clear" w:color="auto" w:fill="FFFFFF"/>
        </w:rPr>
        <w:t>1 – 2 Samuel, 1 – 2 Kings, 1 – 2 Chronicles</w:t>
      </w:r>
      <w:r>
        <w:rPr>
          <w:rFonts w:cstheme="minorHAnsi"/>
          <w:shd w:val="clear" w:color="auto" w:fill="FFFFFF"/>
        </w:rPr>
        <w:t xml:space="preserve">, </w:t>
      </w:r>
      <w:r w:rsidRPr="00915DD7">
        <w:rPr>
          <w:rFonts w:cstheme="minorHAnsi"/>
          <w:shd w:val="clear" w:color="auto" w:fill="FFFFFF"/>
        </w:rPr>
        <w:t>Reformation Commentary</w:t>
      </w:r>
      <w:r w:rsidRPr="005A4206">
        <w:rPr>
          <w:rFonts w:cstheme="minorHAnsi"/>
          <w:shd w:val="clear" w:color="auto" w:fill="FFFFFF"/>
        </w:rPr>
        <w:t xml:space="preserve"> on Scripture</w:t>
      </w:r>
      <w:r>
        <w:rPr>
          <w:rFonts w:cstheme="minorHAnsi"/>
          <w:shd w:val="clear" w:color="auto" w:fill="FFFFFF"/>
        </w:rPr>
        <w:t>: Old Testament 5</w:t>
      </w:r>
      <w:r w:rsidRPr="005A4206">
        <w:rPr>
          <w:rFonts w:cstheme="minorHAnsi"/>
          <w:shd w:val="clear" w:color="auto" w:fill="FFFFFF"/>
        </w:rPr>
        <w:t xml:space="preserve"> </w:t>
      </w:r>
      <w:r>
        <w:rPr>
          <w:rFonts w:cstheme="minorHAnsi"/>
          <w:shd w:val="clear" w:color="auto" w:fill="FFFFFF"/>
        </w:rPr>
        <w:t>(</w:t>
      </w:r>
      <w:r w:rsidRPr="005A4206">
        <w:rPr>
          <w:rFonts w:cstheme="minorHAnsi"/>
          <w:shd w:val="clear" w:color="auto" w:fill="FFFFFF"/>
        </w:rPr>
        <w:t>Downers Grove, IL: InterVarsity, 2016</w:t>
      </w:r>
      <w:r>
        <w:rPr>
          <w:rFonts w:ascii="Calibri" w:hAnsi="Calibri" w:cs="Calibri"/>
        </w:rPr>
        <w:t>)</w:t>
      </w:r>
      <w:r w:rsidRPr="00C9711E">
        <w:rPr>
          <w:rFonts w:ascii="Calibri" w:hAnsi="Calibri" w:cs="Calibri"/>
          <w:i/>
          <w:iCs/>
          <w:shd w:val="clear" w:color="auto" w:fill="FFFFFF"/>
        </w:rPr>
        <w:t>,</w:t>
      </w:r>
      <w:r>
        <w:rPr>
          <w:rFonts w:ascii="Calibri" w:hAnsi="Calibri" w:cs="Calibri"/>
          <w:i/>
          <w:iCs/>
          <w:shd w:val="clear" w:color="auto" w:fill="FFFFFF"/>
        </w:rPr>
        <w:t xml:space="preserve"> </w:t>
      </w:r>
      <w:r w:rsidRPr="00C9711E">
        <w:rPr>
          <w:rFonts w:ascii="Calibri" w:hAnsi="Calibri" w:cs="Calibri"/>
        </w:rPr>
        <w:t>6.</w:t>
      </w:r>
    </w:p>
  </w:footnote>
  <w:footnote w:id="51">
    <w:p w14:paraId="5B701EF8" w14:textId="77777777" w:rsidR="007B7018" w:rsidRPr="00A31392" w:rsidRDefault="007B7018" w:rsidP="006C2F42">
      <w:pPr>
        <w:pStyle w:val="FootnoteText"/>
      </w:pPr>
      <w:r>
        <w:rPr>
          <w:rStyle w:val="FootnoteReference"/>
        </w:rPr>
        <w:footnoteRef/>
      </w:r>
      <w:r>
        <w:t xml:space="preserve"> Cook,</w:t>
      </w:r>
      <w:r>
        <w:rPr>
          <w:rStyle w:val="fn"/>
        </w:rPr>
        <w:t xml:space="preserve"> </w:t>
      </w:r>
      <w:r>
        <w:rPr>
          <w:rStyle w:val="fn"/>
          <w:i/>
          <w:iCs/>
        </w:rPr>
        <w:t>Hannah’s Desire</w:t>
      </w:r>
      <w:r>
        <w:rPr>
          <w:rStyle w:val="fn"/>
        </w:rPr>
        <w:t xml:space="preserve">, </w:t>
      </w:r>
      <w:r>
        <w:t xml:space="preserve">21. </w:t>
      </w:r>
    </w:p>
  </w:footnote>
  <w:footnote w:id="52">
    <w:p w14:paraId="441876FA" w14:textId="236853D9" w:rsidR="007B7018" w:rsidRPr="005A4206" w:rsidRDefault="007B7018" w:rsidP="00FC0E3C">
      <w:pPr>
        <w:pStyle w:val="FootnoteText"/>
        <w:rPr>
          <w:rFonts w:cstheme="minorHAnsi"/>
        </w:rPr>
      </w:pPr>
      <w:r>
        <w:rPr>
          <w:rStyle w:val="FootnoteReference"/>
        </w:rPr>
        <w:footnoteRef/>
      </w:r>
      <w:r>
        <w:t xml:space="preserve"> </w:t>
      </w:r>
      <w:r w:rsidRPr="005A4206">
        <w:rPr>
          <w:rFonts w:cstheme="minorHAnsi"/>
        </w:rPr>
        <w:t>Lancelot Andrew</w:t>
      </w:r>
      <w:r>
        <w:rPr>
          <w:rFonts w:cstheme="minorHAnsi"/>
        </w:rPr>
        <w:t>[</w:t>
      </w:r>
      <w:r w:rsidRPr="00915DD7">
        <w:rPr>
          <w:rFonts w:cstheme="minorHAnsi"/>
        </w:rPr>
        <w:t>e]s,</w:t>
      </w:r>
      <w:r w:rsidRPr="00915DD7">
        <w:rPr>
          <w:rFonts w:ascii="Calibri" w:hAnsi="Calibri" w:cs="Calibri"/>
        </w:rPr>
        <w:t xml:space="preserve"> </w:t>
      </w:r>
      <w:r w:rsidRPr="00915DD7">
        <w:rPr>
          <w:rFonts w:ascii="Calibri" w:hAnsi="Calibri" w:cs="Calibri"/>
          <w:i/>
          <w:iCs/>
          <w:color w:val="000000"/>
          <w:shd w:val="clear" w:color="auto" w:fill="FFFFFF"/>
        </w:rPr>
        <w:t>Apospasmatia Sacra</w:t>
      </w:r>
      <w:r w:rsidRPr="00915DD7">
        <w:rPr>
          <w:rFonts w:cs="Calibri"/>
          <w:i/>
          <w:iCs/>
          <w:color w:val="000000"/>
          <w:shd w:val="clear" w:color="auto" w:fill="FFFFFF"/>
        </w:rPr>
        <w:t>: O</w:t>
      </w:r>
      <w:r w:rsidRPr="00915DD7">
        <w:rPr>
          <w:rFonts w:ascii="Calibri" w:hAnsi="Calibri" w:cs="Calibri"/>
          <w:i/>
          <w:iCs/>
          <w:color w:val="000000"/>
          <w:shd w:val="clear" w:color="auto" w:fill="FFFFFF"/>
        </w:rPr>
        <w:t>r A Collection of Posthumous and Orphan Lectures</w:t>
      </w:r>
      <w:r w:rsidRPr="00915DD7">
        <w:rPr>
          <w:rFonts w:cs="Calibri"/>
          <w:color w:val="000000"/>
          <w:shd w:val="clear" w:color="auto" w:fill="FFFFFF"/>
        </w:rPr>
        <w:t xml:space="preserve"> </w:t>
      </w:r>
      <w:r>
        <w:rPr>
          <w:rFonts w:cs="Calibri"/>
          <w:color w:val="000000"/>
          <w:shd w:val="clear" w:color="auto" w:fill="FFFFFF"/>
        </w:rPr>
        <w:t>(</w:t>
      </w:r>
      <w:r w:rsidRPr="00915DD7">
        <w:rPr>
          <w:rFonts w:cs="Calibri"/>
          <w:color w:val="000000"/>
          <w:shd w:val="clear" w:color="auto" w:fill="FFFFFF"/>
        </w:rPr>
        <w:t>London: Moseley, 1657</w:t>
      </w:r>
      <w:r>
        <w:rPr>
          <w:rFonts w:cstheme="minorHAnsi"/>
        </w:rPr>
        <w:t>),</w:t>
      </w:r>
      <w:r w:rsidRPr="00915DD7">
        <w:rPr>
          <w:rFonts w:eastAsia="AJensonPro-It" w:cstheme="minorHAnsi"/>
        </w:rPr>
        <w:t xml:space="preserve"> 567</w:t>
      </w:r>
      <w:r>
        <w:rPr>
          <w:rFonts w:eastAsia="AJensonPro-It" w:cstheme="minorHAnsi"/>
        </w:rPr>
        <w:t xml:space="preserve">; cf. </w:t>
      </w:r>
      <w:r w:rsidRPr="00915DD7">
        <w:rPr>
          <w:rFonts w:cstheme="minorHAnsi"/>
        </w:rPr>
        <w:t>Cooper and Loh</w:t>
      </w:r>
      <w:r>
        <w:rPr>
          <w:rFonts w:cstheme="minorHAnsi"/>
        </w:rPr>
        <w:t>r</w:t>
      </w:r>
      <w:r w:rsidRPr="00915DD7">
        <w:rPr>
          <w:rFonts w:cstheme="minorHAnsi"/>
        </w:rPr>
        <w:t xml:space="preserve">mann, </w:t>
      </w:r>
      <w:r w:rsidRPr="00915DD7">
        <w:rPr>
          <w:rFonts w:cstheme="minorHAnsi"/>
          <w:i/>
          <w:iCs/>
          <w:shd w:val="clear" w:color="auto" w:fill="FFFFFF"/>
        </w:rPr>
        <w:t>1 – 2 Samuel</w:t>
      </w:r>
      <w:r w:rsidRPr="005A4206">
        <w:rPr>
          <w:rFonts w:cstheme="minorHAnsi"/>
          <w:shd w:val="clear" w:color="auto" w:fill="FFFFFF"/>
        </w:rPr>
        <w:t>, 7</w:t>
      </w:r>
      <w:r w:rsidRPr="005A4206">
        <w:rPr>
          <w:rFonts w:eastAsia="AJensonPro-It" w:cstheme="minorHAnsi"/>
        </w:rPr>
        <w:t xml:space="preserve">. </w:t>
      </w:r>
    </w:p>
  </w:footnote>
  <w:footnote w:id="53">
    <w:p w14:paraId="0CEEA5D8" w14:textId="7278E159" w:rsidR="007B7018" w:rsidRDefault="007B7018" w:rsidP="00F55B4F">
      <w:pPr>
        <w:pStyle w:val="FootnoteText"/>
      </w:pPr>
      <w:r>
        <w:rPr>
          <w:rStyle w:val="FootnoteReference"/>
        </w:rPr>
        <w:footnoteRef/>
      </w:r>
      <w:r>
        <w:t xml:space="preserve"> Jenni Williams, “Hannah: A Woman Deeply Troubled,” in Keith </w:t>
      </w:r>
      <w:r w:rsidRPr="00BA34A3">
        <w:rPr>
          <w:rFonts w:cs="Calibri"/>
        </w:rPr>
        <w:t>Bodner and Benjamin J. M. Johnson, ed.</w:t>
      </w:r>
      <w:r>
        <w:rPr>
          <w:rFonts w:cs="Calibri"/>
        </w:rPr>
        <w:t>,</w:t>
      </w:r>
      <w:r w:rsidRPr="00BA34A3">
        <w:rPr>
          <w:rFonts w:cs="Calibri"/>
        </w:rPr>
        <w:t xml:space="preserve"> </w:t>
      </w:r>
      <w:r w:rsidRPr="00BA34A3">
        <w:rPr>
          <w:rFonts w:cs="Calibri"/>
          <w:i/>
        </w:rPr>
        <w:t>Characters and Characterization in the Book of Samuel</w:t>
      </w:r>
      <w:r>
        <w:rPr>
          <w:rFonts w:cs="Calibri"/>
        </w:rPr>
        <w:t>, LHBOTS 669 (</w:t>
      </w:r>
      <w:r w:rsidRPr="00BA34A3">
        <w:rPr>
          <w:rFonts w:cs="Calibri"/>
        </w:rPr>
        <w:t xml:space="preserve">London: </w:t>
      </w:r>
      <w:r>
        <w:rPr>
          <w:rFonts w:cs="Calibri"/>
        </w:rPr>
        <w:t xml:space="preserve">T &amp; T </w:t>
      </w:r>
      <w:r w:rsidRPr="00BA34A3">
        <w:rPr>
          <w:rFonts w:cs="Calibri"/>
        </w:rPr>
        <w:t>Clark, 2020</w:t>
      </w:r>
      <w:r>
        <w:rPr>
          <w:rFonts w:cs="Calibri"/>
        </w:rPr>
        <w:t>), 42-58 (56).</w:t>
      </w:r>
    </w:p>
  </w:footnote>
  <w:footnote w:id="54">
    <w:p w14:paraId="313A363B" w14:textId="09A9DD98" w:rsidR="007B7018" w:rsidRPr="00A27D93" w:rsidRDefault="007B7018" w:rsidP="003C71B2">
      <w:pPr>
        <w:pStyle w:val="FootnoteText"/>
      </w:pPr>
      <w:r>
        <w:rPr>
          <w:rStyle w:val="FootnoteReference"/>
        </w:rPr>
        <w:footnoteRef/>
      </w:r>
      <w:r>
        <w:t xml:space="preserve"> Clement of Alexandria, </w:t>
      </w:r>
      <w:r>
        <w:rPr>
          <w:i/>
          <w:iCs/>
        </w:rPr>
        <w:t>Stromata</w:t>
      </w:r>
      <w:r>
        <w:t xml:space="preserve"> 7:7 (cf. John R. Franke,</w:t>
      </w:r>
      <w:r>
        <w:rPr>
          <w:rFonts w:cs="Calibri"/>
        </w:rPr>
        <w:t xml:space="preserve"> </w:t>
      </w:r>
      <w:r>
        <w:rPr>
          <w:rFonts w:cs="Calibri"/>
          <w:i/>
          <w:iCs/>
        </w:rPr>
        <w:t>Joshua, Judges, Ruth, 1 – 2 Samuel</w:t>
      </w:r>
      <w:r>
        <w:rPr>
          <w:rFonts w:cs="Calibri"/>
        </w:rPr>
        <w:t>, Ancient Christian Commentary on Scripture 4 [Downers Grove, IL: InterVarsity, 2005], 199).</w:t>
      </w:r>
    </w:p>
  </w:footnote>
  <w:footnote w:id="55">
    <w:p w14:paraId="0C8E9465" w14:textId="005E6FB3" w:rsidR="007B7018" w:rsidRPr="005F3774" w:rsidRDefault="007B7018" w:rsidP="00E20E27">
      <w:pPr>
        <w:pStyle w:val="FootnoteText"/>
      </w:pPr>
      <w:r>
        <w:rPr>
          <w:rStyle w:val="FootnoteReference"/>
        </w:rPr>
        <w:footnoteRef/>
      </w:r>
      <w:r>
        <w:t xml:space="preserve"> John Chrysostom, commenting on Eph 6:18, </w:t>
      </w:r>
      <w:r>
        <w:rPr>
          <w:i/>
          <w:iCs/>
        </w:rPr>
        <w:t xml:space="preserve">Homilies </w:t>
      </w:r>
      <w:r w:rsidRPr="00626A4A">
        <w:rPr>
          <w:i/>
          <w:iCs/>
        </w:rPr>
        <w:t>on</w:t>
      </w:r>
      <w:r>
        <w:rPr>
          <w:i/>
          <w:iCs/>
        </w:rPr>
        <w:t xml:space="preserve"> the Epistle of St. Paul the Apostle to the</w:t>
      </w:r>
      <w:r w:rsidRPr="00626A4A">
        <w:rPr>
          <w:i/>
          <w:iCs/>
        </w:rPr>
        <w:t xml:space="preserve"> Ephesians</w:t>
      </w:r>
      <w:r>
        <w:rPr>
          <w:i/>
          <w:iCs/>
        </w:rPr>
        <w:t xml:space="preserve">, </w:t>
      </w:r>
      <w:r>
        <w:t xml:space="preserve">Nicene and Post-Nicene Fathers XIII (reprinted Grand Rapids: Eerdmans, no date), 170 (cf. Franke, </w:t>
      </w:r>
      <w:r>
        <w:rPr>
          <w:rFonts w:cs="Calibri"/>
          <w:i/>
          <w:iCs/>
        </w:rPr>
        <w:t>Joshua, Judges, Ruth, 1 – 2 Samuel</w:t>
      </w:r>
      <w:r>
        <w:rPr>
          <w:rFonts w:cs="Calibri"/>
        </w:rPr>
        <w:t xml:space="preserve">, </w:t>
      </w:r>
      <w:r>
        <w:t>197).</w:t>
      </w:r>
    </w:p>
  </w:footnote>
  <w:footnote w:id="56">
    <w:p w14:paraId="07D353BA" w14:textId="77777777" w:rsidR="007B7018" w:rsidRPr="00CE21D5" w:rsidRDefault="007B7018" w:rsidP="00C63D57">
      <w:pPr>
        <w:pStyle w:val="FootnoteText"/>
      </w:pPr>
      <w:r>
        <w:rPr>
          <w:rStyle w:val="FootnoteReference"/>
        </w:rPr>
        <w:footnoteRef/>
      </w:r>
      <w:r>
        <w:t xml:space="preserve"> Jobling, </w:t>
      </w:r>
      <w:r>
        <w:rPr>
          <w:i/>
          <w:iCs/>
        </w:rPr>
        <w:t>1 Samuel</w:t>
      </w:r>
      <w:r>
        <w:t xml:space="preserve"> 132.</w:t>
      </w:r>
    </w:p>
  </w:footnote>
  <w:footnote w:id="57">
    <w:p w14:paraId="3A656233" w14:textId="77777777" w:rsidR="007B7018" w:rsidRDefault="007B7018" w:rsidP="00645AD5">
      <w:pPr>
        <w:pStyle w:val="FootnoteText"/>
      </w:pPr>
      <w:r>
        <w:rPr>
          <w:rStyle w:val="FootnoteReference"/>
        </w:rPr>
        <w:footnoteRef/>
      </w:r>
      <w:r>
        <w:t xml:space="preserve"> Tsumura,</w:t>
      </w:r>
      <w:r>
        <w:rPr>
          <w:i/>
          <w:iCs/>
        </w:rPr>
        <w:t xml:space="preserve"> First Book of Samuel</w:t>
      </w:r>
      <w:r>
        <w:t>, 116.</w:t>
      </w:r>
    </w:p>
  </w:footnote>
  <w:footnote w:id="58">
    <w:p w14:paraId="168665BF" w14:textId="77777777" w:rsidR="007B7018" w:rsidRPr="007979E5" w:rsidRDefault="007B7018" w:rsidP="003A6D7C">
      <w:pPr>
        <w:pStyle w:val="FootnoteText"/>
      </w:pPr>
      <w:r>
        <w:rPr>
          <w:rStyle w:val="FootnoteReference"/>
        </w:rPr>
        <w:footnoteRef/>
      </w:r>
      <w:r>
        <w:t xml:space="preserve"> LXX, 4QSam</w:t>
      </w:r>
      <w:r>
        <w:rPr>
          <w:vertAlign w:val="superscript"/>
        </w:rPr>
        <w:t>a</w:t>
      </w:r>
      <w:r>
        <w:t xml:space="preserve"> refer to his being someone “consecrated” and mention abstaining from alcohol.</w:t>
      </w:r>
    </w:p>
  </w:footnote>
  <w:footnote w:id="59">
    <w:p w14:paraId="40D5A354" w14:textId="63E3655C" w:rsidR="007B7018" w:rsidRDefault="007B7018" w:rsidP="00040123">
      <w:pPr>
        <w:pStyle w:val="FootnoteText"/>
      </w:pPr>
      <w:r>
        <w:rPr>
          <w:rStyle w:val="FootnoteReference"/>
        </w:rPr>
        <w:footnoteRef/>
      </w:r>
      <w:r>
        <w:t xml:space="preserve"> John Chrysostom, </w:t>
      </w:r>
      <w:r w:rsidRPr="00CD5DE9">
        <w:rPr>
          <w:i/>
          <w:iCs/>
        </w:rPr>
        <w:t xml:space="preserve">Sermones V </w:t>
      </w:r>
      <w:r>
        <w:rPr>
          <w:i/>
          <w:iCs/>
        </w:rPr>
        <w:t>d</w:t>
      </w:r>
      <w:r w:rsidRPr="00CD5DE9">
        <w:rPr>
          <w:i/>
          <w:iCs/>
        </w:rPr>
        <w:t>e Anna</w:t>
      </w:r>
      <w:r>
        <w:t xml:space="preserve">, Patrologia Graeca 54, 631-76 (658); cf. Robert C. Hill, “St. John Chrysostom’s Homilies on Hannah,” </w:t>
      </w:r>
      <w:r>
        <w:rPr>
          <w:i/>
          <w:iCs/>
        </w:rPr>
        <w:t xml:space="preserve">St Vladimir’s Theological Quarterly </w:t>
      </w:r>
      <w:r>
        <w:t>45 (2011): 319-38 (328). Hill notes that Chrysostom does not imply that Hannah is an example only for women.</w:t>
      </w:r>
    </w:p>
  </w:footnote>
  <w:footnote w:id="60">
    <w:p w14:paraId="5EE792F9" w14:textId="24E58654" w:rsidR="007B7018" w:rsidRDefault="007B7018" w:rsidP="00040123">
      <w:pPr>
        <w:pStyle w:val="FootnoteText"/>
      </w:pPr>
      <w:r>
        <w:rPr>
          <w:rStyle w:val="FootnoteReference"/>
        </w:rPr>
        <w:footnoteRef/>
      </w:r>
      <w:r>
        <w:t xml:space="preserve"> John Chrysostom, </w:t>
      </w:r>
      <w:r>
        <w:rPr>
          <w:i/>
          <w:iCs/>
        </w:rPr>
        <w:t xml:space="preserve">Old Testament Homilies </w:t>
      </w:r>
      <w:r>
        <w:t xml:space="preserve">Volume 1 (Brookline, MA: </w:t>
      </w:r>
      <w:r w:rsidRPr="001A0005">
        <w:rPr>
          <w:rFonts w:ascii="Calibri" w:hAnsi="Calibri" w:cs="Calibri"/>
          <w:color w:val="000000"/>
          <w:shd w:val="clear" w:color="auto" w:fill="FFFFFF"/>
        </w:rPr>
        <w:t>Holy Cross Orthodox Press, 2003)</w:t>
      </w:r>
      <w:r w:rsidRPr="001A0005">
        <w:rPr>
          <w:rFonts w:ascii="Calibri" w:hAnsi="Calibri" w:cs="Calibri"/>
        </w:rPr>
        <w:t>,</w:t>
      </w:r>
      <w:r>
        <w:t xml:space="preserve"> 2 (as quoted in Franke, </w:t>
      </w:r>
      <w:r>
        <w:rPr>
          <w:rFonts w:cs="Calibri"/>
          <w:i/>
          <w:iCs/>
        </w:rPr>
        <w:t>Joshua, Judges, Ruth, 1 – 2 Samuel</w:t>
      </w:r>
      <w:r>
        <w:rPr>
          <w:rFonts w:cs="Calibri"/>
        </w:rPr>
        <w:t xml:space="preserve">, </w:t>
      </w:r>
      <w:r>
        <w:t>199).</w:t>
      </w:r>
    </w:p>
  </w:footnote>
  <w:footnote w:id="61">
    <w:p w14:paraId="4DF16392" w14:textId="6E8882C2" w:rsidR="007B7018" w:rsidRDefault="007B7018" w:rsidP="009354BC">
      <w:pPr>
        <w:pStyle w:val="FootnoteText"/>
      </w:pPr>
      <w:r>
        <w:rPr>
          <w:rStyle w:val="FootnoteReference"/>
        </w:rPr>
        <w:footnoteRef/>
      </w:r>
      <w:r>
        <w:t xml:space="preserve"> </w:t>
      </w:r>
      <w:r w:rsidRPr="001F52A8">
        <w:rPr>
          <w:rFonts w:cs="Calibri"/>
        </w:rPr>
        <w:t>Rosenberg,</w:t>
      </w:r>
      <w:r>
        <w:rPr>
          <w:rFonts w:cs="Calibri"/>
        </w:rPr>
        <w:t xml:space="preserve"> </w:t>
      </w:r>
      <w:r w:rsidRPr="001F52A8">
        <w:rPr>
          <w:rFonts w:cs="Calibri"/>
        </w:rPr>
        <w:t>“I and 2 Samuel</w:t>
      </w:r>
      <w:r>
        <w:rPr>
          <w:rFonts w:cs="Calibri"/>
        </w:rPr>
        <w:t>,</w:t>
      </w:r>
      <w:r w:rsidRPr="001F52A8">
        <w:rPr>
          <w:rFonts w:cs="Calibri"/>
        </w:rPr>
        <w:t>”</w:t>
      </w:r>
      <w:r>
        <w:rPr>
          <w:rFonts w:cs="Calibri"/>
        </w:rPr>
        <w:t>124.</w:t>
      </w:r>
    </w:p>
  </w:footnote>
  <w:footnote w:id="62">
    <w:p w14:paraId="6E2B2974" w14:textId="77777777" w:rsidR="007B7018" w:rsidRPr="00FE4F25" w:rsidRDefault="007B7018" w:rsidP="003A6D7C">
      <w:pPr>
        <w:pStyle w:val="FootnoteText"/>
      </w:pPr>
      <w:r>
        <w:rPr>
          <w:rStyle w:val="FootnoteReference"/>
        </w:rPr>
        <w:footnoteRef/>
      </w:r>
      <w:r>
        <w:t xml:space="preserve"> LXX and Vg take </w:t>
      </w:r>
      <w:r>
        <w:rPr>
          <w:i/>
          <w:iCs/>
        </w:rPr>
        <w:t>yitt</w:t>
      </w:r>
      <w:r>
        <w:rPr>
          <w:rFonts w:cstheme="minorHAnsi"/>
          <w:i/>
          <w:iCs/>
        </w:rPr>
        <w:t>ē</w:t>
      </w:r>
      <w:r>
        <w:rPr>
          <w:i/>
          <w:iCs/>
        </w:rPr>
        <w:t xml:space="preserve">n </w:t>
      </w:r>
      <w:r>
        <w:t>as jussive rather than yiqtol, but this makes less sense in the context.</w:t>
      </w:r>
    </w:p>
  </w:footnote>
  <w:footnote w:id="63">
    <w:p w14:paraId="747816BB" w14:textId="77777777" w:rsidR="007B7018" w:rsidRDefault="007B7018" w:rsidP="008B690E">
      <w:pPr>
        <w:pStyle w:val="FootnoteText"/>
      </w:pPr>
      <w:r>
        <w:rPr>
          <w:rStyle w:val="FootnoteReference"/>
        </w:rPr>
        <w:footnoteRef/>
      </w:r>
      <w:r>
        <w:t xml:space="preserve"> CEB’s “give back/given” is as near as one can get with a translation; contrast KJV “lend/lent.”</w:t>
      </w:r>
    </w:p>
  </w:footnote>
  <w:footnote w:id="64">
    <w:p w14:paraId="5A87EDD5" w14:textId="2E13B93F" w:rsidR="007B7018" w:rsidRDefault="007B7018" w:rsidP="000241B7">
      <w:pPr>
        <w:pStyle w:val="FootnoteText"/>
      </w:pPr>
      <w:r>
        <w:rPr>
          <w:rStyle w:val="FootnoteReference"/>
        </w:rPr>
        <w:footnoteRef/>
      </w:r>
      <w:r>
        <w:t xml:space="preserve"> </w:t>
      </w:r>
      <w:r w:rsidRPr="00BA34A3">
        <w:rPr>
          <w:rFonts w:cs="Calibri"/>
        </w:rPr>
        <w:t xml:space="preserve">Serge </w:t>
      </w:r>
      <w:r>
        <w:rPr>
          <w:rFonts w:cs="Calibri"/>
        </w:rPr>
        <w:t xml:space="preserve">Frolov, </w:t>
      </w:r>
      <w:r w:rsidRPr="00BA34A3">
        <w:rPr>
          <w:rFonts w:cs="Calibri"/>
          <w:i/>
        </w:rPr>
        <w:t>The Turn of the Cycle: 1 Samuel 1</w:t>
      </w:r>
      <w:r>
        <w:rPr>
          <w:rFonts w:cs="Calibri"/>
          <w:i/>
        </w:rPr>
        <w:t xml:space="preserve"> – </w:t>
      </w:r>
      <w:r w:rsidRPr="00BA34A3">
        <w:rPr>
          <w:rFonts w:cs="Calibri"/>
          <w:i/>
        </w:rPr>
        <w:t xml:space="preserve">8 in Synchronic and Diachronic </w:t>
      </w:r>
      <w:r w:rsidRPr="002D6240">
        <w:rPr>
          <w:rFonts w:cs="Calibri"/>
          <w:i/>
        </w:rPr>
        <w:t>Perspectives</w:t>
      </w:r>
      <w:r>
        <w:rPr>
          <w:rFonts w:cs="Calibri"/>
        </w:rPr>
        <w:t xml:space="preserve">, </w:t>
      </w:r>
      <w:r w:rsidRPr="002D6240">
        <w:rPr>
          <w:rStyle w:val="Emphasis"/>
          <w:rFonts w:ascii="Calibri" w:hAnsi="Calibri" w:cs="Calibri"/>
          <w:i w:val="0"/>
          <w:iCs w:val="0"/>
        </w:rPr>
        <w:t>B</w:t>
      </w:r>
      <w:r>
        <w:rPr>
          <w:rStyle w:val="Emphasis"/>
          <w:rFonts w:ascii="Calibri" w:hAnsi="Calibri" w:cs="Calibri"/>
          <w:i w:val="0"/>
          <w:iCs w:val="0"/>
        </w:rPr>
        <w:t>ZAW</w:t>
      </w:r>
      <w:r w:rsidRPr="002D6240">
        <w:rPr>
          <w:rFonts w:cs="Calibri"/>
        </w:rPr>
        <w:t xml:space="preserve"> </w:t>
      </w:r>
      <w:r w:rsidRPr="00BA34A3">
        <w:rPr>
          <w:rFonts w:cs="Calibri"/>
        </w:rPr>
        <w:t>342</w:t>
      </w:r>
      <w:r>
        <w:rPr>
          <w:rFonts w:cs="Calibri"/>
        </w:rPr>
        <w:t xml:space="preserve"> (</w:t>
      </w:r>
      <w:r w:rsidRPr="00BA34A3">
        <w:rPr>
          <w:rFonts w:cs="Calibri"/>
        </w:rPr>
        <w:t>Berlin: de Gruyter, 2002</w:t>
      </w:r>
      <w:r>
        <w:rPr>
          <w:rFonts w:cs="Calibri"/>
        </w:rPr>
        <w:t>)</w:t>
      </w:r>
      <w:r>
        <w:t>, 102-3.</w:t>
      </w:r>
    </w:p>
  </w:footnote>
  <w:footnote w:id="65">
    <w:p w14:paraId="1F15A85A" w14:textId="66223A85" w:rsidR="007B7018" w:rsidRPr="00EB54AA" w:rsidRDefault="007B7018" w:rsidP="006A6889">
      <w:pPr>
        <w:pStyle w:val="FootnoteText"/>
      </w:pPr>
      <w:r>
        <w:rPr>
          <w:rStyle w:val="FootnoteReference"/>
        </w:rPr>
        <w:footnoteRef/>
      </w:r>
      <w:r>
        <w:t xml:space="preserve"> More explicitly “slighting God,” if </w:t>
      </w:r>
      <w:r w:rsidRPr="001F52A8">
        <w:rPr>
          <w:rFonts w:cstheme="minorHAnsi"/>
        </w:rPr>
        <w:t>MT’s text includes a tiqqun sopherim</w:t>
      </w:r>
      <w:r>
        <w:rPr>
          <w:rFonts w:cstheme="minorHAnsi"/>
        </w:rPr>
        <w:t>, censoring the direct reference to slighting God; see</w:t>
      </w:r>
      <w:r>
        <w:rPr>
          <w:i/>
          <w:iCs/>
        </w:rPr>
        <w:t xml:space="preserve"> </w:t>
      </w:r>
      <w:r>
        <w:t>Carmel McCarthy,</w:t>
      </w:r>
      <w:r w:rsidRPr="00DA0D5B">
        <w:t xml:space="preserve"> </w:t>
      </w:r>
      <w:r w:rsidRPr="00DA0D5B">
        <w:rPr>
          <w:i/>
          <w:iCs/>
        </w:rPr>
        <w:t>The Tiqqune Sopherim and Other Theological Corrections in the Masoretic Text of the Old Testament</w:t>
      </w:r>
      <w:r>
        <w:rPr>
          <w:i/>
          <w:iCs/>
        </w:rPr>
        <w:t xml:space="preserve">, </w:t>
      </w:r>
      <w:r>
        <w:t>Orbis Biblicus et Orientalis 36 (G</w:t>
      </w:r>
      <w:r>
        <w:rPr>
          <w:rFonts w:cstheme="minorHAnsi"/>
        </w:rPr>
        <w:t>ö</w:t>
      </w:r>
      <w:r>
        <w:t>ttingen: Vandenhoeck, 1981), 77-79.</w:t>
      </w:r>
    </w:p>
  </w:footnote>
  <w:footnote w:id="66">
    <w:p w14:paraId="4E1D2F9C" w14:textId="77777777" w:rsidR="007B7018" w:rsidRDefault="007B7018" w:rsidP="00F2464B">
      <w:pPr>
        <w:pStyle w:val="FootnoteText"/>
      </w:pPr>
      <w:r>
        <w:rPr>
          <w:rStyle w:val="FootnoteReference"/>
        </w:rPr>
        <w:footnoteRef/>
      </w:r>
      <w:r>
        <w:t xml:space="preserve"> Marvin A. Sweeney, “Eli: A High Priest Thrown under the Ox Cart,” in </w:t>
      </w:r>
      <w:r w:rsidRPr="00BA34A3">
        <w:rPr>
          <w:rFonts w:cs="Calibri"/>
        </w:rPr>
        <w:t>Bodner and Johnson, ed.</w:t>
      </w:r>
      <w:r>
        <w:rPr>
          <w:rFonts w:cs="Calibri"/>
        </w:rPr>
        <w:t>,</w:t>
      </w:r>
      <w:r w:rsidRPr="00BA34A3">
        <w:rPr>
          <w:rFonts w:cs="Calibri"/>
        </w:rPr>
        <w:t xml:space="preserve"> </w:t>
      </w:r>
      <w:r w:rsidRPr="00BA34A3">
        <w:rPr>
          <w:rFonts w:cs="Calibri"/>
          <w:i/>
        </w:rPr>
        <w:t>Characters and Characterization in the Book of Samuel</w:t>
      </w:r>
      <w:r>
        <w:rPr>
          <w:rFonts w:cs="Calibri"/>
        </w:rPr>
        <w:t>, 59-75.</w:t>
      </w:r>
    </w:p>
  </w:footnote>
  <w:footnote w:id="67">
    <w:p w14:paraId="197E734C" w14:textId="77777777" w:rsidR="007B7018" w:rsidRPr="00B250A0" w:rsidRDefault="007B7018" w:rsidP="0039055B">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i/>
          <w:iCs/>
        </w:rPr>
        <w:t xml:space="preserve"> </w:t>
      </w:r>
      <w:r>
        <w:t>4:142.</w:t>
      </w:r>
    </w:p>
  </w:footnote>
  <w:footnote w:id="68">
    <w:p w14:paraId="4960536A" w14:textId="41D46166" w:rsidR="007B7018" w:rsidRDefault="007B7018" w:rsidP="00107937">
      <w:pPr>
        <w:pStyle w:val="FootnoteText"/>
      </w:pPr>
      <w:r>
        <w:rPr>
          <w:rStyle w:val="FootnoteReference"/>
        </w:rPr>
        <w:footnoteRef/>
      </w:r>
      <w:r>
        <w:t xml:space="preserve"> Cf. A. Graeme Auld, </w:t>
      </w:r>
      <w:r w:rsidRPr="00BA34A3">
        <w:rPr>
          <w:rFonts w:cs="Calibri"/>
          <w:i/>
        </w:rPr>
        <w:t>I &amp; II Samuel</w:t>
      </w:r>
      <w:r>
        <w:rPr>
          <w:rFonts w:cs="Calibri"/>
          <w:i/>
        </w:rPr>
        <w:t>: A Commentary</w:t>
      </w:r>
      <w:r>
        <w:rPr>
          <w:rFonts w:cs="Calibri"/>
        </w:rPr>
        <w:t xml:space="preserve">, </w:t>
      </w:r>
      <w:r w:rsidRPr="00BA34A3">
        <w:rPr>
          <w:rFonts w:cs="Calibri"/>
        </w:rPr>
        <w:t xml:space="preserve">OTL </w:t>
      </w:r>
      <w:r>
        <w:rPr>
          <w:rFonts w:cs="Calibri"/>
        </w:rPr>
        <w:t>(</w:t>
      </w:r>
      <w:r w:rsidRPr="00BA34A3">
        <w:rPr>
          <w:rFonts w:cs="Calibri"/>
        </w:rPr>
        <w:t>Louisville: Westminster John Knox, 2011</w:t>
      </w:r>
      <w:r>
        <w:rPr>
          <w:rFonts w:cs="Calibri"/>
        </w:rPr>
        <w:t>), 60</w:t>
      </w:r>
      <w:r w:rsidRPr="00BA34A3">
        <w:rPr>
          <w:rFonts w:cs="Calibri"/>
        </w:rPr>
        <w:t>.</w:t>
      </w:r>
    </w:p>
  </w:footnote>
  <w:footnote w:id="69">
    <w:p w14:paraId="1AF04451" w14:textId="0B4FEEF0" w:rsidR="007B7018" w:rsidRDefault="007B7018">
      <w:pPr>
        <w:pStyle w:val="FootnoteText"/>
      </w:pPr>
      <w:r>
        <w:rPr>
          <w:rStyle w:val="FootnoteReference"/>
        </w:rPr>
        <w:footnoteRef/>
      </w:r>
      <w:r>
        <w:t xml:space="preserve"> P. Kyle McCarter,</w:t>
      </w:r>
      <w:r w:rsidRPr="00222246">
        <w:t xml:space="preserve"> </w:t>
      </w:r>
      <w:r>
        <w:rPr>
          <w:i/>
          <w:iCs/>
        </w:rPr>
        <w:t>I</w:t>
      </w:r>
      <w:r w:rsidRPr="00222246">
        <w:rPr>
          <w:i/>
          <w:iCs/>
        </w:rPr>
        <w:t xml:space="preserve"> Samuel</w:t>
      </w:r>
      <w:r>
        <w:rPr>
          <w:i/>
          <w:iCs/>
        </w:rPr>
        <w:t>: A New Translation with Introduction, Notes and Commentary</w:t>
      </w:r>
      <w:r w:rsidRPr="00222246">
        <w:t xml:space="preserve"> </w:t>
      </w:r>
      <w:r>
        <w:t>(A8 8;</w:t>
      </w:r>
      <w:r w:rsidRPr="00222246">
        <w:t xml:space="preserve"> </w:t>
      </w:r>
      <w:r>
        <w:t>Garden City, NY</w:t>
      </w:r>
      <w:r w:rsidRPr="00222246">
        <w:t>: Doubleday, 1980</w:t>
      </w:r>
      <w:r>
        <w:t>), 97.</w:t>
      </w:r>
    </w:p>
  </w:footnote>
  <w:footnote w:id="70">
    <w:p w14:paraId="32059868" w14:textId="1A80BAD7" w:rsidR="007B7018" w:rsidRDefault="007B7018" w:rsidP="001F67E5">
      <w:pPr>
        <w:pStyle w:val="FootnoteText"/>
      </w:pPr>
      <w:r>
        <w:rPr>
          <w:rStyle w:val="FootnoteReference"/>
        </w:rPr>
        <w:footnoteRef/>
      </w:r>
      <w:r>
        <w:t xml:space="preserve"> Uriel Simon, “</w:t>
      </w:r>
      <w:r w:rsidRPr="001F67E5">
        <w:t xml:space="preserve">Samuel's Call </w:t>
      </w:r>
      <w:r>
        <w:t>t</w:t>
      </w:r>
      <w:r w:rsidRPr="001F67E5">
        <w:t>o Prophecy: Form Criticism with Close Reading</w:t>
      </w:r>
      <w:r>
        <w:t xml:space="preserve">,” </w:t>
      </w:r>
      <w:r>
        <w:rPr>
          <w:i/>
          <w:iCs/>
        </w:rPr>
        <w:t xml:space="preserve">Prooftexts </w:t>
      </w:r>
      <w:r>
        <w:t>1 (1981): 119-32</w:t>
      </w:r>
      <w:r w:rsidRPr="001F67E5">
        <w:t xml:space="preserve"> </w:t>
      </w:r>
      <w:r>
        <w:t>(</w:t>
      </w:r>
      <w:r w:rsidRPr="001F67E5">
        <w:t>128</w:t>
      </w:r>
      <w:r>
        <w:t>).</w:t>
      </w:r>
    </w:p>
  </w:footnote>
  <w:footnote w:id="71">
    <w:p w14:paraId="0AF0A003" w14:textId="0D1A89E3" w:rsidR="007B7018" w:rsidRDefault="007B7018" w:rsidP="004D3B3F">
      <w:pPr>
        <w:pStyle w:val="FootnoteText"/>
      </w:pPr>
      <w:r>
        <w:rPr>
          <w:rStyle w:val="FootnoteReference"/>
        </w:rPr>
        <w:footnoteRef/>
      </w:r>
      <w:r>
        <w:t xml:space="preserve"> </w:t>
      </w:r>
      <w:r w:rsidRPr="00BA34A3">
        <w:rPr>
          <w:rFonts w:eastAsia="Times New Roman" w:cs="Calibri"/>
          <w:color w:val="3A3A3A"/>
        </w:rPr>
        <w:t>Johanna W. H. van</w:t>
      </w:r>
      <w:r>
        <w:rPr>
          <w:rFonts w:eastAsia="Times New Roman" w:cs="Calibri"/>
          <w:color w:val="3A3A3A"/>
        </w:rPr>
        <w:t xml:space="preserve"> </w:t>
      </w:r>
      <w:r w:rsidRPr="00BA34A3">
        <w:rPr>
          <w:rFonts w:eastAsia="Times New Roman" w:cs="Calibri"/>
          <w:color w:val="3A3A3A"/>
        </w:rPr>
        <w:t>Wijk-</w:t>
      </w:r>
      <w:r>
        <w:rPr>
          <w:rFonts w:eastAsia="Times New Roman" w:cs="Calibri"/>
          <w:color w:val="3A3A3A"/>
        </w:rPr>
        <w:t xml:space="preserve">bos, </w:t>
      </w:r>
      <w:r w:rsidRPr="00972463">
        <w:rPr>
          <w:rFonts w:eastAsia="Times New Roman" w:cs="Calibri"/>
          <w:i/>
          <w:iCs/>
          <w:color w:val="3A3A3A"/>
        </w:rPr>
        <w:t xml:space="preserve">Reading </w:t>
      </w:r>
      <w:r w:rsidRPr="00EB7A48">
        <w:rPr>
          <w:rFonts w:eastAsia="Times New Roman" w:cs="Calibri"/>
          <w:i/>
          <w:iCs/>
          <w:color w:val="3A3A3A"/>
        </w:rPr>
        <w:t>Samuel</w:t>
      </w:r>
      <w:r w:rsidRPr="00EB7A48">
        <w:rPr>
          <w:rFonts w:ascii="Calibri" w:eastAsia="Times New Roman" w:hAnsi="Calibri" w:cs="Calibri"/>
          <w:i/>
          <w:iCs/>
          <w:color w:val="3A3A3A"/>
        </w:rPr>
        <w:t xml:space="preserve">: </w:t>
      </w:r>
      <w:r w:rsidRPr="00EB7A48">
        <w:rPr>
          <w:rFonts w:ascii="Calibri" w:hAnsi="Calibri" w:cs="Calibri"/>
          <w:i/>
          <w:iCs/>
        </w:rPr>
        <w:t>A Literary and Theological Commentary</w:t>
      </w:r>
      <w:r w:rsidRPr="00972463">
        <w:rPr>
          <w:rFonts w:eastAsia="Times New Roman" w:cs="Calibri"/>
          <w:color w:val="3A3A3A"/>
        </w:rPr>
        <w:t xml:space="preserve"> </w:t>
      </w:r>
      <w:r>
        <w:rPr>
          <w:rFonts w:eastAsia="Times New Roman" w:cs="Calibri"/>
          <w:color w:val="3A3A3A"/>
        </w:rPr>
        <w:t>(Macon, GA: Smith and Helwys</w:t>
      </w:r>
      <w:r w:rsidRPr="00972463">
        <w:rPr>
          <w:rFonts w:eastAsia="Times New Roman" w:cs="Calibri"/>
          <w:color w:val="3A3A3A"/>
        </w:rPr>
        <w:t>, 2011</w:t>
      </w:r>
      <w:r>
        <w:rPr>
          <w:rFonts w:eastAsia="Times New Roman" w:cs="Calibri"/>
          <w:color w:val="3A3A3A"/>
        </w:rPr>
        <w:t>), 46.</w:t>
      </w:r>
    </w:p>
  </w:footnote>
  <w:footnote w:id="72">
    <w:p w14:paraId="67517307" w14:textId="6CAF18FD" w:rsidR="007B7018" w:rsidRPr="00607650" w:rsidRDefault="007B7018" w:rsidP="00607650">
      <w:pPr>
        <w:pStyle w:val="FootnoteText"/>
      </w:pPr>
      <w:r>
        <w:rPr>
          <w:rStyle w:val="FootnoteReference"/>
        </w:rPr>
        <w:footnoteRef/>
      </w:r>
      <w:r>
        <w:t xml:space="preserve"> Robert Polzin, </w:t>
      </w:r>
      <w:r w:rsidRPr="00BA34A3">
        <w:rPr>
          <w:rFonts w:cs="Calibri"/>
          <w:i/>
        </w:rPr>
        <w:t>Samuel and the Deuteronomist: A Literary Study of the Deuteronomic History</w:t>
      </w:r>
      <w:r>
        <w:rPr>
          <w:rFonts w:cs="Calibri"/>
          <w:i/>
        </w:rPr>
        <w:t>. Part Two: 1 Samuel</w:t>
      </w:r>
      <w:r w:rsidRPr="00BA34A3">
        <w:rPr>
          <w:rFonts w:cs="Calibri"/>
        </w:rPr>
        <w:t xml:space="preserve"> </w:t>
      </w:r>
      <w:r>
        <w:rPr>
          <w:rFonts w:cs="Calibri"/>
        </w:rPr>
        <w:t xml:space="preserve">(reprinted </w:t>
      </w:r>
      <w:r w:rsidRPr="00BA34A3">
        <w:rPr>
          <w:rFonts w:cs="Calibri"/>
        </w:rPr>
        <w:t>Bloomington: Indiana University Press, 199</w:t>
      </w:r>
      <w:r>
        <w:rPr>
          <w:rFonts w:cs="Calibri"/>
        </w:rPr>
        <w:t>3</w:t>
      </w:r>
      <w:r>
        <w:t>), 49; Marvin A. Sweeney, “</w:t>
      </w:r>
      <w:r w:rsidRPr="007B6B18">
        <w:rPr>
          <w:rFonts w:ascii="Calibri" w:hAnsi="Calibri" w:cs="Calibri"/>
        </w:rPr>
        <w:t>Samuel’s Institutional</w:t>
      </w:r>
      <w:r>
        <w:t xml:space="preserve"> </w:t>
      </w:r>
      <w:r w:rsidRPr="007B6B18">
        <w:rPr>
          <w:rFonts w:ascii="Calibri" w:hAnsi="Calibri" w:cs="Calibri"/>
        </w:rPr>
        <w:t xml:space="preserve">Identity </w:t>
      </w:r>
      <w:r>
        <w:rPr>
          <w:rFonts w:ascii="Calibri" w:hAnsi="Calibri" w:cs="Calibri"/>
        </w:rPr>
        <w:t>i</w:t>
      </w:r>
      <w:r w:rsidRPr="007B6B18">
        <w:rPr>
          <w:rFonts w:ascii="Calibri" w:hAnsi="Calibri" w:cs="Calibri"/>
        </w:rPr>
        <w:t xml:space="preserve">n </w:t>
      </w:r>
      <w:r>
        <w:rPr>
          <w:rFonts w:ascii="Calibri" w:hAnsi="Calibri" w:cs="Calibri"/>
        </w:rPr>
        <w:t>t</w:t>
      </w:r>
      <w:r w:rsidRPr="007B6B18">
        <w:rPr>
          <w:rFonts w:ascii="Calibri" w:hAnsi="Calibri" w:cs="Calibri"/>
        </w:rPr>
        <w:t>he Deuteronomistic History</w:t>
      </w:r>
      <w:r>
        <w:rPr>
          <w:rFonts w:ascii="Calibri" w:hAnsi="Calibri" w:cs="Calibri"/>
        </w:rPr>
        <w:t xml:space="preserve">,” in </w:t>
      </w:r>
      <w:r w:rsidRPr="00C13870">
        <w:rPr>
          <w:rFonts w:cstheme="minorHAnsi"/>
        </w:rPr>
        <w:t xml:space="preserve">Lester L. Grabbe and Martti Nissinen, ed., </w:t>
      </w:r>
      <w:r w:rsidRPr="00C13870">
        <w:rPr>
          <w:rFonts w:cstheme="minorHAnsi"/>
          <w:i/>
          <w:iCs/>
        </w:rPr>
        <w:t>Constructs of Prophecy in the Former and Latter Prophets and Other Texts</w:t>
      </w:r>
      <w:r>
        <w:rPr>
          <w:rFonts w:cstheme="minorHAnsi"/>
        </w:rPr>
        <w:t xml:space="preserve">, </w:t>
      </w:r>
      <w:r w:rsidRPr="00C13870">
        <w:rPr>
          <w:rFonts w:cstheme="minorHAnsi"/>
        </w:rPr>
        <w:t xml:space="preserve">Ancient Near East Monographs 4 </w:t>
      </w:r>
      <w:r>
        <w:rPr>
          <w:rFonts w:cstheme="minorHAnsi"/>
        </w:rPr>
        <w:t>(</w:t>
      </w:r>
      <w:r w:rsidRPr="00C13870">
        <w:rPr>
          <w:rFonts w:cstheme="minorHAnsi"/>
        </w:rPr>
        <w:t xml:space="preserve">Atlanta: SBL, 2011), </w:t>
      </w:r>
      <w:r>
        <w:rPr>
          <w:rFonts w:ascii="Calibri" w:hAnsi="Calibri" w:cs="Calibri"/>
        </w:rPr>
        <w:t>165-74.</w:t>
      </w:r>
    </w:p>
  </w:footnote>
  <w:footnote w:id="73">
    <w:p w14:paraId="21C2643D" w14:textId="3513B96E" w:rsidR="007B7018" w:rsidRPr="00EF7A7A" w:rsidRDefault="007B7018">
      <w:pPr>
        <w:pStyle w:val="FootnoteText"/>
      </w:pPr>
      <w:r>
        <w:rPr>
          <w:rStyle w:val="FootnoteReference"/>
        </w:rPr>
        <w:footnoteRef/>
      </w:r>
      <w:r>
        <w:t xml:space="preserve"> Mark Leuchter, </w:t>
      </w:r>
      <w:r>
        <w:rPr>
          <w:i/>
          <w:iCs/>
        </w:rPr>
        <w:t>Samuel and the Shaping of Tradition</w:t>
      </w:r>
      <w:r>
        <w:t>, Biblical Reconfigurations (Oxford: Oxford University Press, 2013), gives one chapter to each of these roles.</w:t>
      </w:r>
    </w:p>
  </w:footnote>
  <w:footnote w:id="74">
    <w:p w14:paraId="58F68415" w14:textId="0A27EBED" w:rsidR="007B7018" w:rsidRPr="00E002B1" w:rsidRDefault="007B7018">
      <w:pPr>
        <w:pStyle w:val="FootnoteText"/>
        <w:rPr>
          <w:i/>
          <w:iCs/>
        </w:rPr>
      </w:pPr>
      <w:r>
        <w:rPr>
          <w:rStyle w:val="FootnoteReference"/>
        </w:rPr>
        <w:footnoteRef/>
      </w:r>
      <w:r>
        <w:t xml:space="preserve"> Marti J. Steussy notes that readings of the story normally stops before we get to that bit (</w:t>
      </w:r>
      <w:r>
        <w:rPr>
          <w:i/>
          <w:iCs/>
        </w:rPr>
        <w:t>Samuel and His God</w:t>
      </w:r>
      <w:r>
        <w:t xml:space="preserve">, </w:t>
      </w:r>
      <w:r w:rsidRPr="003112B1">
        <w:t xml:space="preserve">Studies on Personalities of the Old Testament </w:t>
      </w:r>
      <w:r>
        <w:t>[</w:t>
      </w:r>
      <w:r w:rsidRPr="003112B1">
        <w:t>Columbia</w:t>
      </w:r>
      <w:r>
        <w:t>, SC</w:t>
      </w:r>
      <w:r w:rsidRPr="003112B1">
        <w:t>: University of South Carolina Press, 2010</w:t>
      </w:r>
      <w:r>
        <w:t>]</w:t>
      </w:r>
      <w:r w:rsidRPr="003112B1">
        <w:t xml:space="preserve">, </w:t>
      </w:r>
      <w:r>
        <w:t>1).</w:t>
      </w:r>
    </w:p>
  </w:footnote>
  <w:footnote w:id="75">
    <w:p w14:paraId="2F7FE95C" w14:textId="0B845B9D" w:rsidR="007B7018" w:rsidRDefault="007B7018">
      <w:pPr>
        <w:pStyle w:val="FootnoteText"/>
      </w:pPr>
      <w:r>
        <w:rPr>
          <w:rStyle w:val="FootnoteReference"/>
        </w:rPr>
        <w:footnoteRef/>
      </w:r>
      <w:r>
        <w:t xml:space="preserve"> </w:t>
      </w:r>
      <w:r>
        <w:rPr>
          <w:rFonts w:cstheme="minorHAnsi"/>
        </w:rPr>
        <w:t xml:space="preserve">So Rashi and more explicitly Qimchi in </w:t>
      </w:r>
      <w:r w:rsidRPr="003C0FB3">
        <w:rPr>
          <w:rFonts w:cstheme="minorHAnsi"/>
          <w:i/>
        </w:rPr>
        <w:t>miqrā’ôt gәdôlôt</w:t>
      </w:r>
      <w:r>
        <w:rPr>
          <w:rFonts w:cstheme="minorHAnsi"/>
          <w:iCs/>
        </w:rPr>
        <w:t>.</w:t>
      </w:r>
    </w:p>
  </w:footnote>
  <w:footnote w:id="76">
    <w:p w14:paraId="28A2A66A" w14:textId="47863BBF" w:rsidR="007B7018" w:rsidRDefault="007B7018">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rPr>
        <w:t xml:space="preserve"> 4:190.</w:t>
      </w:r>
    </w:p>
  </w:footnote>
  <w:footnote w:id="77">
    <w:p w14:paraId="2FC2A7EF" w14:textId="104A29C5" w:rsidR="007B7018" w:rsidRDefault="007B7018" w:rsidP="006C66D2">
      <w:pPr>
        <w:pStyle w:val="FootnoteText"/>
      </w:pPr>
      <w:r>
        <w:rPr>
          <w:rStyle w:val="FootnoteReference"/>
        </w:rPr>
        <w:footnoteRef/>
      </w:r>
      <w:r>
        <w:t xml:space="preserve"> Ralph W. </w:t>
      </w:r>
      <w:r w:rsidRPr="001F52A8">
        <w:rPr>
          <w:rFonts w:cstheme="minorHAnsi"/>
        </w:rPr>
        <w:t xml:space="preserve">Klein, </w:t>
      </w:r>
      <w:r w:rsidRPr="001F52A8">
        <w:rPr>
          <w:rFonts w:cstheme="minorHAnsi"/>
          <w:i/>
          <w:iCs/>
        </w:rPr>
        <w:t>1 Samuel</w:t>
      </w:r>
      <w:r>
        <w:rPr>
          <w:rFonts w:cstheme="minorHAnsi"/>
        </w:rPr>
        <w:t>,</w:t>
      </w:r>
      <w:r w:rsidRPr="001F52A8">
        <w:rPr>
          <w:rFonts w:cstheme="minorHAnsi"/>
        </w:rPr>
        <w:t xml:space="preserve"> WBC 10 </w:t>
      </w:r>
      <w:r>
        <w:rPr>
          <w:rFonts w:cstheme="minorHAnsi"/>
        </w:rPr>
        <w:t>(second ed., Nashville: Nelson, 2008), 35.</w:t>
      </w:r>
    </w:p>
  </w:footnote>
  <w:footnote w:id="78">
    <w:p w14:paraId="3FF59CA6" w14:textId="057DD8EB" w:rsidR="007B7018" w:rsidRDefault="007B7018">
      <w:pPr>
        <w:pStyle w:val="FootnoteText"/>
      </w:pPr>
      <w:r>
        <w:rPr>
          <w:rStyle w:val="FootnoteReference"/>
        </w:rPr>
        <w:footnoteRef/>
      </w:r>
      <w:r>
        <w:t xml:space="preserve"> LXX has an extra sentence explaining that the Philistines started the conflict (cf. NRSV).</w:t>
      </w:r>
    </w:p>
  </w:footnote>
  <w:footnote w:id="79">
    <w:p w14:paraId="52A1D130" w14:textId="067291BE" w:rsidR="007B7018" w:rsidRDefault="007B7018" w:rsidP="005C1496">
      <w:pPr>
        <w:pStyle w:val="FootnoteText"/>
      </w:pPr>
      <w:r>
        <w:rPr>
          <w:rStyle w:val="FootnoteReference"/>
        </w:rPr>
        <w:footnoteRef/>
      </w:r>
      <w:r>
        <w:t xml:space="preserve"> Peter D. Miscall, </w:t>
      </w:r>
      <w:r w:rsidRPr="00BA34A3">
        <w:rPr>
          <w:rFonts w:cs="Calibri"/>
          <w:i/>
        </w:rPr>
        <w:t>1 Samuel: A Literary Reading</w:t>
      </w:r>
      <w:r w:rsidRPr="00BA34A3">
        <w:rPr>
          <w:rFonts w:cs="Calibri"/>
        </w:rPr>
        <w:t xml:space="preserve"> </w:t>
      </w:r>
      <w:r>
        <w:rPr>
          <w:rFonts w:cs="Calibri"/>
        </w:rPr>
        <w:t>(</w:t>
      </w:r>
      <w:r w:rsidRPr="00BA34A3">
        <w:rPr>
          <w:rFonts w:cs="Calibri"/>
        </w:rPr>
        <w:t>Bloomington: Indiana University Press, 1986</w:t>
      </w:r>
      <w:r>
        <w:rPr>
          <w:rFonts w:cs="Calibri"/>
        </w:rPr>
        <w:t>),</w:t>
      </w:r>
      <w:r>
        <w:rPr>
          <w:i/>
          <w:iCs/>
        </w:rPr>
        <w:t xml:space="preserve"> </w:t>
      </w:r>
      <w:r>
        <w:t>38-39.</w:t>
      </w:r>
    </w:p>
  </w:footnote>
  <w:footnote w:id="80">
    <w:p w14:paraId="5A195A70" w14:textId="164F3898" w:rsidR="007B7018" w:rsidRPr="009C5B19" w:rsidRDefault="007B7018" w:rsidP="00286797">
      <w:pPr>
        <w:pStyle w:val="FootnoteText"/>
      </w:pPr>
      <w:r>
        <w:rPr>
          <w:rStyle w:val="FootnoteReference"/>
        </w:rPr>
        <w:footnoteRef/>
      </w:r>
      <w:r>
        <w:t xml:space="preserve"> Cf. David G. Firth</w:t>
      </w:r>
      <w:r>
        <w:rPr>
          <w:rFonts w:cstheme="minorHAnsi"/>
        </w:rPr>
        <w:t xml:space="preserve">, </w:t>
      </w:r>
      <w:r>
        <w:rPr>
          <w:rFonts w:cstheme="minorHAnsi"/>
          <w:i/>
          <w:iCs/>
        </w:rPr>
        <w:t>1 &amp; 2 Samuel</w:t>
      </w:r>
      <w:r>
        <w:rPr>
          <w:rFonts w:cstheme="minorHAnsi"/>
        </w:rPr>
        <w:t>, Apollos Old Testament Commentary 8 (Nottingham: Apollos, 2009), 85.</w:t>
      </w:r>
    </w:p>
  </w:footnote>
  <w:footnote w:id="81">
    <w:p w14:paraId="4B4C2BDD" w14:textId="7A16AF8D" w:rsidR="007B7018" w:rsidRPr="00536DD3" w:rsidRDefault="007B7018">
      <w:pPr>
        <w:pStyle w:val="FootnoteText"/>
      </w:pPr>
      <w:r>
        <w:rPr>
          <w:rStyle w:val="FootnoteReference"/>
        </w:rPr>
        <w:footnoteRef/>
      </w:r>
      <w:r>
        <w:t xml:space="preserve"> Green, </w:t>
      </w:r>
      <w:r>
        <w:rPr>
          <w:rFonts w:cs="Calibri"/>
          <w:i/>
          <w:iCs/>
        </w:rPr>
        <w:t>How Are the Mighty Fallen</w:t>
      </w:r>
      <w:r>
        <w:rPr>
          <w:rFonts w:cs="Calibri"/>
        </w:rPr>
        <w:t>, 138.</w:t>
      </w:r>
    </w:p>
  </w:footnote>
  <w:footnote w:id="82">
    <w:p w14:paraId="1CDE6900" w14:textId="7D63B529" w:rsidR="007B7018" w:rsidRDefault="007B7018" w:rsidP="008042AA">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rPr>
        <w:t xml:space="preserve"> 4:201.</w:t>
      </w:r>
    </w:p>
  </w:footnote>
  <w:footnote w:id="83">
    <w:p w14:paraId="1EC0B707" w14:textId="02B29A06" w:rsidR="007B7018" w:rsidRPr="00872C6B" w:rsidRDefault="007B7018" w:rsidP="00872C6B">
      <w:pPr>
        <w:pStyle w:val="FootnoteText"/>
      </w:pPr>
      <w:r>
        <w:rPr>
          <w:rStyle w:val="FootnoteReference"/>
        </w:rPr>
        <w:footnoteRef/>
      </w:r>
      <w:r>
        <w:t xml:space="preserve"> Lyle </w:t>
      </w:r>
      <w:r w:rsidRPr="00872C6B">
        <w:rPr>
          <w:rFonts w:cs="Calibri"/>
        </w:rPr>
        <w:t xml:space="preserve">Eslinger, </w:t>
      </w:r>
      <w:r w:rsidRPr="00872C6B">
        <w:rPr>
          <w:rFonts w:cs="Calibri"/>
          <w:i/>
        </w:rPr>
        <w:t>Kingship of God in Crisis: A Close Reading of 1 Samuel 1 – 12</w:t>
      </w:r>
      <w:r>
        <w:rPr>
          <w:rFonts w:cs="Calibri"/>
          <w:iCs/>
        </w:rPr>
        <w:t>, Bible and Literature Series 10</w:t>
      </w:r>
      <w:r w:rsidRPr="00872C6B">
        <w:rPr>
          <w:rFonts w:cs="Calibri"/>
        </w:rPr>
        <w:t xml:space="preserve"> </w:t>
      </w:r>
      <w:r>
        <w:rPr>
          <w:rFonts w:cs="Calibri"/>
        </w:rPr>
        <w:t>(</w:t>
      </w:r>
      <w:r w:rsidRPr="00872C6B">
        <w:rPr>
          <w:rFonts w:cs="Calibri"/>
        </w:rPr>
        <w:t>Sheffield: JSOT, 1985</w:t>
      </w:r>
      <w:r>
        <w:rPr>
          <w:rFonts w:cs="Calibri"/>
        </w:rPr>
        <w:t>), 166.</w:t>
      </w:r>
    </w:p>
  </w:footnote>
  <w:footnote w:id="84">
    <w:p w14:paraId="34A943E7" w14:textId="45678F3D" w:rsidR="007B7018" w:rsidRPr="004737BC" w:rsidRDefault="007B7018" w:rsidP="003F62F5">
      <w:pPr>
        <w:pStyle w:val="FootnoteText"/>
        <w:rPr>
          <w:iCs/>
        </w:rPr>
      </w:pPr>
      <w:r>
        <w:rPr>
          <w:rStyle w:val="FootnoteReference"/>
        </w:rPr>
        <w:footnoteRef/>
      </w:r>
      <w:r>
        <w:t xml:space="preserve"> Polzin, </w:t>
      </w:r>
      <w:r w:rsidRPr="00BA34A3">
        <w:rPr>
          <w:rFonts w:cs="Calibri"/>
          <w:i/>
        </w:rPr>
        <w:t>Samuel</w:t>
      </w:r>
      <w:r>
        <w:rPr>
          <w:rFonts w:cs="Calibri"/>
          <w:iCs/>
        </w:rPr>
        <w:t>, 64.</w:t>
      </w:r>
    </w:p>
  </w:footnote>
  <w:footnote w:id="85">
    <w:p w14:paraId="5AF9376A" w14:textId="77777777" w:rsidR="007B7018" w:rsidRPr="00514206" w:rsidRDefault="007B7018" w:rsidP="00D66AC9">
      <w:pPr>
        <w:pStyle w:val="FootnoteText"/>
      </w:pPr>
      <w:r>
        <w:rPr>
          <w:rStyle w:val="FootnoteReference"/>
        </w:rPr>
        <w:footnoteRef/>
      </w:r>
      <w:r>
        <w:t xml:space="preserve"> Israel Finkelstein (ed.), “Excavations at Shiloh 1981-1984: Preliminary Report,” </w:t>
      </w:r>
      <w:r>
        <w:rPr>
          <w:i/>
          <w:iCs/>
        </w:rPr>
        <w:t xml:space="preserve">Tel Aviv </w:t>
      </w:r>
      <w:r>
        <w:t>12 (1985): 123-80 (173).</w:t>
      </w:r>
    </w:p>
  </w:footnote>
  <w:footnote w:id="86">
    <w:p w14:paraId="73D20D35" w14:textId="2EA34FD2" w:rsidR="007B7018" w:rsidRPr="000831AB" w:rsidRDefault="007B7018">
      <w:pPr>
        <w:pStyle w:val="FootnoteText"/>
      </w:pPr>
      <w:r>
        <w:rPr>
          <w:rStyle w:val="FootnoteReference"/>
        </w:rPr>
        <w:footnoteRef/>
      </w:r>
      <w:r>
        <w:t xml:space="preserve"> </w:t>
      </w:r>
      <w:r w:rsidRPr="00BA34A3">
        <w:rPr>
          <w:rFonts w:eastAsia="Times New Roman" w:cs="Calibri"/>
          <w:color w:val="3A3A3A"/>
        </w:rPr>
        <w:t>van</w:t>
      </w:r>
      <w:r>
        <w:rPr>
          <w:rFonts w:eastAsia="Times New Roman" w:cs="Calibri"/>
          <w:color w:val="3A3A3A"/>
        </w:rPr>
        <w:t xml:space="preserve"> </w:t>
      </w:r>
      <w:r w:rsidRPr="00BA34A3">
        <w:rPr>
          <w:rFonts w:eastAsia="Times New Roman" w:cs="Calibri"/>
          <w:color w:val="3A3A3A"/>
        </w:rPr>
        <w:t>Wijk-</w:t>
      </w:r>
      <w:r>
        <w:rPr>
          <w:rFonts w:eastAsia="Times New Roman" w:cs="Calibri"/>
          <w:color w:val="3A3A3A"/>
        </w:rPr>
        <w:t xml:space="preserve">bos, </w:t>
      </w:r>
      <w:r w:rsidRPr="00972463">
        <w:rPr>
          <w:rFonts w:eastAsia="Times New Roman" w:cs="Calibri"/>
          <w:i/>
          <w:iCs/>
          <w:color w:val="3A3A3A"/>
        </w:rPr>
        <w:t>Reading Samuel</w:t>
      </w:r>
      <w:r>
        <w:rPr>
          <w:rFonts w:eastAsia="Times New Roman" w:cs="Calibri"/>
          <w:color w:val="3A3A3A"/>
        </w:rPr>
        <w:t>, 52.</w:t>
      </w:r>
    </w:p>
  </w:footnote>
  <w:footnote w:id="87">
    <w:p w14:paraId="1A933105" w14:textId="29E8E883" w:rsidR="007B7018" w:rsidRPr="00F316A9" w:rsidRDefault="007B7018">
      <w:pPr>
        <w:pStyle w:val="FootnoteText"/>
        <w:rPr>
          <w:iCs/>
        </w:rPr>
      </w:pPr>
      <w:r>
        <w:rPr>
          <w:rStyle w:val="FootnoteReference"/>
        </w:rPr>
        <w:footnoteRef/>
      </w:r>
      <w:r>
        <w:t xml:space="preserve"> Polzin, </w:t>
      </w:r>
      <w:r w:rsidRPr="00BA34A3">
        <w:rPr>
          <w:rFonts w:cs="Calibri"/>
          <w:i/>
        </w:rPr>
        <w:t>Samuel</w:t>
      </w:r>
      <w:r>
        <w:rPr>
          <w:rFonts w:cs="Calibri"/>
          <w:iCs/>
        </w:rPr>
        <w:t>, 55.</w:t>
      </w:r>
    </w:p>
  </w:footnote>
  <w:footnote w:id="88">
    <w:p w14:paraId="4A79144A" w14:textId="16411659" w:rsidR="007B7018" w:rsidRDefault="007B7018" w:rsidP="00F4538C">
      <w:pPr>
        <w:pStyle w:val="FootnoteText"/>
      </w:pPr>
      <w:r>
        <w:rPr>
          <w:rStyle w:val="FootnoteReference"/>
        </w:rPr>
        <w:footnoteRef/>
      </w:r>
      <w:r>
        <w:t xml:space="preserve"> </w:t>
      </w:r>
      <w:r w:rsidRPr="00BA34A3">
        <w:rPr>
          <w:rFonts w:cs="Calibri"/>
        </w:rPr>
        <w:t xml:space="preserve">Antony F. Campbell, </w:t>
      </w:r>
      <w:r w:rsidRPr="00BA34A3">
        <w:rPr>
          <w:rFonts w:cs="Calibri"/>
          <w:i/>
        </w:rPr>
        <w:t>1 Samuel</w:t>
      </w:r>
      <w:r w:rsidRPr="00BA34A3">
        <w:rPr>
          <w:rFonts w:cs="Calibri"/>
        </w:rPr>
        <w:t xml:space="preserve"> </w:t>
      </w:r>
      <w:r>
        <w:rPr>
          <w:rFonts w:cs="Calibri"/>
        </w:rPr>
        <w:t>(</w:t>
      </w:r>
      <w:r w:rsidRPr="00BA34A3">
        <w:rPr>
          <w:rFonts w:cs="Calibri"/>
        </w:rPr>
        <w:t>FOTL</w:t>
      </w:r>
      <w:r>
        <w:rPr>
          <w:rFonts w:cs="Calibri"/>
        </w:rPr>
        <w:t xml:space="preserve"> 7;</w:t>
      </w:r>
      <w:r w:rsidRPr="00BA34A3">
        <w:rPr>
          <w:rFonts w:cs="Calibri"/>
        </w:rPr>
        <w:t xml:space="preserve"> Grand Rapids: Eerdmans, 2003</w:t>
      </w:r>
      <w:r>
        <w:rPr>
          <w:rFonts w:cs="Calibri"/>
        </w:rPr>
        <w:t>), 81.</w:t>
      </w:r>
    </w:p>
  </w:footnote>
  <w:footnote w:id="89">
    <w:p w14:paraId="4957A68A" w14:textId="77777777" w:rsidR="007B7018" w:rsidRPr="00872C6B" w:rsidRDefault="007B7018" w:rsidP="00E63634">
      <w:pPr>
        <w:pStyle w:val="FootnoteText"/>
      </w:pPr>
      <w:r>
        <w:rPr>
          <w:rStyle w:val="FootnoteReference"/>
        </w:rPr>
        <w:footnoteRef/>
      </w:r>
      <w:r>
        <w:t xml:space="preserve"> </w:t>
      </w:r>
      <w:r w:rsidRPr="00872C6B">
        <w:rPr>
          <w:rFonts w:cs="Calibri"/>
        </w:rPr>
        <w:t xml:space="preserve">Eslinger, </w:t>
      </w:r>
      <w:r w:rsidRPr="00872C6B">
        <w:rPr>
          <w:rFonts w:cs="Calibri"/>
          <w:i/>
        </w:rPr>
        <w:t>Kingship of God in Crisis</w:t>
      </w:r>
      <w:r>
        <w:rPr>
          <w:rFonts w:cs="Calibri"/>
          <w:iCs/>
        </w:rPr>
        <w:t>, 199</w:t>
      </w:r>
      <w:r>
        <w:rPr>
          <w:rFonts w:cs="Calibri"/>
        </w:rPr>
        <w:t>.</w:t>
      </w:r>
    </w:p>
  </w:footnote>
  <w:footnote w:id="90">
    <w:p w14:paraId="2A6B3F30" w14:textId="79E4C8B1" w:rsidR="007B7018" w:rsidRDefault="007B7018" w:rsidP="00807855">
      <w:pPr>
        <w:pStyle w:val="FootnoteText"/>
      </w:pPr>
      <w:r>
        <w:rPr>
          <w:rStyle w:val="FootnoteReference"/>
        </w:rPr>
        <w:footnoteRef/>
      </w:r>
      <w:r>
        <w:t xml:space="preserve"> Miscall, </w:t>
      </w:r>
      <w:r w:rsidRPr="00BA34A3">
        <w:rPr>
          <w:rFonts w:cs="Calibri"/>
          <w:i/>
        </w:rPr>
        <w:t>1 Samuel</w:t>
      </w:r>
      <w:r>
        <w:rPr>
          <w:rFonts w:cs="Calibri"/>
        </w:rPr>
        <w:t xml:space="preserve">, </w:t>
      </w:r>
      <w:r>
        <w:t>34-35.</w:t>
      </w:r>
    </w:p>
  </w:footnote>
  <w:footnote w:id="91">
    <w:p w14:paraId="146D71FC" w14:textId="5EA598C5" w:rsidR="007B7018" w:rsidRPr="00775496" w:rsidRDefault="007B7018" w:rsidP="00EB7754">
      <w:pPr>
        <w:pStyle w:val="FootnoteText"/>
      </w:pPr>
      <w:r>
        <w:rPr>
          <w:rStyle w:val="FootnoteReference"/>
        </w:rPr>
        <w:footnoteRef/>
      </w:r>
      <w:r>
        <w:t xml:space="preserve"> Walter Brueggemann, </w:t>
      </w:r>
      <w:r>
        <w:rPr>
          <w:i/>
          <w:iCs/>
        </w:rPr>
        <w:t>First and Second Samuel</w:t>
      </w:r>
      <w:r>
        <w:t xml:space="preserve"> (</w:t>
      </w:r>
      <w:r w:rsidRPr="00BA34A3">
        <w:rPr>
          <w:rFonts w:cs="Calibri"/>
        </w:rPr>
        <w:t>Interpretation</w:t>
      </w:r>
      <w:r>
        <w:rPr>
          <w:rFonts w:cs="Calibri"/>
        </w:rPr>
        <w:t>: A Bible Commentary for Teaching and Preaching;</w:t>
      </w:r>
      <w:r w:rsidRPr="00BA34A3">
        <w:rPr>
          <w:rFonts w:cs="Calibri"/>
        </w:rPr>
        <w:t xml:space="preserve"> Louisville: John Knox, 1990</w:t>
      </w:r>
      <w:r>
        <w:rPr>
          <w:rFonts w:cs="Calibri"/>
        </w:rPr>
        <w:t>)</w:t>
      </w:r>
      <w:r>
        <w:t>, 50.</w:t>
      </w:r>
    </w:p>
  </w:footnote>
  <w:footnote w:id="92">
    <w:p w14:paraId="4892BD77" w14:textId="46AD286C" w:rsidR="007B7018" w:rsidRDefault="007B7018">
      <w:pPr>
        <w:pStyle w:val="FootnoteText"/>
      </w:pPr>
      <w:r>
        <w:rPr>
          <w:rStyle w:val="FootnoteReference"/>
        </w:rPr>
        <w:footnoteRef/>
      </w:r>
      <w:r>
        <w:t xml:space="preserve"> Peterson, </w:t>
      </w:r>
      <w:r w:rsidRPr="00BA34A3">
        <w:rPr>
          <w:rFonts w:ascii="Calibri" w:hAnsi="Calibri" w:cs="Calibri"/>
          <w:i/>
        </w:rPr>
        <w:t>First and Second Samuel</w:t>
      </w:r>
      <w:r>
        <w:rPr>
          <w:rFonts w:ascii="Calibri" w:hAnsi="Calibri" w:cs="Calibri"/>
          <w:iCs/>
        </w:rPr>
        <w:t>,</w:t>
      </w:r>
      <w:r>
        <w:t xml:space="preserve"> 51.</w:t>
      </w:r>
    </w:p>
  </w:footnote>
  <w:footnote w:id="93">
    <w:p w14:paraId="4F113201" w14:textId="77777777" w:rsidR="007B7018" w:rsidRDefault="007B7018" w:rsidP="00B208A2">
      <w:pPr>
        <w:pStyle w:val="FootnoteText"/>
      </w:pPr>
      <w:r>
        <w:rPr>
          <w:rStyle w:val="FootnoteReference"/>
        </w:rPr>
        <w:footnoteRef/>
      </w:r>
      <w:r>
        <w:t xml:space="preserve"> See the section above on “Prayer and Promise.”</w:t>
      </w:r>
    </w:p>
  </w:footnote>
  <w:footnote w:id="94">
    <w:p w14:paraId="0D741FA9" w14:textId="77777777" w:rsidR="007B7018" w:rsidRPr="00F4684A" w:rsidRDefault="007B7018" w:rsidP="00316CA9">
      <w:pPr>
        <w:pStyle w:val="FootnoteText"/>
        <w:rPr>
          <w:iCs/>
        </w:rPr>
      </w:pPr>
      <w:r>
        <w:rPr>
          <w:rStyle w:val="FootnoteReference"/>
        </w:rPr>
        <w:footnoteRef/>
      </w:r>
      <w:r>
        <w:t xml:space="preserve"> Campbell</w:t>
      </w:r>
      <w:r w:rsidRPr="00BA34A3">
        <w:rPr>
          <w:rFonts w:cs="Calibri"/>
        </w:rPr>
        <w:t xml:space="preserve">, </w:t>
      </w:r>
      <w:r w:rsidRPr="00BA34A3">
        <w:rPr>
          <w:rFonts w:cs="Calibri"/>
          <w:i/>
        </w:rPr>
        <w:t>1 Samuel</w:t>
      </w:r>
      <w:r>
        <w:rPr>
          <w:rFonts w:cs="Calibri"/>
          <w:iCs/>
        </w:rPr>
        <w:t>, 86.</w:t>
      </w:r>
    </w:p>
  </w:footnote>
  <w:footnote w:id="95">
    <w:p w14:paraId="13DBEE9E" w14:textId="710DB4CC" w:rsidR="007B7018" w:rsidRDefault="007B7018" w:rsidP="00CF2B39">
      <w:pPr>
        <w:pStyle w:val="FootnoteText"/>
      </w:pPr>
      <w:r>
        <w:rPr>
          <w:rStyle w:val="FootnoteReference"/>
        </w:rPr>
        <w:footnoteRef/>
      </w:r>
      <w:r>
        <w:t xml:space="preserve"> </w:t>
      </w:r>
      <w:r>
        <w:rPr>
          <w:rFonts w:cs="Calibri"/>
        </w:rPr>
        <w:t>Rosenberg, “I and 2 Samuel,” 125-26.</w:t>
      </w:r>
    </w:p>
  </w:footnote>
  <w:footnote w:id="96">
    <w:p w14:paraId="3E1E4E39" w14:textId="774C544D" w:rsidR="007B7018" w:rsidRDefault="007B7018">
      <w:pPr>
        <w:pStyle w:val="FootnoteText"/>
      </w:pPr>
      <w:r>
        <w:rPr>
          <w:rStyle w:val="FootnoteReference"/>
        </w:rPr>
        <w:footnoteRef/>
      </w:r>
      <w:r>
        <w:t xml:space="preserve"> But the expression is odd, and KJV follows Tg, Vg in making the last clause, “are after…” (which is unique as an alternative to “go after” Yahweh) the apodosis.</w:t>
      </w:r>
    </w:p>
  </w:footnote>
  <w:footnote w:id="97">
    <w:p w14:paraId="331DCD1B" w14:textId="77777777" w:rsidR="007B7018" w:rsidRPr="009E216A" w:rsidRDefault="007B7018" w:rsidP="007B1E23">
      <w:pPr>
        <w:pStyle w:val="FootnoteText"/>
      </w:pPr>
      <w:r>
        <w:rPr>
          <w:rStyle w:val="FootnoteReference"/>
        </w:rPr>
        <w:footnoteRef/>
      </w:r>
      <w:r>
        <w:t xml:space="preserve"> Chapman, </w:t>
      </w:r>
      <w:r w:rsidRPr="00B969F3">
        <w:rPr>
          <w:i/>
          <w:iCs/>
          <w:color w:val="000000"/>
        </w:rPr>
        <w:t>1 Samuel as Christian Scripture</w:t>
      </w:r>
      <w:r>
        <w:rPr>
          <w:color w:val="000000"/>
        </w:rPr>
        <w:t>, 61.</w:t>
      </w:r>
    </w:p>
  </w:footnote>
  <w:footnote w:id="98">
    <w:p w14:paraId="799F4BE1" w14:textId="77777777" w:rsidR="007B7018" w:rsidRDefault="007B7018" w:rsidP="00496B10">
      <w:pPr>
        <w:pStyle w:val="FootnoteText"/>
      </w:pPr>
      <w:r>
        <w:rPr>
          <w:rStyle w:val="FootnoteReference"/>
        </w:rPr>
        <w:footnoteRef/>
      </w:r>
      <w:r>
        <w:t xml:space="preserve"> Eslinger,</w:t>
      </w:r>
      <w:r w:rsidRPr="00907B0F">
        <w:rPr>
          <w:rFonts w:cs="Calibri"/>
          <w:i/>
        </w:rPr>
        <w:t xml:space="preserve"> </w:t>
      </w:r>
      <w:r w:rsidRPr="00872C6B">
        <w:rPr>
          <w:rFonts w:cs="Calibri"/>
          <w:i/>
        </w:rPr>
        <w:t>Kingship of God in Crisis</w:t>
      </w:r>
      <w:r>
        <w:t>, 415.</w:t>
      </w:r>
    </w:p>
  </w:footnote>
  <w:footnote w:id="99">
    <w:p w14:paraId="5C12E492" w14:textId="01CF601C" w:rsidR="007B7018" w:rsidRDefault="007B7018" w:rsidP="00F51EE0">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rPr>
        <w:t xml:space="preserve"> 4:</w:t>
      </w:r>
      <w:r>
        <w:t>532.</w:t>
      </w:r>
    </w:p>
  </w:footnote>
  <w:footnote w:id="100">
    <w:p w14:paraId="2672EA78" w14:textId="087408BC" w:rsidR="007B7018" w:rsidRPr="00313DA9" w:rsidRDefault="007B7018" w:rsidP="006D3821">
      <w:pPr>
        <w:pStyle w:val="FootnoteText"/>
      </w:pPr>
      <w:r w:rsidRPr="00BF32DE">
        <w:rPr>
          <w:rStyle w:val="FootnoteReference"/>
        </w:rPr>
        <w:footnoteRef/>
      </w:r>
      <w:r w:rsidRPr="00BF32DE">
        <w:t xml:space="preserve"> </w:t>
      </w:r>
      <w:r w:rsidRPr="00BF32DE">
        <w:rPr>
          <w:rFonts w:ascii="Calibri" w:hAnsi="Calibri" w:cs="Calibri"/>
        </w:rPr>
        <w:t>Viktorin</w:t>
      </w:r>
      <w:r>
        <w:rPr>
          <w:rFonts w:ascii="Calibri" w:hAnsi="Calibri" w:cs="Calibri"/>
        </w:rPr>
        <w:t xml:space="preserve"> </w:t>
      </w:r>
      <w:r w:rsidRPr="00BF32DE">
        <w:rPr>
          <w:rFonts w:ascii="Calibri" w:hAnsi="Calibri" w:cs="Calibri"/>
        </w:rPr>
        <w:t xml:space="preserve">Strigel, </w:t>
      </w:r>
      <w:r w:rsidRPr="00BF32DE">
        <w:rPr>
          <w:rFonts w:ascii="Calibri" w:eastAsia="AJensonPro-It" w:hAnsi="Calibri" w:cs="Calibri"/>
          <w:i/>
          <w:iCs/>
        </w:rPr>
        <w:t>Libri Samuelis, Regum et Paralipomenon</w:t>
      </w:r>
      <w:r w:rsidRPr="00BF32DE">
        <w:rPr>
          <w:rFonts w:ascii="Calibri" w:eastAsia="AJensonPro-It" w:hAnsi="Calibri" w:cs="Calibri"/>
        </w:rPr>
        <w:t xml:space="preserve">, 41; cf. </w:t>
      </w:r>
      <w:r w:rsidRPr="00BF32DE">
        <w:rPr>
          <w:rFonts w:cs="Calibri"/>
        </w:rPr>
        <w:t>Cooper and</w:t>
      </w:r>
      <w:r>
        <w:rPr>
          <w:rFonts w:cs="Calibri"/>
        </w:rPr>
        <w:t xml:space="preserve"> </w:t>
      </w:r>
      <w:r w:rsidRPr="00BF32DE">
        <w:rPr>
          <w:rFonts w:cs="Calibri"/>
        </w:rPr>
        <w:t>Loh</w:t>
      </w:r>
      <w:r>
        <w:rPr>
          <w:rFonts w:cs="Calibri"/>
        </w:rPr>
        <w:t>r</w:t>
      </w:r>
      <w:r w:rsidRPr="00BF32DE">
        <w:rPr>
          <w:rFonts w:cs="Calibri"/>
        </w:rPr>
        <w:t xml:space="preserve">mann, </w:t>
      </w:r>
      <w:r w:rsidRPr="00BF32DE">
        <w:rPr>
          <w:rFonts w:ascii="Calibri" w:hAnsi="Calibri" w:cs="Calibri"/>
          <w:i/>
          <w:iCs/>
          <w:shd w:val="clear" w:color="auto" w:fill="FFFFFF"/>
        </w:rPr>
        <w:t>1 – 2 Samuel,</w:t>
      </w:r>
      <w:r w:rsidRPr="00BF32DE">
        <w:rPr>
          <w:rFonts w:ascii="Calibri" w:eastAsia="AJensonPro-It" w:hAnsi="Calibri" w:cs="Calibri"/>
        </w:rPr>
        <w:t xml:space="preserve"> 51</w:t>
      </w:r>
      <w:r>
        <w:rPr>
          <w:rFonts w:ascii="AJensonPro-It" w:eastAsia="AJensonPro-It" w:cs="AJensonPro-It"/>
          <w:sz w:val="16"/>
          <w:szCs w:val="16"/>
        </w:rPr>
        <w:t>.</w:t>
      </w:r>
    </w:p>
  </w:footnote>
  <w:footnote w:id="101">
    <w:p w14:paraId="1EFB3864" w14:textId="77777777" w:rsidR="007B7018" w:rsidRDefault="007B7018" w:rsidP="00AB6F2A">
      <w:pPr>
        <w:pStyle w:val="FootnoteText"/>
      </w:pPr>
      <w:r>
        <w:rPr>
          <w:rStyle w:val="FootnoteReference"/>
        </w:rPr>
        <w:footnoteRef/>
      </w:r>
      <w:r>
        <w:t xml:space="preserve"> Michael Widmer</w:t>
      </w:r>
      <w:r w:rsidRPr="001E422C">
        <w:rPr>
          <w:rFonts w:cstheme="minorHAnsi"/>
        </w:rPr>
        <w:t xml:space="preserve">, </w:t>
      </w:r>
      <w:r w:rsidRPr="001E422C">
        <w:rPr>
          <w:rFonts w:cstheme="minorHAnsi"/>
          <w:i/>
          <w:iCs/>
        </w:rPr>
        <w:t>Standing in the Breach: An Old Testament Theology and Spirituality of Intercessory Prayer</w:t>
      </w:r>
      <w:r>
        <w:rPr>
          <w:rFonts w:cstheme="minorHAnsi"/>
        </w:rPr>
        <w:t xml:space="preserve"> (Winona Lake, IN: Eisenbrauns, 2015)</w:t>
      </w:r>
      <w:r>
        <w:t>, 202-5.</w:t>
      </w:r>
    </w:p>
  </w:footnote>
  <w:footnote w:id="102">
    <w:p w14:paraId="26EE00EE" w14:textId="02750FBC" w:rsidR="007B7018" w:rsidRDefault="007B7018" w:rsidP="00545982">
      <w:pPr>
        <w:pStyle w:val="FootnoteText"/>
      </w:pPr>
      <w:r>
        <w:rPr>
          <w:rStyle w:val="FootnoteReference"/>
        </w:rPr>
        <w:footnoteRef/>
      </w:r>
      <w:r>
        <w:t xml:space="preserve"> Lyle Eslinger, </w:t>
      </w:r>
      <w:r>
        <w:rPr>
          <w:i/>
          <w:iCs/>
        </w:rPr>
        <w:t>Into the Hands of the Living God</w:t>
      </w:r>
      <w:r>
        <w:t>, JSOTSup 84 (Sheffield: Sheffield Academic, 1989), 117.</w:t>
      </w:r>
    </w:p>
  </w:footnote>
  <w:footnote w:id="103">
    <w:p w14:paraId="5389B0A2" w14:textId="26E8F112" w:rsidR="007B7018" w:rsidRDefault="007B7018">
      <w:pPr>
        <w:pStyle w:val="FootnoteText"/>
      </w:pPr>
      <w:r>
        <w:rPr>
          <w:rStyle w:val="FootnoteReference"/>
        </w:rPr>
        <w:footnoteRef/>
      </w:r>
      <w:r>
        <w:t xml:space="preserve"> H. W. </w:t>
      </w:r>
      <w:r w:rsidRPr="009A3739">
        <w:t xml:space="preserve">Hertzberg, </w:t>
      </w:r>
      <w:r w:rsidRPr="009A3739">
        <w:rPr>
          <w:i/>
        </w:rPr>
        <w:t>I &amp; II Samuel</w:t>
      </w:r>
      <w:r>
        <w:t xml:space="preserve">: </w:t>
      </w:r>
      <w:r w:rsidRPr="00C51101">
        <w:rPr>
          <w:i/>
          <w:iCs/>
        </w:rPr>
        <w:t>A Commentary</w:t>
      </w:r>
      <w:r>
        <w:t xml:space="preserve">, </w:t>
      </w:r>
      <w:r w:rsidRPr="009A3739">
        <w:t>O</w:t>
      </w:r>
      <w:r>
        <w:t>TL</w:t>
      </w:r>
      <w:r w:rsidRPr="009A3739">
        <w:t xml:space="preserve"> </w:t>
      </w:r>
      <w:r>
        <w:t>(</w:t>
      </w:r>
      <w:r w:rsidRPr="009A3739">
        <w:t>London: SCM, 1964</w:t>
      </w:r>
      <w:r>
        <w:t>), 97, following Martin Noth.</w:t>
      </w:r>
    </w:p>
  </w:footnote>
  <w:footnote w:id="104">
    <w:p w14:paraId="56DF2D64" w14:textId="61DBAB70" w:rsidR="007B7018" w:rsidRDefault="007B7018">
      <w:pPr>
        <w:pStyle w:val="FootnoteText"/>
      </w:pPr>
      <w:r>
        <w:rPr>
          <w:rStyle w:val="FootnoteReference"/>
        </w:rPr>
        <w:footnoteRef/>
      </w:r>
      <w:r>
        <w:t xml:space="preserve"> </w:t>
      </w:r>
      <w:r w:rsidRPr="00BC2F86">
        <w:t xml:space="preserve">Rachelle Gilmour, </w:t>
      </w:r>
      <w:r w:rsidRPr="00BC2F86">
        <w:rPr>
          <w:rFonts w:cstheme="minorHAnsi"/>
          <w:i/>
          <w:iCs/>
        </w:rPr>
        <w:t xml:space="preserve">Representing the Past: </w:t>
      </w:r>
      <w:r w:rsidRPr="00BC2F86">
        <w:rPr>
          <w:rFonts w:ascii="Calibri" w:hAnsi="Calibri" w:cs="Calibri"/>
          <w:i/>
          <w:iCs/>
        </w:rPr>
        <w:t>A Literary Analysis of Narrative Historiography in</w:t>
      </w:r>
      <w:r w:rsidRPr="00BC2F86">
        <w:rPr>
          <w:rFonts w:cs="Calibri"/>
          <w:i/>
          <w:iCs/>
        </w:rPr>
        <w:t xml:space="preserve"> the Book of Samuel</w:t>
      </w:r>
      <w:r>
        <w:rPr>
          <w:rFonts w:cs="Calibri"/>
        </w:rPr>
        <w:t xml:space="preserve">, </w:t>
      </w:r>
      <w:r w:rsidRPr="00BC2F86">
        <w:rPr>
          <w:rFonts w:cs="Calibri"/>
        </w:rPr>
        <w:t xml:space="preserve">VTSup 143 </w:t>
      </w:r>
      <w:r>
        <w:rPr>
          <w:rFonts w:cs="Calibri"/>
        </w:rPr>
        <w:t>(</w:t>
      </w:r>
      <w:r w:rsidRPr="00BC2F86">
        <w:rPr>
          <w:rFonts w:cs="Calibri"/>
        </w:rPr>
        <w:t>Leiden: Brill, 2011)</w:t>
      </w:r>
      <w:r>
        <w:rPr>
          <w:rFonts w:cs="Calibri"/>
        </w:rPr>
        <w:t xml:space="preserve"> 187, 194, 198.</w:t>
      </w:r>
    </w:p>
  </w:footnote>
  <w:footnote w:id="105">
    <w:p w14:paraId="0B33FBEB" w14:textId="77777777" w:rsidR="007B7018" w:rsidRDefault="007B7018" w:rsidP="004F0B86">
      <w:pPr>
        <w:pStyle w:val="FootnoteText"/>
      </w:pPr>
      <w:r>
        <w:rPr>
          <w:rStyle w:val="FootnoteReference"/>
        </w:rPr>
        <w:footnoteRef/>
      </w:r>
      <w:r>
        <w:t xml:space="preserve"> Moshe Halbertal and Stephen Holmes, </w:t>
      </w:r>
      <w:r>
        <w:rPr>
          <w:i/>
          <w:iCs/>
        </w:rPr>
        <w:t xml:space="preserve">The Beginning of Politics: </w:t>
      </w:r>
      <w:r w:rsidRPr="007A0557">
        <w:rPr>
          <w:rFonts w:cs="Calibri"/>
          <w:i/>
          <w:iCs/>
        </w:rPr>
        <w:t>Power in the Biblical Book of Samuel</w:t>
      </w:r>
      <w:r>
        <w:rPr>
          <w:rFonts w:cs="Calibri"/>
        </w:rPr>
        <w:t xml:space="preserve"> (Princeton: Princeton University Press, 2017), 2, 4, 5.</w:t>
      </w:r>
    </w:p>
  </w:footnote>
  <w:footnote w:id="106">
    <w:p w14:paraId="69F6D122" w14:textId="2E0A71EC" w:rsidR="007B7018" w:rsidRPr="008435D1" w:rsidRDefault="007B7018">
      <w:pPr>
        <w:pStyle w:val="FootnoteText"/>
      </w:pPr>
      <w:r>
        <w:rPr>
          <w:rStyle w:val="FootnoteReference"/>
        </w:rPr>
        <w:footnoteRef/>
      </w:r>
      <w:r>
        <w:t xml:space="preserve"> </w:t>
      </w:r>
      <w:r>
        <w:rPr>
          <w:rFonts w:cstheme="minorHAnsi"/>
        </w:rPr>
        <w:t xml:space="preserve">J. G. </w:t>
      </w:r>
      <w:r w:rsidRPr="008435D1">
        <w:rPr>
          <w:rFonts w:cstheme="minorHAnsi"/>
        </w:rPr>
        <w:t xml:space="preserve">McConville, </w:t>
      </w:r>
      <w:r w:rsidRPr="008435D1">
        <w:rPr>
          <w:rFonts w:cstheme="minorHAnsi"/>
          <w:i/>
          <w:iCs/>
        </w:rPr>
        <w:t xml:space="preserve">God and Earthly </w:t>
      </w:r>
      <w:r w:rsidRPr="008435D1">
        <w:rPr>
          <w:rFonts w:ascii="Calibri" w:hAnsi="Calibri" w:cs="Calibri"/>
          <w:i/>
          <w:iCs/>
        </w:rPr>
        <w:t>Power: An</w:t>
      </w:r>
      <w:r w:rsidRPr="008435D1">
        <w:rPr>
          <w:rFonts w:ascii="Calibri" w:hAnsi="Calibri" w:cs="Calibri"/>
        </w:rPr>
        <w:t xml:space="preserve"> </w:t>
      </w:r>
      <w:r w:rsidRPr="008435D1">
        <w:rPr>
          <w:rFonts w:ascii="Calibri" w:hAnsi="Calibri" w:cs="Calibri"/>
          <w:i/>
          <w:iCs/>
        </w:rPr>
        <w:t>Old Testament Political Theology</w:t>
      </w:r>
      <w:r w:rsidRPr="008435D1">
        <w:rPr>
          <w:rFonts w:cs="Calibri"/>
          <w:i/>
          <w:iCs/>
        </w:rPr>
        <w:t xml:space="preserve"> Genesis-Kings</w:t>
      </w:r>
      <w:r>
        <w:rPr>
          <w:rFonts w:cs="Calibri"/>
        </w:rPr>
        <w:t xml:space="preserve">, </w:t>
      </w:r>
      <w:r w:rsidRPr="008435D1">
        <w:rPr>
          <w:rFonts w:cs="Calibri"/>
        </w:rPr>
        <w:t xml:space="preserve">LHBOTS 454 </w:t>
      </w:r>
      <w:r>
        <w:rPr>
          <w:rFonts w:cs="Calibri"/>
        </w:rPr>
        <w:t>(</w:t>
      </w:r>
      <w:r w:rsidRPr="008435D1">
        <w:rPr>
          <w:rFonts w:cs="Calibri"/>
        </w:rPr>
        <w:t>London: T &amp; T Clark, 2006</w:t>
      </w:r>
      <w:r>
        <w:rPr>
          <w:rFonts w:cs="Calibri"/>
        </w:rPr>
        <w:t>), 133.</w:t>
      </w:r>
    </w:p>
  </w:footnote>
  <w:footnote w:id="107">
    <w:p w14:paraId="5EDB2D7B" w14:textId="601768B7" w:rsidR="007B7018" w:rsidRDefault="007B7018" w:rsidP="00B3614A">
      <w:pPr>
        <w:pStyle w:val="FootnoteText"/>
      </w:pPr>
      <w:r>
        <w:rPr>
          <w:rStyle w:val="FootnoteReference"/>
        </w:rPr>
        <w:footnoteRef/>
      </w:r>
      <w:r>
        <w:t xml:space="preserve"> V. Philipps Long, </w:t>
      </w:r>
      <w:r w:rsidRPr="00B3614A">
        <w:rPr>
          <w:i/>
          <w:iCs/>
        </w:rPr>
        <w:t>I &amp; II Samuel</w:t>
      </w:r>
      <w:r w:rsidRPr="00B3614A">
        <w:t xml:space="preserve"> </w:t>
      </w:r>
      <w:r>
        <w:t>(</w:t>
      </w:r>
      <w:r w:rsidRPr="00B3614A">
        <w:t>Grand Rapids: Zondervan, 2009</w:t>
      </w:r>
      <w:r>
        <w:t>), Introduction.</w:t>
      </w:r>
    </w:p>
  </w:footnote>
  <w:footnote w:id="108">
    <w:p w14:paraId="1A04F44C" w14:textId="70DCA52F" w:rsidR="007B7018" w:rsidRPr="00415493" w:rsidRDefault="007B7018">
      <w:pPr>
        <w:pStyle w:val="FootnoteText"/>
      </w:pPr>
      <w:r>
        <w:rPr>
          <w:rStyle w:val="FootnoteReference"/>
        </w:rPr>
        <w:footnoteRef/>
      </w:r>
      <w:r>
        <w:t xml:space="preserve"> Karl Barth, </w:t>
      </w:r>
      <w:r>
        <w:rPr>
          <w:i/>
          <w:iCs/>
        </w:rPr>
        <w:t>Church Dogmatics</w:t>
      </w:r>
      <w:r>
        <w:t xml:space="preserve"> III/1 (reprinted London: T &amp; T Clark, 2010), 438.</w:t>
      </w:r>
    </w:p>
  </w:footnote>
  <w:footnote w:id="109">
    <w:p w14:paraId="7364402B" w14:textId="3A07F275" w:rsidR="007B7018" w:rsidRPr="00FE2C71" w:rsidRDefault="007B7018">
      <w:pPr>
        <w:pStyle w:val="FootnoteText"/>
      </w:pPr>
      <w:r>
        <w:rPr>
          <w:rStyle w:val="FootnoteReference"/>
        </w:rPr>
        <w:footnoteRef/>
      </w:r>
      <w:r>
        <w:t xml:space="preserve"> Van Wijk-bos, </w:t>
      </w:r>
      <w:r w:rsidRPr="00972463">
        <w:rPr>
          <w:rFonts w:eastAsia="Times New Roman" w:cs="Calibri"/>
          <w:i/>
          <w:iCs/>
          <w:color w:val="3A3A3A"/>
        </w:rPr>
        <w:t>Reading Samuel</w:t>
      </w:r>
      <w:r>
        <w:rPr>
          <w:rFonts w:eastAsia="Times New Roman" w:cs="Calibri"/>
          <w:color w:val="3A3A3A"/>
        </w:rPr>
        <w:t>, 58.</w:t>
      </w:r>
    </w:p>
  </w:footnote>
  <w:footnote w:id="110">
    <w:p w14:paraId="30F6CCCF" w14:textId="7FBCEE37" w:rsidR="007B7018" w:rsidRPr="00B44134" w:rsidRDefault="007B7018">
      <w:pPr>
        <w:pStyle w:val="FootnoteText"/>
      </w:pPr>
      <w:r>
        <w:rPr>
          <w:rStyle w:val="FootnoteReference"/>
        </w:rPr>
        <w:footnoteRef/>
      </w:r>
      <w:r>
        <w:t xml:space="preserve"> Jerry Hwang, “Yahweh’s Poetic </w:t>
      </w:r>
      <w:r>
        <w:rPr>
          <w:i/>
          <w:iCs/>
        </w:rPr>
        <w:t>Mishpat</w:t>
      </w:r>
      <w:r>
        <w:t xml:space="preserve"> in Israel’s Kingship,” </w:t>
      </w:r>
      <w:r>
        <w:rPr>
          <w:i/>
          <w:iCs/>
        </w:rPr>
        <w:t>Westminster Theological Journal</w:t>
      </w:r>
      <w:r>
        <w:t xml:space="preserve"> 73 (2011): 341-61.</w:t>
      </w:r>
    </w:p>
  </w:footnote>
  <w:footnote w:id="111">
    <w:p w14:paraId="5E667BD1" w14:textId="2F7308E1" w:rsidR="007B7018" w:rsidRPr="00D85E9F" w:rsidRDefault="007B7018" w:rsidP="00BD18BD">
      <w:pPr>
        <w:pStyle w:val="FootnoteText"/>
      </w:pPr>
      <w:r>
        <w:rPr>
          <w:rStyle w:val="FootnoteReference"/>
        </w:rPr>
        <w:footnoteRef/>
      </w:r>
      <w:r>
        <w:t xml:space="preserve"> Campbell, </w:t>
      </w:r>
      <w:r>
        <w:rPr>
          <w:i/>
          <w:iCs/>
        </w:rPr>
        <w:t>1 Samuel</w:t>
      </w:r>
      <w:r>
        <w:t>, 98-100.</w:t>
      </w:r>
    </w:p>
  </w:footnote>
  <w:footnote w:id="112">
    <w:p w14:paraId="27A6F960" w14:textId="4D429E12" w:rsidR="007B7018" w:rsidRDefault="007B7018">
      <w:pPr>
        <w:pStyle w:val="FootnoteText"/>
      </w:pPr>
      <w:r>
        <w:rPr>
          <w:rStyle w:val="FootnoteReference"/>
        </w:rPr>
        <w:footnoteRef/>
      </w:r>
      <w:r>
        <w:t xml:space="preserve"> </w:t>
      </w:r>
      <w:r w:rsidRPr="00437A1A">
        <w:rPr>
          <w:rFonts w:cstheme="minorHAnsi"/>
          <w:color w:val="000000"/>
        </w:rPr>
        <w:t xml:space="preserve">Marcel V. Măcelaru, “Israel </w:t>
      </w:r>
      <w:r w:rsidRPr="00437A1A">
        <w:rPr>
          <w:rFonts w:cstheme="minorHAnsi"/>
        </w:rPr>
        <w:t>i</w:t>
      </w:r>
      <w:r w:rsidRPr="00437A1A">
        <w:rPr>
          <w:rFonts w:cstheme="minorHAnsi"/>
          <w:color w:val="000000"/>
        </w:rPr>
        <w:t xml:space="preserve">n Transition: Liminality </w:t>
      </w:r>
      <w:r w:rsidRPr="00437A1A">
        <w:rPr>
          <w:rFonts w:cstheme="minorHAnsi"/>
        </w:rPr>
        <w:t>a</w:t>
      </w:r>
      <w:r w:rsidRPr="00437A1A">
        <w:rPr>
          <w:rFonts w:cstheme="minorHAnsi"/>
          <w:color w:val="000000"/>
        </w:rPr>
        <w:t xml:space="preserve">nd Status Change In 1 Samuel 8 – 15,” in </w:t>
      </w:r>
      <w:r w:rsidRPr="00120C0B">
        <w:rPr>
          <w:rFonts w:cstheme="minorHAnsi"/>
          <w:i/>
          <w:iCs/>
          <w:color w:val="000000"/>
        </w:rPr>
        <w:t>Bible, Culture, Society</w:t>
      </w:r>
      <w:r w:rsidRPr="00437A1A">
        <w:rPr>
          <w:rFonts w:cstheme="minorHAnsi"/>
          <w:color w:val="000000"/>
        </w:rPr>
        <w:t>, ed.</w:t>
      </w:r>
      <w:r w:rsidRPr="0059489D">
        <w:rPr>
          <w:rFonts w:cstheme="minorHAnsi"/>
          <w:color w:val="000000"/>
        </w:rPr>
        <w:t xml:space="preserve"> Corneliu Constantineanu </w:t>
      </w:r>
      <w:r w:rsidRPr="00437A1A">
        <w:rPr>
          <w:rFonts w:cstheme="minorHAnsi"/>
          <w:color w:val="000000"/>
        </w:rPr>
        <w:t>and Marcel V. Măcelaru (</w:t>
      </w:r>
      <w:r w:rsidRPr="00437A1A">
        <w:rPr>
          <w:rFonts w:cstheme="minorHAnsi"/>
        </w:rPr>
        <w:t xml:space="preserve">Osijek: </w:t>
      </w:r>
      <w:r w:rsidRPr="00987368">
        <w:rPr>
          <w:rFonts w:cstheme="minorHAnsi"/>
          <w:color w:val="000000"/>
        </w:rPr>
        <w:t>Evanđeoski teološki fakultet</w:t>
      </w:r>
      <w:r w:rsidRPr="00437A1A">
        <w:rPr>
          <w:rFonts w:cstheme="minorHAnsi"/>
          <w:color w:val="000000"/>
        </w:rPr>
        <w:t>, 2009</w:t>
      </w:r>
      <w:r w:rsidRPr="00437A1A">
        <w:rPr>
          <w:rFonts w:cstheme="minorHAnsi"/>
        </w:rPr>
        <w:t>), 39-64.</w:t>
      </w:r>
      <w:r>
        <w:rPr>
          <w:rFonts w:cstheme="minorHAnsi"/>
          <w:color w:val="000000"/>
        </w:rPr>
        <w:t xml:space="preserve"> </w:t>
      </w:r>
    </w:p>
  </w:footnote>
  <w:footnote w:id="113">
    <w:p w14:paraId="50C34A23" w14:textId="62E6A370" w:rsidR="007B7018" w:rsidRDefault="007B7018" w:rsidP="004907A4">
      <w:pPr>
        <w:pStyle w:val="FootnoteText"/>
      </w:pPr>
      <w:r>
        <w:rPr>
          <w:rStyle w:val="FootnoteReference"/>
        </w:rPr>
        <w:footnoteRef/>
      </w:r>
      <w:r>
        <w:t xml:space="preserve"> </w:t>
      </w:r>
      <w:r>
        <w:rPr>
          <w:rFonts w:cs="Calibri"/>
        </w:rPr>
        <w:t>Rosenberg, “I and 2 Samuel,” 126.</w:t>
      </w:r>
    </w:p>
  </w:footnote>
  <w:footnote w:id="114">
    <w:p w14:paraId="51A97E6F" w14:textId="77777777" w:rsidR="007B7018" w:rsidRPr="00AC64D8" w:rsidRDefault="007B7018" w:rsidP="0045752D">
      <w:pPr>
        <w:pStyle w:val="FootnoteText"/>
      </w:pPr>
      <w:r>
        <w:rPr>
          <w:rStyle w:val="FootnoteReference"/>
        </w:rPr>
        <w:footnoteRef/>
      </w:r>
      <w:r>
        <w:t xml:space="preserve"> </w:t>
      </w:r>
      <w:r w:rsidRPr="00AC64D8">
        <w:t xml:space="preserve">Barbara Green, </w:t>
      </w:r>
      <w:r w:rsidRPr="00AC64D8">
        <w:rPr>
          <w:rFonts w:cstheme="minorHAnsi"/>
          <w:i/>
          <w:iCs/>
        </w:rPr>
        <w:t>David’s Capacity for Compassion: A Literary-Hermeneutical Study of 1–2 Samuel</w:t>
      </w:r>
      <w:r w:rsidRPr="00AC64D8">
        <w:rPr>
          <w:rFonts w:cstheme="minorHAnsi"/>
        </w:rPr>
        <w:t xml:space="preserve"> (LHBOTS 641; London: T &amp; T Clark</w:t>
      </w:r>
      <w:r>
        <w:rPr>
          <w:rFonts w:cstheme="minorHAnsi"/>
        </w:rPr>
        <w:t>, 2017</w:t>
      </w:r>
      <w:r w:rsidRPr="00AC64D8">
        <w:rPr>
          <w:rFonts w:cstheme="minorHAnsi"/>
        </w:rPr>
        <w:t>),</w:t>
      </w:r>
      <w:r w:rsidRPr="00AC64D8">
        <w:t xml:space="preserve"> 53.</w:t>
      </w:r>
    </w:p>
  </w:footnote>
  <w:footnote w:id="115">
    <w:p w14:paraId="4CFD1939" w14:textId="0D0F3092" w:rsidR="007B7018" w:rsidRDefault="007B7018" w:rsidP="00A276D5">
      <w:pPr>
        <w:pStyle w:val="FootnoteText"/>
      </w:pPr>
      <w:r>
        <w:rPr>
          <w:rStyle w:val="FootnoteReference"/>
        </w:rPr>
        <w:footnoteRef/>
      </w:r>
      <w:r>
        <w:t xml:space="preserve"> </w:t>
      </w:r>
      <w:r w:rsidRPr="009A3739">
        <w:t xml:space="preserve">Hertzberg, </w:t>
      </w:r>
      <w:r w:rsidRPr="009A3739">
        <w:rPr>
          <w:i/>
        </w:rPr>
        <w:t>I &amp; II Samuel</w:t>
      </w:r>
      <w:r>
        <w:t>, 73.</w:t>
      </w:r>
    </w:p>
  </w:footnote>
  <w:footnote w:id="116">
    <w:p w14:paraId="3965165A" w14:textId="483FE920" w:rsidR="007B7018" w:rsidRPr="00D90B38" w:rsidRDefault="007B7018">
      <w:pPr>
        <w:pStyle w:val="FootnoteText"/>
      </w:pPr>
      <w:r>
        <w:rPr>
          <w:rStyle w:val="FootnoteReference"/>
        </w:rPr>
        <w:footnoteRef/>
      </w:r>
      <w:r>
        <w:t xml:space="preserve"> Barth, </w:t>
      </w:r>
      <w:r>
        <w:rPr>
          <w:i/>
          <w:iCs/>
        </w:rPr>
        <w:t>Dogmatics</w:t>
      </w:r>
      <w:r>
        <w:t xml:space="preserve"> III/1, 439.</w:t>
      </w:r>
    </w:p>
  </w:footnote>
  <w:footnote w:id="117">
    <w:p w14:paraId="138030D1" w14:textId="77777777" w:rsidR="007B7018" w:rsidRDefault="007B7018" w:rsidP="00A51938">
      <w:pPr>
        <w:pStyle w:val="FootnoteText"/>
      </w:pPr>
      <w:r>
        <w:rPr>
          <w:rStyle w:val="FootnoteReference"/>
        </w:rPr>
        <w:footnoteRef/>
      </w:r>
      <w:r>
        <w:t xml:space="preserve"> Van Wijk-bos, </w:t>
      </w:r>
      <w:r w:rsidRPr="00115534">
        <w:rPr>
          <w:rFonts w:eastAsia="Times New Roman" w:cs="Calibri"/>
          <w:i/>
          <w:iCs/>
          <w:color w:val="3A3A3A"/>
        </w:rPr>
        <w:t xml:space="preserve">A </w:t>
      </w:r>
      <w:r>
        <w:rPr>
          <w:rFonts w:eastAsia="Times New Roman" w:cs="Calibri"/>
          <w:i/>
          <w:iCs/>
          <w:color w:val="3A3A3A"/>
        </w:rPr>
        <w:t>P</w:t>
      </w:r>
      <w:r w:rsidRPr="00115534">
        <w:rPr>
          <w:rFonts w:eastAsia="Times New Roman" w:cs="Calibri"/>
          <w:i/>
          <w:iCs/>
          <w:color w:val="3A3A3A"/>
        </w:rPr>
        <w:t xml:space="preserve">eople and a </w:t>
      </w:r>
      <w:r>
        <w:rPr>
          <w:rFonts w:eastAsia="Times New Roman" w:cs="Calibri"/>
          <w:i/>
          <w:iCs/>
          <w:color w:val="3A3A3A"/>
        </w:rPr>
        <w:t>L</w:t>
      </w:r>
      <w:r w:rsidRPr="00115534">
        <w:rPr>
          <w:rFonts w:eastAsia="Times New Roman" w:cs="Calibri"/>
          <w:i/>
          <w:iCs/>
          <w:color w:val="3A3A3A"/>
        </w:rPr>
        <w:t>and</w:t>
      </w:r>
      <w:r>
        <w:rPr>
          <w:rFonts w:eastAsia="Times New Roman" w:cs="Calibri"/>
          <w:i/>
          <w:iCs/>
          <w:color w:val="3A3A3A"/>
        </w:rPr>
        <w:t xml:space="preserve"> 2</w:t>
      </w:r>
      <w:r>
        <w:rPr>
          <w:rFonts w:eastAsia="Times New Roman" w:cs="Calibri"/>
          <w:color w:val="3A3A3A"/>
        </w:rPr>
        <w:t xml:space="preserve">, on the passage. </w:t>
      </w:r>
    </w:p>
  </w:footnote>
  <w:footnote w:id="118">
    <w:p w14:paraId="4A457D39" w14:textId="6F0C53C6" w:rsidR="007B7018" w:rsidRDefault="007B7018">
      <w:pPr>
        <w:pStyle w:val="FootnoteText"/>
      </w:pPr>
      <w:r>
        <w:rPr>
          <w:rStyle w:val="FootnoteReference"/>
        </w:rPr>
        <w:footnoteRef/>
      </w:r>
      <w:r>
        <w:t xml:space="preserve"> Birch, “</w:t>
      </w:r>
      <w:r w:rsidRPr="00BA34A3">
        <w:rPr>
          <w:rFonts w:cs="Calibri"/>
        </w:rPr>
        <w:t>First and Second Books of Samuel</w:t>
      </w:r>
      <w:r>
        <w:rPr>
          <w:rFonts w:cs="Calibri"/>
        </w:rPr>
        <w:t>,” on the passage.</w:t>
      </w:r>
    </w:p>
  </w:footnote>
  <w:footnote w:id="119">
    <w:p w14:paraId="1D85FA5A" w14:textId="2287DF60" w:rsidR="007B7018" w:rsidRPr="00AD01ED" w:rsidRDefault="007B7018" w:rsidP="00AD01ED">
      <w:pPr>
        <w:pStyle w:val="FootnoteText"/>
        <w:rPr>
          <w:rFonts w:cstheme="minorHAnsi"/>
        </w:rPr>
      </w:pPr>
      <w:r>
        <w:rPr>
          <w:rStyle w:val="FootnoteReference"/>
        </w:rPr>
        <w:footnoteRef/>
      </w:r>
      <w:r>
        <w:t xml:space="preserve"> See Gale A. Yee, </w:t>
      </w:r>
      <w:r w:rsidRPr="00AD01ED">
        <w:rPr>
          <w:rFonts w:cstheme="minorHAnsi"/>
        </w:rPr>
        <w:t>“</w:t>
      </w:r>
      <w:r>
        <w:rPr>
          <w:rFonts w:cstheme="minorHAnsi"/>
        </w:rPr>
        <w:t>‘</w:t>
      </w:r>
      <w:r w:rsidRPr="00AD01ED">
        <w:rPr>
          <w:rFonts w:cstheme="minorHAnsi"/>
        </w:rPr>
        <w:t>He Will Take the Best of Your Fields</w:t>
      </w:r>
      <w:r>
        <w:rPr>
          <w:rFonts w:cstheme="minorHAnsi"/>
        </w:rPr>
        <w:t>’</w:t>
      </w:r>
      <w:r w:rsidRPr="00AD01ED">
        <w:rPr>
          <w:rFonts w:cstheme="minorHAnsi"/>
        </w:rPr>
        <w:t>:</w:t>
      </w:r>
      <w:r>
        <w:rPr>
          <w:rFonts w:cstheme="minorHAnsi"/>
        </w:rPr>
        <w:t xml:space="preserve"> </w:t>
      </w:r>
      <w:r w:rsidRPr="00AD01ED">
        <w:rPr>
          <w:rFonts w:cstheme="minorHAnsi"/>
        </w:rPr>
        <w:t>Royal Feasts and Rural Extraction</w:t>
      </w:r>
      <w:r>
        <w:rPr>
          <w:rFonts w:cstheme="minorHAnsi"/>
        </w:rPr>
        <w:t xml:space="preserve">,” </w:t>
      </w:r>
      <w:r>
        <w:rPr>
          <w:rFonts w:cstheme="minorHAnsi"/>
          <w:i/>
          <w:iCs/>
        </w:rPr>
        <w:t xml:space="preserve">JBL </w:t>
      </w:r>
      <w:r>
        <w:rPr>
          <w:rFonts w:cstheme="minorHAnsi"/>
        </w:rPr>
        <w:t>136 (2017): 821-38.</w:t>
      </w:r>
    </w:p>
  </w:footnote>
  <w:footnote w:id="120">
    <w:p w14:paraId="5F7213EA" w14:textId="56A6F8DE" w:rsidR="007B7018" w:rsidRPr="00F37ECB" w:rsidRDefault="007B7018">
      <w:pPr>
        <w:pStyle w:val="FootnoteText"/>
      </w:pPr>
      <w:r>
        <w:rPr>
          <w:rStyle w:val="FootnoteReference"/>
        </w:rPr>
        <w:footnoteRef/>
      </w:r>
      <w:r>
        <w:t xml:space="preserve"> Cf. </w:t>
      </w:r>
      <w:r w:rsidRPr="008435D1">
        <w:rPr>
          <w:rFonts w:cstheme="minorHAnsi"/>
        </w:rPr>
        <w:t xml:space="preserve">McConville, </w:t>
      </w:r>
      <w:r w:rsidRPr="008435D1">
        <w:rPr>
          <w:rFonts w:cstheme="minorHAnsi"/>
          <w:i/>
          <w:iCs/>
        </w:rPr>
        <w:t xml:space="preserve">God and Earthly </w:t>
      </w:r>
      <w:r w:rsidRPr="008435D1">
        <w:rPr>
          <w:rFonts w:ascii="Calibri" w:hAnsi="Calibri" w:cs="Calibri"/>
          <w:i/>
          <w:iCs/>
        </w:rPr>
        <w:t>Power</w:t>
      </w:r>
      <w:r>
        <w:rPr>
          <w:rFonts w:ascii="Calibri" w:hAnsi="Calibri" w:cs="Calibri"/>
        </w:rPr>
        <w:t>, 138-39.</w:t>
      </w:r>
    </w:p>
  </w:footnote>
  <w:footnote w:id="121">
    <w:p w14:paraId="45C5EFAC" w14:textId="07A4E652" w:rsidR="007B7018" w:rsidRPr="00250E4A" w:rsidRDefault="007B7018" w:rsidP="003C06DD">
      <w:pPr>
        <w:pStyle w:val="FootnoteText"/>
      </w:pPr>
      <w:r>
        <w:rPr>
          <w:rStyle w:val="FootnoteReference"/>
        </w:rPr>
        <w:footnoteRef/>
      </w:r>
      <w:r>
        <w:t xml:space="preserve"> See Jonathan Kaplan, “</w:t>
      </w:r>
      <w:r w:rsidRPr="003C06DD">
        <w:rPr>
          <w:rFonts w:ascii="Calibri" w:hAnsi="Calibri" w:cs="Calibri"/>
          <w:color w:val="191919"/>
        </w:rPr>
        <w:t>1 Samuel 8:11–18 as</w:t>
      </w:r>
      <w:r>
        <w:t xml:space="preserve"> ‘</w:t>
      </w:r>
      <w:r w:rsidRPr="003C06DD">
        <w:rPr>
          <w:rFonts w:ascii="Calibri" w:hAnsi="Calibri" w:cs="Calibri"/>
          <w:color w:val="191919"/>
        </w:rPr>
        <w:t>A Mirror for Princes</w:t>
      </w:r>
      <w:r>
        <w:rPr>
          <w:rFonts w:ascii="Calibri" w:hAnsi="Calibri" w:cs="Calibri"/>
          <w:color w:val="191919"/>
        </w:rPr>
        <w:t>,’</w:t>
      </w:r>
      <w:r w:rsidRPr="003C06DD">
        <w:rPr>
          <w:rFonts w:ascii="Calibri" w:hAnsi="Calibri" w:cs="Calibri"/>
          <w:color w:val="191919"/>
        </w:rPr>
        <w:t>”</w:t>
      </w:r>
      <w:r>
        <w:rPr>
          <w:rFonts w:ascii="Calibri" w:hAnsi="Calibri" w:cs="Calibri"/>
          <w:color w:val="191919"/>
        </w:rPr>
        <w:t xml:space="preserve"> </w:t>
      </w:r>
      <w:r>
        <w:rPr>
          <w:rFonts w:ascii="Calibri" w:hAnsi="Calibri" w:cs="Calibri"/>
          <w:i/>
          <w:iCs/>
          <w:color w:val="191919"/>
        </w:rPr>
        <w:t>JBL</w:t>
      </w:r>
      <w:r>
        <w:rPr>
          <w:rFonts w:ascii="Calibri" w:hAnsi="Calibri" w:cs="Calibri"/>
          <w:color w:val="191919"/>
        </w:rPr>
        <w:t xml:space="preserve"> 131 (2012): 625-42.</w:t>
      </w:r>
    </w:p>
  </w:footnote>
  <w:footnote w:id="122">
    <w:p w14:paraId="434429B3" w14:textId="00C2D905" w:rsidR="007B7018" w:rsidRPr="00537AC5" w:rsidRDefault="007B7018">
      <w:pPr>
        <w:pStyle w:val="FootnoteText"/>
        <w:rPr>
          <w:iCs/>
        </w:rPr>
      </w:pPr>
      <w:r>
        <w:rPr>
          <w:rStyle w:val="FootnoteReference"/>
        </w:rPr>
        <w:footnoteRef/>
      </w:r>
      <w:r>
        <w:t xml:space="preserve"> Auld, </w:t>
      </w:r>
      <w:r w:rsidRPr="00BA34A3">
        <w:rPr>
          <w:rFonts w:cs="Calibri"/>
          <w:i/>
        </w:rPr>
        <w:t>I &amp; II Samuel</w:t>
      </w:r>
      <w:r>
        <w:rPr>
          <w:rFonts w:cs="Calibri"/>
          <w:iCs/>
        </w:rPr>
        <w:t>, 93.</w:t>
      </w:r>
    </w:p>
  </w:footnote>
  <w:footnote w:id="123">
    <w:p w14:paraId="2FEA81AB" w14:textId="3A56E454" w:rsidR="007B7018" w:rsidRPr="00CE2E13" w:rsidRDefault="007B7018">
      <w:pPr>
        <w:pStyle w:val="FootnoteText"/>
      </w:pPr>
      <w:r>
        <w:rPr>
          <w:rStyle w:val="FootnoteReference"/>
        </w:rPr>
        <w:footnoteRef/>
      </w:r>
      <w:r>
        <w:t xml:space="preserve"> Chapman, </w:t>
      </w:r>
      <w:r w:rsidRPr="00B969F3">
        <w:rPr>
          <w:i/>
          <w:iCs/>
          <w:color w:val="000000"/>
        </w:rPr>
        <w:t>1 Samuel as Christian Scripture</w:t>
      </w:r>
      <w:r>
        <w:rPr>
          <w:color w:val="000000"/>
        </w:rPr>
        <w:t>, 59.</w:t>
      </w:r>
    </w:p>
  </w:footnote>
  <w:footnote w:id="124">
    <w:p w14:paraId="190376D7" w14:textId="7774D0CE" w:rsidR="007B7018" w:rsidRDefault="007B7018" w:rsidP="00ED3CF2">
      <w:pPr>
        <w:pStyle w:val="FootnoteText"/>
      </w:pPr>
      <w:r>
        <w:rPr>
          <w:rStyle w:val="FootnoteReference"/>
        </w:rPr>
        <w:footnoteRef/>
      </w:r>
      <w:r>
        <w:t xml:space="preserve"> </w:t>
      </w:r>
      <w:r>
        <w:rPr>
          <w:rFonts w:cstheme="minorHAnsi"/>
        </w:rPr>
        <w:t xml:space="preserve">Diana Vikander Edelman, </w:t>
      </w:r>
      <w:r>
        <w:rPr>
          <w:rFonts w:cstheme="minorHAnsi"/>
          <w:i/>
          <w:iCs/>
        </w:rPr>
        <w:t xml:space="preserve">King Saul in the Historiography of Judah </w:t>
      </w:r>
      <w:r>
        <w:rPr>
          <w:rFonts w:cstheme="minorHAnsi"/>
        </w:rPr>
        <w:t xml:space="preserve">(JSOTSup 121; Sheffield: Sheffield Academic, 1991), </w:t>
      </w:r>
      <w:r>
        <w:t>41.</w:t>
      </w:r>
    </w:p>
  </w:footnote>
  <w:footnote w:id="125">
    <w:p w14:paraId="197FD8AD" w14:textId="3E547AB8" w:rsidR="007B7018" w:rsidRPr="0022555A" w:rsidRDefault="007B7018">
      <w:pPr>
        <w:pStyle w:val="FootnoteText"/>
        <w:rPr>
          <w:iCs/>
        </w:rPr>
      </w:pPr>
      <w:r>
        <w:rPr>
          <w:rStyle w:val="FootnoteReference"/>
        </w:rPr>
        <w:footnoteRef/>
      </w:r>
      <w:r>
        <w:t xml:space="preserve"> Polzin, </w:t>
      </w:r>
      <w:r w:rsidRPr="00BA34A3">
        <w:rPr>
          <w:rFonts w:cs="Calibri"/>
          <w:i/>
        </w:rPr>
        <w:t>Samuel</w:t>
      </w:r>
      <w:r>
        <w:rPr>
          <w:rFonts w:cs="Calibri"/>
          <w:iCs/>
        </w:rPr>
        <w:t>, 81.</w:t>
      </w:r>
    </w:p>
  </w:footnote>
  <w:footnote w:id="126">
    <w:p w14:paraId="655F2178" w14:textId="34A1ECEB" w:rsidR="007B7018" w:rsidRDefault="007B7018">
      <w:pPr>
        <w:pStyle w:val="FootnoteText"/>
      </w:pPr>
      <w:r>
        <w:rPr>
          <w:rStyle w:val="FootnoteReference"/>
        </w:rPr>
        <w:footnoteRef/>
      </w:r>
      <w:r>
        <w:t xml:space="preserve"> Augustine, “Letter 130,” in </w:t>
      </w:r>
      <w:r>
        <w:rPr>
          <w:i/>
          <w:iCs/>
        </w:rPr>
        <w:t xml:space="preserve">Letters </w:t>
      </w:r>
      <w:r>
        <w:t>(Washington: Catholic University of America, reprinted 2008) 2:376-401 (396); cf. Franke,</w:t>
      </w:r>
      <w:r>
        <w:rPr>
          <w:rFonts w:cs="Calibri"/>
        </w:rPr>
        <w:t xml:space="preserve"> </w:t>
      </w:r>
      <w:r>
        <w:rPr>
          <w:rFonts w:cs="Calibri"/>
          <w:i/>
          <w:iCs/>
        </w:rPr>
        <w:t>Joshua, Judges, Ruth, 1 – 2 Samuel</w:t>
      </w:r>
      <w:r>
        <w:rPr>
          <w:rFonts w:cs="Calibri"/>
        </w:rPr>
        <w:t>, 224</w:t>
      </w:r>
      <w:r>
        <w:t>.</w:t>
      </w:r>
    </w:p>
  </w:footnote>
  <w:footnote w:id="127">
    <w:p w14:paraId="693A9BC4" w14:textId="018A9E37" w:rsidR="007B7018" w:rsidRPr="00C34777" w:rsidRDefault="007B7018" w:rsidP="00C43879">
      <w:pPr>
        <w:pStyle w:val="FootnoteText"/>
      </w:pPr>
      <w:r>
        <w:rPr>
          <w:rStyle w:val="FootnoteReference"/>
        </w:rPr>
        <w:footnoteRef/>
      </w:r>
      <w:r>
        <w:t xml:space="preserve"> P. Kyle McCarter,</w:t>
      </w:r>
      <w:r w:rsidRPr="00222246">
        <w:t xml:space="preserve"> </w:t>
      </w:r>
      <w:r>
        <w:rPr>
          <w:i/>
          <w:iCs/>
        </w:rPr>
        <w:t>II</w:t>
      </w:r>
      <w:r w:rsidRPr="00222246">
        <w:rPr>
          <w:i/>
          <w:iCs/>
        </w:rPr>
        <w:t xml:space="preserve"> Samuel</w:t>
      </w:r>
      <w:r>
        <w:rPr>
          <w:i/>
          <w:iCs/>
        </w:rPr>
        <w:t>: A New Translation with Introduction, Notes and Commentary</w:t>
      </w:r>
      <w:r w:rsidRPr="00222246">
        <w:t xml:space="preserve"> </w:t>
      </w:r>
      <w:r>
        <w:t>(AB</w:t>
      </w:r>
      <w:r w:rsidRPr="00222246">
        <w:t xml:space="preserve"> </w:t>
      </w:r>
      <w:r>
        <w:t>9;</w:t>
      </w:r>
      <w:r w:rsidRPr="00222246">
        <w:t xml:space="preserve"> </w:t>
      </w:r>
      <w:r>
        <w:t>Garden City, NY</w:t>
      </w:r>
      <w:r w:rsidRPr="00222246">
        <w:t>: Doubleday, 198</w:t>
      </w:r>
      <w:r>
        <w:t>4), 8.</w:t>
      </w:r>
    </w:p>
  </w:footnote>
  <w:footnote w:id="128">
    <w:p w14:paraId="3063CD4B" w14:textId="77777777" w:rsidR="007B7018" w:rsidRPr="00537AC5" w:rsidRDefault="007B7018" w:rsidP="00281718">
      <w:pPr>
        <w:pStyle w:val="FootnoteText"/>
        <w:rPr>
          <w:iCs/>
        </w:rPr>
      </w:pPr>
      <w:r>
        <w:rPr>
          <w:rStyle w:val="FootnoteReference"/>
        </w:rPr>
        <w:footnoteRef/>
      </w:r>
      <w:r>
        <w:t xml:space="preserve"> Auld, </w:t>
      </w:r>
      <w:r w:rsidRPr="00BA34A3">
        <w:rPr>
          <w:rFonts w:cs="Calibri"/>
          <w:i/>
        </w:rPr>
        <w:t>I &amp; II Samuel</w:t>
      </w:r>
      <w:r>
        <w:rPr>
          <w:rFonts w:cs="Calibri"/>
          <w:iCs/>
        </w:rPr>
        <w:t>, 96.</w:t>
      </w:r>
    </w:p>
  </w:footnote>
  <w:footnote w:id="129">
    <w:p w14:paraId="3C536492" w14:textId="598DACF2" w:rsidR="007B7018" w:rsidRPr="000B0935" w:rsidRDefault="007B7018">
      <w:pPr>
        <w:pStyle w:val="FootnoteText"/>
      </w:pPr>
      <w:r>
        <w:rPr>
          <w:rStyle w:val="FootnoteReference"/>
        </w:rPr>
        <w:footnoteRef/>
      </w:r>
      <w:r>
        <w:t xml:space="preserve"> McCarter,</w:t>
      </w:r>
      <w:r w:rsidRPr="00222246">
        <w:t xml:space="preserve"> </w:t>
      </w:r>
      <w:r>
        <w:rPr>
          <w:i/>
          <w:iCs/>
        </w:rPr>
        <w:t>I</w:t>
      </w:r>
      <w:r w:rsidRPr="00222246">
        <w:rPr>
          <w:i/>
          <w:iCs/>
        </w:rPr>
        <w:t xml:space="preserve"> Samuel</w:t>
      </w:r>
      <w:r>
        <w:t>, 184.</w:t>
      </w:r>
    </w:p>
  </w:footnote>
  <w:footnote w:id="130">
    <w:p w14:paraId="62E75129" w14:textId="77777777" w:rsidR="007B7018" w:rsidRPr="00551594" w:rsidRDefault="007B7018" w:rsidP="00E9618C">
      <w:pPr>
        <w:pStyle w:val="FootnoteText"/>
      </w:pPr>
      <w:r>
        <w:rPr>
          <w:rStyle w:val="FootnoteReference"/>
        </w:rPr>
        <w:footnoteRef/>
      </w:r>
      <w:r>
        <w:t xml:space="preserve"> Cf. G. F. Hasel, </w:t>
      </w:r>
      <w:r>
        <w:rPr>
          <w:i/>
          <w:iCs/>
        </w:rPr>
        <w:t xml:space="preserve">TDOT </w:t>
      </w:r>
      <w:r>
        <w:t>9:199.</w:t>
      </w:r>
    </w:p>
  </w:footnote>
  <w:footnote w:id="131">
    <w:p w14:paraId="12F26435" w14:textId="683BC6F3" w:rsidR="007B7018" w:rsidRPr="00336899" w:rsidRDefault="007B7018">
      <w:pPr>
        <w:pStyle w:val="FootnoteText"/>
      </w:pPr>
      <w:r>
        <w:rPr>
          <w:rStyle w:val="FootnoteReference"/>
        </w:rPr>
        <w:footnoteRef/>
      </w:r>
      <w:r>
        <w:t xml:space="preserve"> Cf. Eslinger, </w:t>
      </w:r>
      <w:r>
        <w:rPr>
          <w:i/>
          <w:iCs/>
        </w:rPr>
        <w:t>1 Samuel</w:t>
      </w:r>
      <w:r>
        <w:t>, 307.</w:t>
      </w:r>
    </w:p>
  </w:footnote>
  <w:footnote w:id="132">
    <w:p w14:paraId="410316EF" w14:textId="77777777" w:rsidR="007B7018" w:rsidRPr="005613DC" w:rsidRDefault="007B7018" w:rsidP="009D13F5">
      <w:pPr>
        <w:pStyle w:val="FootnoteText"/>
      </w:pPr>
      <w:r>
        <w:rPr>
          <w:rStyle w:val="FootnoteReference"/>
        </w:rPr>
        <w:footnoteRef/>
      </w:r>
      <w:r>
        <w:t xml:space="preserve"> Murphy, </w:t>
      </w:r>
      <w:r>
        <w:rPr>
          <w:i/>
          <w:iCs/>
        </w:rPr>
        <w:t>1 Samuel</w:t>
      </w:r>
      <w:r>
        <w:t>, 63.</w:t>
      </w:r>
    </w:p>
  </w:footnote>
  <w:footnote w:id="133">
    <w:p w14:paraId="2F33F8B9" w14:textId="77777777" w:rsidR="007B7018" w:rsidRDefault="007B7018" w:rsidP="00D127A8">
      <w:pPr>
        <w:pStyle w:val="FootnoteText"/>
      </w:pPr>
      <w:r>
        <w:rPr>
          <w:rStyle w:val="FootnoteReference"/>
        </w:rPr>
        <w:footnoteRef/>
      </w:r>
      <w:r>
        <w:t xml:space="preserve"> Rashi, in </w:t>
      </w:r>
      <w:r w:rsidRPr="003C0FB3">
        <w:rPr>
          <w:rFonts w:cstheme="minorHAnsi"/>
          <w:i/>
        </w:rPr>
        <w:t>miqrā’ôt gәdôlôt</w:t>
      </w:r>
      <w:r>
        <w:rPr>
          <w:rFonts w:cstheme="minorHAnsi"/>
          <w:iCs/>
        </w:rPr>
        <w:t>.</w:t>
      </w:r>
    </w:p>
  </w:footnote>
  <w:footnote w:id="134">
    <w:p w14:paraId="77D9AEF0" w14:textId="77777777" w:rsidR="007B7018" w:rsidRDefault="007B7018" w:rsidP="00D127A8">
      <w:pPr>
        <w:pStyle w:val="FootnoteText"/>
      </w:pPr>
      <w:r>
        <w:rPr>
          <w:rStyle w:val="FootnoteReference"/>
        </w:rPr>
        <w:footnoteRef/>
      </w:r>
      <w:r>
        <w:t xml:space="preserve"> </w:t>
      </w:r>
      <w:r>
        <w:rPr>
          <w:rFonts w:ascii="Calibri" w:hAnsi="Calibri" w:cs="Calibri"/>
          <w:color w:val="000000"/>
        </w:rPr>
        <w:t xml:space="preserve">Andrew </w:t>
      </w:r>
      <w:r>
        <w:rPr>
          <w:rFonts w:cs="Calibri"/>
        </w:rPr>
        <w:t xml:space="preserve">Willet, </w:t>
      </w:r>
      <w:r>
        <w:rPr>
          <w:rFonts w:cs="Calibri"/>
          <w:i/>
          <w:iCs/>
        </w:rPr>
        <w:t>An Harmonie upon the First Booke of Samuel . . . .</w:t>
      </w:r>
      <w:r>
        <w:rPr>
          <w:rFonts w:cs="Calibri"/>
        </w:rPr>
        <w:t xml:space="preserve"> (Cambridge: Greene, 1607</w:t>
      </w:r>
      <w:r>
        <w:rPr>
          <w:rFonts w:ascii="Calibri" w:hAnsi="Calibri" w:cs="Calibri"/>
          <w:color w:val="000000"/>
        </w:rPr>
        <w:t>), 62.</w:t>
      </w:r>
    </w:p>
  </w:footnote>
  <w:footnote w:id="135">
    <w:p w14:paraId="22381AE5" w14:textId="3073F596" w:rsidR="007B7018" w:rsidRPr="00AF1B2B" w:rsidRDefault="007B7018" w:rsidP="00AF1B2B">
      <w:pPr>
        <w:pStyle w:val="FootnoteText"/>
      </w:pPr>
      <w:r>
        <w:rPr>
          <w:rStyle w:val="FootnoteReference"/>
        </w:rPr>
        <w:footnoteRef/>
      </w:r>
      <w:r>
        <w:t xml:space="preserve"> Cf. Jeffrey L. Cooley</w:t>
      </w:r>
      <w:r w:rsidRPr="00AF1B2B">
        <w:t>, “</w:t>
      </w:r>
      <w:r w:rsidRPr="00AF1B2B">
        <w:rPr>
          <w:rFonts w:ascii="Calibri" w:hAnsi="Calibri" w:cs="Calibri"/>
          <w:color w:val="191919"/>
        </w:rPr>
        <w:t>The Story of Saul’s Election (1 Samuel 9</w:t>
      </w:r>
      <w:r>
        <w:rPr>
          <w:rFonts w:ascii="Calibri" w:hAnsi="Calibri" w:cs="Calibri"/>
          <w:color w:val="191919"/>
        </w:rPr>
        <w:t xml:space="preserve"> </w:t>
      </w:r>
      <w:r w:rsidRPr="00AF1B2B">
        <w:rPr>
          <w:rFonts w:ascii="Calibri" w:hAnsi="Calibri" w:cs="Calibri"/>
          <w:color w:val="191919"/>
        </w:rPr>
        <w:t>–</w:t>
      </w:r>
      <w:r>
        <w:rPr>
          <w:rFonts w:ascii="Calibri" w:hAnsi="Calibri" w:cs="Calibri"/>
          <w:color w:val="191919"/>
        </w:rPr>
        <w:t xml:space="preserve"> </w:t>
      </w:r>
      <w:r w:rsidRPr="00AF1B2B">
        <w:rPr>
          <w:rFonts w:ascii="Calibri" w:hAnsi="Calibri" w:cs="Calibri"/>
          <w:color w:val="191919"/>
        </w:rPr>
        <w:t>10) in the Light of Mantic Practice</w:t>
      </w:r>
      <w:r w:rsidRPr="00AF1B2B">
        <w:t xml:space="preserve"> </w:t>
      </w:r>
      <w:r w:rsidRPr="00AF1B2B">
        <w:rPr>
          <w:rFonts w:ascii="Calibri" w:hAnsi="Calibri" w:cs="Calibri"/>
          <w:color w:val="191919"/>
        </w:rPr>
        <w:t xml:space="preserve">in Ancient Iraq,” </w:t>
      </w:r>
      <w:r w:rsidRPr="00AF1B2B">
        <w:rPr>
          <w:rFonts w:ascii="Calibri" w:hAnsi="Calibri" w:cs="Calibri"/>
          <w:i/>
          <w:iCs/>
          <w:color w:val="191919"/>
        </w:rPr>
        <w:t xml:space="preserve">JBL </w:t>
      </w:r>
      <w:r w:rsidRPr="00AF1B2B">
        <w:rPr>
          <w:rFonts w:ascii="Calibri" w:hAnsi="Calibri" w:cs="Calibri"/>
          <w:color w:val="191919"/>
        </w:rPr>
        <w:t>130 (2011): 247-61.</w:t>
      </w:r>
    </w:p>
  </w:footnote>
  <w:footnote w:id="136">
    <w:p w14:paraId="7E81E346" w14:textId="0BE6BAA2" w:rsidR="007B7018" w:rsidRPr="00045355" w:rsidRDefault="007B7018">
      <w:pPr>
        <w:pStyle w:val="FootnoteText"/>
      </w:pPr>
      <w:r>
        <w:rPr>
          <w:rStyle w:val="FootnoteReference"/>
        </w:rPr>
        <w:footnoteRef/>
      </w:r>
      <w:r>
        <w:t xml:space="preserve"> Murphy, </w:t>
      </w:r>
      <w:r>
        <w:rPr>
          <w:i/>
          <w:iCs/>
        </w:rPr>
        <w:t>1 Samuel</w:t>
      </w:r>
      <w:r>
        <w:t>, 88.</w:t>
      </w:r>
    </w:p>
  </w:footnote>
  <w:footnote w:id="137">
    <w:p w14:paraId="216577D4" w14:textId="2BE445CC" w:rsidR="007B7018" w:rsidRDefault="007B7018">
      <w:pPr>
        <w:pStyle w:val="FootnoteText"/>
      </w:pPr>
      <w:r>
        <w:rPr>
          <w:rStyle w:val="FootnoteReference"/>
        </w:rPr>
        <w:footnoteRef/>
      </w:r>
      <w:r>
        <w:t xml:space="preserve"> </w:t>
      </w:r>
      <w:r w:rsidRPr="001F52A8">
        <w:t>4QSam</w:t>
      </w:r>
      <w:r w:rsidRPr="001F52A8">
        <w:rPr>
          <w:vertAlign w:val="superscript"/>
        </w:rPr>
        <w:t>a</w:t>
      </w:r>
      <w:r w:rsidRPr="001F52A8">
        <w:t xml:space="preserve"> gives a fuller version of the background</w:t>
      </w:r>
      <w:r>
        <w:t>: see NRSV.</w:t>
      </w:r>
    </w:p>
  </w:footnote>
  <w:footnote w:id="138">
    <w:p w14:paraId="09C71CAC" w14:textId="15617700" w:rsidR="007B7018" w:rsidRPr="00D0067B" w:rsidRDefault="007B7018">
      <w:pPr>
        <w:pStyle w:val="FootnoteText"/>
      </w:pPr>
      <w:r>
        <w:rPr>
          <w:rStyle w:val="FootnoteReference"/>
        </w:rPr>
        <w:footnoteRef/>
      </w:r>
      <w:r>
        <w:t xml:space="preserve"> </w:t>
      </w:r>
      <w:r>
        <w:rPr>
          <w:rFonts w:cstheme="minorHAnsi"/>
        </w:rPr>
        <w:t xml:space="preserve">Edelman, </w:t>
      </w:r>
      <w:r>
        <w:rPr>
          <w:rFonts w:cstheme="minorHAnsi"/>
          <w:i/>
          <w:iCs/>
        </w:rPr>
        <w:t>King Saul</w:t>
      </w:r>
      <w:r>
        <w:rPr>
          <w:rFonts w:cstheme="minorHAnsi"/>
        </w:rPr>
        <w:t>, 59.</w:t>
      </w:r>
    </w:p>
  </w:footnote>
  <w:footnote w:id="139">
    <w:p w14:paraId="2A50EA66" w14:textId="77777777" w:rsidR="007B7018" w:rsidRPr="006F6A60" w:rsidRDefault="007B7018" w:rsidP="007C39E1">
      <w:pPr>
        <w:pStyle w:val="FootnoteText"/>
      </w:pPr>
      <w:r>
        <w:rPr>
          <w:rStyle w:val="FootnoteReference"/>
        </w:rPr>
        <w:footnoteRef/>
      </w:r>
      <w:r>
        <w:t xml:space="preserve"> Miscall, </w:t>
      </w:r>
      <w:r>
        <w:rPr>
          <w:i/>
          <w:iCs/>
        </w:rPr>
        <w:t>1 Samuel</w:t>
      </w:r>
      <w:r>
        <w:t>, 66.</w:t>
      </w:r>
    </w:p>
  </w:footnote>
  <w:footnote w:id="140">
    <w:p w14:paraId="1BCB7B5C" w14:textId="1E8B9A4E" w:rsidR="007B7018" w:rsidRDefault="007B7018">
      <w:pPr>
        <w:pStyle w:val="FootnoteText"/>
      </w:pPr>
      <w:r>
        <w:rPr>
          <w:rStyle w:val="FootnoteReference"/>
        </w:rPr>
        <w:footnoteRef/>
      </w:r>
      <w:r>
        <w:t xml:space="preserve"> Robert Alter, </w:t>
      </w:r>
      <w:r w:rsidRPr="00BA34A3">
        <w:rPr>
          <w:rFonts w:cs="Calibri"/>
          <w:i/>
        </w:rPr>
        <w:t>The David Story: A Translation with Commentary of 1 and 2 Samuel</w:t>
      </w:r>
      <w:r w:rsidRPr="00BA34A3">
        <w:rPr>
          <w:rFonts w:cs="Calibri"/>
        </w:rPr>
        <w:t xml:space="preserve"> </w:t>
      </w:r>
      <w:r>
        <w:rPr>
          <w:rFonts w:cs="Calibri"/>
        </w:rPr>
        <w:t>(</w:t>
      </w:r>
      <w:r w:rsidRPr="00BA34A3">
        <w:rPr>
          <w:rFonts w:cs="Calibri"/>
        </w:rPr>
        <w:t>New York: Norton, 1999</w:t>
      </w:r>
      <w:r>
        <w:rPr>
          <w:rFonts w:cs="Calibri"/>
        </w:rPr>
        <w:t>), 62.</w:t>
      </w:r>
    </w:p>
  </w:footnote>
  <w:footnote w:id="141">
    <w:p w14:paraId="7715CC81" w14:textId="00B9603C" w:rsidR="007B7018" w:rsidRDefault="007B7018">
      <w:pPr>
        <w:pStyle w:val="FootnoteText"/>
      </w:pPr>
      <w:r>
        <w:rPr>
          <w:rStyle w:val="FootnoteReference"/>
        </w:rPr>
        <w:footnoteRef/>
      </w:r>
      <w:r>
        <w:t xml:space="preserve"> So Hertzberg, </w:t>
      </w:r>
      <w:r w:rsidRPr="009A3739">
        <w:rPr>
          <w:i/>
        </w:rPr>
        <w:t>I &amp; II Samuel</w:t>
      </w:r>
      <w:r>
        <w:rPr>
          <w:iCs/>
        </w:rPr>
        <w:t>, 93.</w:t>
      </w:r>
    </w:p>
  </w:footnote>
  <w:footnote w:id="142">
    <w:p w14:paraId="0B57E26E" w14:textId="45B4A6D8" w:rsidR="007B7018" w:rsidRPr="003C17C2" w:rsidRDefault="007B7018">
      <w:pPr>
        <w:pStyle w:val="FootnoteText"/>
      </w:pPr>
      <w:r>
        <w:rPr>
          <w:rStyle w:val="FootnoteReference"/>
        </w:rPr>
        <w:footnoteRef/>
      </w:r>
      <w:r>
        <w:t xml:space="preserve"> Van Wijk-bos</w:t>
      </w:r>
      <w:r w:rsidRPr="00972463">
        <w:rPr>
          <w:rFonts w:eastAsia="Times New Roman" w:cs="Calibri"/>
          <w:i/>
          <w:iCs/>
          <w:color w:val="3A3A3A"/>
        </w:rPr>
        <w:t xml:space="preserve"> Reading Samuel</w:t>
      </w:r>
      <w:r>
        <w:rPr>
          <w:rFonts w:eastAsia="Times New Roman" w:cs="Calibri"/>
          <w:color w:val="3A3A3A"/>
        </w:rPr>
        <w:t>, 153-54.</w:t>
      </w:r>
    </w:p>
  </w:footnote>
  <w:footnote w:id="143">
    <w:p w14:paraId="17AF9856" w14:textId="56A94EB2" w:rsidR="007B7018" w:rsidRPr="009C5B19" w:rsidRDefault="007B7018" w:rsidP="00030A4E">
      <w:pPr>
        <w:pStyle w:val="FootnoteText"/>
      </w:pPr>
      <w:r>
        <w:rPr>
          <w:rStyle w:val="FootnoteReference"/>
        </w:rPr>
        <w:footnoteRef/>
      </w:r>
      <w:r>
        <w:t xml:space="preserve"> Cf. David G. Firth</w:t>
      </w:r>
      <w:r>
        <w:rPr>
          <w:rFonts w:cstheme="minorHAnsi"/>
        </w:rPr>
        <w:t xml:space="preserve">, </w:t>
      </w:r>
      <w:r>
        <w:rPr>
          <w:rFonts w:cstheme="minorHAnsi"/>
          <w:i/>
          <w:iCs/>
        </w:rPr>
        <w:t>1 &amp; 2 Samuel</w:t>
      </w:r>
      <w:r>
        <w:rPr>
          <w:rFonts w:cstheme="minorHAnsi"/>
        </w:rPr>
        <w:t>, Apollos Old Testament Commentary 8 (Nottingham: Apollos, 2009), 180.</w:t>
      </w:r>
    </w:p>
  </w:footnote>
  <w:footnote w:id="144">
    <w:p w14:paraId="500A6475" w14:textId="77777777" w:rsidR="007B7018" w:rsidRDefault="007B7018" w:rsidP="000F71D1">
      <w:pPr>
        <w:pStyle w:val="FootnoteText"/>
      </w:pPr>
      <w:r>
        <w:rPr>
          <w:rStyle w:val="FootnoteReference"/>
        </w:rPr>
        <w:footnoteRef/>
      </w:r>
      <w:r>
        <w:t xml:space="preserve"> Steven L. McKenzie, “Saul in the Deuteronomistic History,” in Carl S. </w:t>
      </w:r>
      <w:r>
        <w:rPr>
          <w:rFonts w:cs="Calibri"/>
        </w:rPr>
        <w:t xml:space="preserve">Ehrlich with Marsha C. White, ed. </w:t>
      </w:r>
      <w:r>
        <w:rPr>
          <w:rFonts w:cs="Calibri"/>
          <w:i/>
          <w:iCs/>
        </w:rPr>
        <w:t>Saul in Story and Tradition</w:t>
      </w:r>
      <w:r>
        <w:rPr>
          <w:rFonts w:cs="Calibri"/>
        </w:rPr>
        <w:t xml:space="preserve"> (Forschungen zum Alten Testament 47; Tübingen: Mohr, 2006), 59-70 (59).</w:t>
      </w:r>
    </w:p>
  </w:footnote>
  <w:footnote w:id="145">
    <w:p w14:paraId="52348425" w14:textId="7279583B" w:rsidR="007B7018" w:rsidRPr="008D3D10" w:rsidRDefault="007B7018" w:rsidP="000E6E4E">
      <w:pPr>
        <w:pStyle w:val="FootnoteText"/>
      </w:pPr>
      <w:r>
        <w:rPr>
          <w:rStyle w:val="FootnoteReference"/>
        </w:rPr>
        <w:footnoteRef/>
      </w:r>
      <w:r>
        <w:t xml:space="preserve"> Karl Barth, </w:t>
      </w:r>
      <w:r>
        <w:rPr>
          <w:i/>
          <w:iCs/>
        </w:rPr>
        <w:t>Church Dogmatics</w:t>
      </w:r>
      <w:r>
        <w:t xml:space="preserve"> III/1 (reprinted London: T &amp; T Clark, 2010), 442, 443.</w:t>
      </w:r>
    </w:p>
  </w:footnote>
  <w:footnote w:id="146">
    <w:p w14:paraId="6A130FF3" w14:textId="2FEC3909" w:rsidR="007B7018" w:rsidRDefault="007B7018" w:rsidP="00227C7D">
      <w:pPr>
        <w:pStyle w:val="FootnoteText"/>
      </w:pPr>
      <w:r>
        <w:rPr>
          <w:rStyle w:val="FootnoteReference"/>
        </w:rPr>
        <w:footnoteRef/>
      </w:r>
      <w:r>
        <w:t xml:space="preserve"> The phrase is traditionally attributed to the Prussian general Carl von Clausowitz, though there is no record of his using the actual expression.</w:t>
      </w:r>
    </w:p>
  </w:footnote>
  <w:footnote w:id="147">
    <w:p w14:paraId="73C2DF43" w14:textId="4DE1F295" w:rsidR="007B7018" w:rsidRDefault="007B7018" w:rsidP="0020725F">
      <w:pPr>
        <w:pStyle w:val="FootnoteText"/>
      </w:pPr>
      <w:r>
        <w:rPr>
          <w:rStyle w:val="FootnoteReference"/>
        </w:rPr>
        <w:footnoteRef/>
      </w:r>
      <w:r>
        <w:t xml:space="preserve"> Cf. David </w:t>
      </w:r>
      <w:r w:rsidRPr="00BA34A3">
        <w:rPr>
          <w:rFonts w:cs="Calibri"/>
        </w:rPr>
        <w:t xml:space="preserve">Jobling, </w:t>
      </w:r>
      <w:r w:rsidRPr="00BA34A3">
        <w:rPr>
          <w:rFonts w:cs="Calibri"/>
          <w:i/>
        </w:rPr>
        <w:t>1 Samuel</w:t>
      </w:r>
      <w:r>
        <w:rPr>
          <w:rFonts w:cs="Calibri"/>
        </w:rPr>
        <w:t>, Berit Olam: Studies in Hebrew Narrative and Poetry (</w:t>
      </w:r>
      <w:r w:rsidRPr="00BA34A3">
        <w:rPr>
          <w:rFonts w:cs="Calibri"/>
        </w:rPr>
        <w:t>Collegeville, MN: Liturgical, 1998</w:t>
      </w:r>
      <w:r>
        <w:rPr>
          <w:rFonts w:cs="Calibri"/>
        </w:rPr>
        <w:t>), 79-80.</w:t>
      </w:r>
    </w:p>
  </w:footnote>
  <w:footnote w:id="148">
    <w:p w14:paraId="3F77946C" w14:textId="0C2DF34F" w:rsidR="007B7018" w:rsidRDefault="007B7018" w:rsidP="00B64243">
      <w:pPr>
        <w:pStyle w:val="FootnoteText"/>
      </w:pPr>
      <w:r>
        <w:rPr>
          <w:rStyle w:val="FootnoteReference"/>
        </w:rPr>
        <w:footnoteRef/>
      </w:r>
      <w:r>
        <w:t xml:space="preserve"> J. P. Fokkelman, </w:t>
      </w:r>
      <w:r>
        <w:rPr>
          <w:rFonts w:cs="Calibri"/>
          <w:i/>
          <w:iCs/>
        </w:rPr>
        <w:t xml:space="preserve">Narrative Art and </w:t>
      </w:r>
      <w:r w:rsidRPr="00C22251">
        <w:rPr>
          <w:rFonts w:cs="Calibri"/>
          <w:i/>
          <w:iCs/>
        </w:rPr>
        <w:t>Poetry</w:t>
      </w:r>
      <w:r>
        <w:rPr>
          <w:rFonts w:cs="Calibri"/>
          <w:i/>
          <w:iCs/>
        </w:rPr>
        <w:t xml:space="preserve"> in the Books of Samuel,</w:t>
      </w:r>
      <w:r>
        <w:rPr>
          <w:rFonts w:cs="Calibri"/>
        </w:rPr>
        <w:t xml:space="preserve"> Vol. 2:</w:t>
      </w:r>
      <w:r w:rsidRPr="00712585">
        <w:rPr>
          <w:rFonts w:cs="Calibri"/>
        </w:rPr>
        <w:t xml:space="preserve"> </w:t>
      </w:r>
      <w:r>
        <w:rPr>
          <w:rFonts w:cs="Calibri"/>
          <w:i/>
          <w:iCs/>
        </w:rPr>
        <w:t xml:space="preserve">The Crossing Fates (I Sam. 13 – 31 &amp; II Sam. 1) </w:t>
      </w:r>
      <w:r>
        <w:rPr>
          <w:rFonts w:cs="Calibri"/>
        </w:rPr>
        <w:t>(</w:t>
      </w:r>
      <w:r w:rsidRPr="00712585">
        <w:rPr>
          <w:rFonts w:cs="Calibri"/>
        </w:rPr>
        <w:t>Assen: van Gorcum, 19</w:t>
      </w:r>
      <w:r>
        <w:rPr>
          <w:rFonts w:cs="Calibri"/>
        </w:rPr>
        <w:t xml:space="preserve">86), 38. </w:t>
      </w:r>
    </w:p>
  </w:footnote>
  <w:footnote w:id="149">
    <w:p w14:paraId="6870BAC4" w14:textId="012AF56A" w:rsidR="007B7018" w:rsidRDefault="007B7018" w:rsidP="00723FD8">
      <w:pPr>
        <w:pStyle w:val="FootnoteText"/>
      </w:pPr>
      <w:r>
        <w:rPr>
          <w:rStyle w:val="FootnoteReference"/>
        </w:rPr>
        <w:footnoteRef/>
      </w:r>
      <w:r>
        <w:t xml:space="preserve"> </w:t>
      </w:r>
      <w:r>
        <w:rPr>
          <w:rFonts w:cstheme="minorHAnsi"/>
        </w:rPr>
        <w:t xml:space="preserve">Diana Vikander Edelman, </w:t>
      </w:r>
      <w:r>
        <w:rPr>
          <w:rFonts w:cstheme="minorHAnsi"/>
          <w:i/>
          <w:iCs/>
        </w:rPr>
        <w:t xml:space="preserve">King Saul in the Historiography of Judah, </w:t>
      </w:r>
      <w:r>
        <w:rPr>
          <w:rFonts w:cstheme="minorHAnsi"/>
        </w:rPr>
        <w:t>JSOTSup 121 (Sheffield: Sheffield Academic, 1991), 79-80.</w:t>
      </w:r>
    </w:p>
  </w:footnote>
  <w:footnote w:id="150">
    <w:p w14:paraId="2512111F" w14:textId="447D6D11" w:rsidR="007B7018" w:rsidRDefault="007B7018">
      <w:pPr>
        <w:pStyle w:val="FootnoteText"/>
      </w:pPr>
      <w:r>
        <w:rPr>
          <w:rStyle w:val="FootnoteReference"/>
        </w:rPr>
        <w:footnoteRef/>
      </w:r>
      <w:r>
        <w:t xml:space="preserve"> Paul Borgman, </w:t>
      </w:r>
      <w:r>
        <w:rPr>
          <w:i/>
          <w:iCs/>
        </w:rPr>
        <w:t xml:space="preserve">David, Saul, and God: Rediscovering an Ancient Story </w:t>
      </w:r>
      <w:r>
        <w:t>(New York: Oxford University Press, 2008), 17.</w:t>
      </w:r>
    </w:p>
  </w:footnote>
  <w:footnote w:id="151">
    <w:p w14:paraId="11CBA2BC" w14:textId="1FD6EEB9" w:rsidR="007B7018" w:rsidRPr="00504DD9" w:rsidRDefault="007B7018" w:rsidP="008812BA">
      <w:pPr>
        <w:pStyle w:val="FootnoteText"/>
        <w:rPr>
          <w:rFonts w:ascii="Calibri" w:hAnsi="Calibri" w:cs="Calibri"/>
        </w:rPr>
      </w:pPr>
      <w:r>
        <w:rPr>
          <w:rStyle w:val="FootnoteReference"/>
        </w:rPr>
        <w:footnoteRef/>
      </w:r>
      <w:r>
        <w:t xml:space="preserve"> </w:t>
      </w:r>
      <w:r w:rsidRPr="00504DD9">
        <w:rPr>
          <w:rFonts w:ascii="Calibri" w:hAnsi="Calibri" w:cs="Calibri"/>
        </w:rPr>
        <w:t xml:space="preserve">So Bede, </w:t>
      </w:r>
      <w:r w:rsidRPr="00504DD9">
        <w:rPr>
          <w:rFonts w:ascii="Calibri" w:hAnsi="Calibri" w:cs="Calibri"/>
          <w:i/>
          <w:iCs/>
          <w:color w:val="000000"/>
        </w:rPr>
        <w:t>In primam partem Samuhelis libri iv</w:t>
      </w:r>
      <w:r w:rsidRPr="00504DD9">
        <w:rPr>
          <w:rFonts w:ascii="Calibri" w:hAnsi="Calibri" w:cs="Calibri"/>
          <w:color w:val="000000"/>
        </w:rPr>
        <w:t xml:space="preserve"> 2:14, as quoted by </w:t>
      </w:r>
      <w:r>
        <w:t>John R. Franke,</w:t>
      </w:r>
      <w:r>
        <w:rPr>
          <w:rFonts w:cs="Calibri"/>
        </w:rPr>
        <w:t xml:space="preserve"> </w:t>
      </w:r>
      <w:r>
        <w:rPr>
          <w:rFonts w:cs="Calibri"/>
          <w:i/>
          <w:iCs/>
        </w:rPr>
        <w:t>Joshua, Judges, Ruth, 1 – 2 Samuel</w:t>
      </w:r>
      <w:r>
        <w:rPr>
          <w:rFonts w:cs="Calibri"/>
        </w:rPr>
        <w:t>, Ancient Christian Commentary on Scripture 4 (Downers Grove, IL: InterVarsity, 2005)</w:t>
      </w:r>
      <w:r w:rsidRPr="00504DD9">
        <w:rPr>
          <w:rFonts w:ascii="Calibri" w:hAnsi="Calibri" w:cs="Calibri"/>
          <w:color w:val="000000"/>
        </w:rPr>
        <w:t>, 250-51.</w:t>
      </w:r>
    </w:p>
  </w:footnote>
  <w:footnote w:id="152">
    <w:p w14:paraId="1D1418D5" w14:textId="22B1E6D5" w:rsidR="007B7018" w:rsidRPr="00F17B1F" w:rsidRDefault="007B7018" w:rsidP="00D02E5A">
      <w:pPr>
        <w:pStyle w:val="FootnoteText"/>
      </w:pPr>
      <w:r>
        <w:rPr>
          <w:rStyle w:val="FootnoteReference"/>
        </w:rPr>
        <w:footnoteRef/>
      </w:r>
      <w:r>
        <w:t xml:space="preserve"> </w:t>
      </w:r>
      <w:r w:rsidRPr="00BA34A3">
        <w:rPr>
          <w:rFonts w:cs="Calibri"/>
        </w:rPr>
        <w:t xml:space="preserve">Antony F. Campbell, </w:t>
      </w:r>
      <w:r w:rsidRPr="00BA34A3">
        <w:rPr>
          <w:rFonts w:cs="Calibri"/>
          <w:i/>
        </w:rPr>
        <w:t>1 Samuel</w:t>
      </w:r>
      <w:r>
        <w:rPr>
          <w:rFonts w:cs="Calibri"/>
        </w:rPr>
        <w:t xml:space="preserve">, </w:t>
      </w:r>
      <w:r w:rsidRPr="00BA34A3">
        <w:rPr>
          <w:rFonts w:cs="Calibri"/>
        </w:rPr>
        <w:t xml:space="preserve">FOTL </w:t>
      </w:r>
      <w:r>
        <w:rPr>
          <w:rFonts w:cs="Calibri"/>
        </w:rPr>
        <w:t>7</w:t>
      </w:r>
      <w:r w:rsidRPr="00BA34A3">
        <w:rPr>
          <w:rFonts w:cs="Calibri"/>
        </w:rPr>
        <w:t xml:space="preserve"> </w:t>
      </w:r>
      <w:r>
        <w:rPr>
          <w:rFonts w:cs="Calibri"/>
        </w:rPr>
        <w:t>(</w:t>
      </w:r>
      <w:r w:rsidRPr="00BA34A3">
        <w:rPr>
          <w:rFonts w:cs="Calibri"/>
        </w:rPr>
        <w:t>Grand Rapids: Eerdmans, 2003</w:t>
      </w:r>
      <w:r>
        <w:rPr>
          <w:rFonts w:cs="Calibri"/>
        </w:rPr>
        <w:t xml:space="preserve">), </w:t>
      </w:r>
      <w:r>
        <w:t>150.</w:t>
      </w:r>
    </w:p>
  </w:footnote>
  <w:footnote w:id="153">
    <w:p w14:paraId="3DAA94DE" w14:textId="62F1F4F4" w:rsidR="007B7018" w:rsidRDefault="007B7018" w:rsidP="00B10002">
      <w:pPr>
        <w:pStyle w:val="FootnoteText"/>
      </w:pPr>
      <w:r>
        <w:rPr>
          <w:rStyle w:val="FootnoteReference"/>
        </w:rPr>
        <w:footnoteRef/>
      </w:r>
      <w:r>
        <w:t xml:space="preserve"> </w:t>
      </w:r>
      <w:r w:rsidRPr="00BA34A3">
        <w:rPr>
          <w:rFonts w:cs="Calibri"/>
        </w:rPr>
        <w:t xml:space="preserve">Bruce C. </w:t>
      </w:r>
      <w:r>
        <w:t>Birch</w:t>
      </w:r>
      <w:r>
        <w:rPr>
          <w:rFonts w:cs="Calibri"/>
        </w:rPr>
        <w:t xml:space="preserve">, </w:t>
      </w:r>
      <w:r w:rsidRPr="00BA34A3">
        <w:rPr>
          <w:rFonts w:cs="Calibri"/>
        </w:rPr>
        <w:t>“The First and Second Books of Samuel: Introduction, Commentary and Reflections</w:t>
      </w:r>
      <w:r>
        <w:rPr>
          <w:rFonts w:cs="Calibri"/>
        </w:rPr>
        <w:t>,</w:t>
      </w:r>
      <w:r w:rsidRPr="00BA34A3">
        <w:rPr>
          <w:rFonts w:cs="Calibri"/>
        </w:rPr>
        <w:t xml:space="preserve">” </w:t>
      </w:r>
      <w:r>
        <w:rPr>
          <w:rFonts w:cs="Calibri"/>
        </w:rPr>
        <w:t>i</w:t>
      </w:r>
      <w:r w:rsidRPr="00BA34A3">
        <w:rPr>
          <w:rFonts w:cs="Calibri"/>
        </w:rPr>
        <w:t xml:space="preserve">n </w:t>
      </w:r>
      <w:r w:rsidRPr="00BA34A3">
        <w:rPr>
          <w:rFonts w:cs="Calibri"/>
          <w:i/>
        </w:rPr>
        <w:t xml:space="preserve">The New Interpreter’s Bible </w:t>
      </w:r>
      <w:r>
        <w:rPr>
          <w:rFonts w:cs="Calibri"/>
          <w:iCs/>
        </w:rPr>
        <w:t>(</w:t>
      </w:r>
      <w:r w:rsidRPr="00BA34A3">
        <w:rPr>
          <w:rFonts w:cs="Calibri"/>
        </w:rPr>
        <w:t>Nashville: Abingdon, 199</w:t>
      </w:r>
      <w:r>
        <w:rPr>
          <w:rFonts w:cs="Calibri"/>
        </w:rPr>
        <w:t>8)</w:t>
      </w:r>
      <w:r>
        <w:t xml:space="preserve"> </w:t>
      </w:r>
      <w:r w:rsidRPr="00BA34A3">
        <w:rPr>
          <w:rFonts w:cs="Calibri"/>
        </w:rPr>
        <w:t>2:947-1383</w:t>
      </w:r>
      <w:r>
        <w:t>,</w:t>
      </w:r>
      <w:r>
        <w:rPr>
          <w:rFonts w:cs="Calibri"/>
        </w:rPr>
        <w:t xml:space="preserve"> in his “Reflections” on 13:1-23.</w:t>
      </w:r>
    </w:p>
  </w:footnote>
  <w:footnote w:id="154">
    <w:p w14:paraId="46FBA518" w14:textId="224D0668" w:rsidR="007B7018" w:rsidRDefault="007B7018">
      <w:pPr>
        <w:pStyle w:val="FootnoteText"/>
      </w:pPr>
      <w:r>
        <w:rPr>
          <w:rStyle w:val="FootnoteReference"/>
        </w:rPr>
        <w:footnoteRef/>
      </w:r>
      <w:r>
        <w:t xml:space="preserve"> Robert Polzin, </w:t>
      </w:r>
      <w:r w:rsidRPr="00BA34A3">
        <w:rPr>
          <w:rFonts w:cs="Calibri"/>
          <w:i/>
        </w:rPr>
        <w:t>Samuel and the Deuteronomist: A Literary Study of the Deuteronomic History</w:t>
      </w:r>
      <w:r>
        <w:rPr>
          <w:rFonts w:cs="Calibri"/>
          <w:i/>
        </w:rPr>
        <w:t>. Part Two: 1 Samuel</w:t>
      </w:r>
      <w:r w:rsidRPr="00BA34A3">
        <w:rPr>
          <w:rFonts w:cs="Calibri"/>
        </w:rPr>
        <w:t xml:space="preserve"> </w:t>
      </w:r>
      <w:r>
        <w:rPr>
          <w:rFonts w:cs="Calibri"/>
        </w:rPr>
        <w:t xml:space="preserve">(reprinted </w:t>
      </w:r>
      <w:r w:rsidRPr="00BA34A3">
        <w:rPr>
          <w:rFonts w:cs="Calibri"/>
        </w:rPr>
        <w:t>Bloomington: Indiana University Press, 1993</w:t>
      </w:r>
      <w:r>
        <w:t>), 150, 151.</w:t>
      </w:r>
    </w:p>
  </w:footnote>
  <w:footnote w:id="155">
    <w:p w14:paraId="52B52499" w14:textId="5F3CB0CE" w:rsidR="007B7018" w:rsidRDefault="007B7018" w:rsidP="00667B80">
      <w:pPr>
        <w:pStyle w:val="FootnoteText"/>
      </w:pPr>
      <w:r>
        <w:rPr>
          <w:rStyle w:val="FootnoteReference"/>
        </w:rPr>
        <w:footnoteRef/>
      </w:r>
      <w:r>
        <w:t xml:space="preserve"> See, e.g., David M. Gunn, </w:t>
      </w:r>
      <w:r>
        <w:rPr>
          <w:i/>
          <w:iCs/>
        </w:rPr>
        <w:t>The Fate of King Saul: An Interpretation of a Biblical Story</w:t>
      </w:r>
      <w:r>
        <w:t>, JSOTSup 14 (reprinted Sheffield: JSOT, 1989), 129, on “the dark side of God.”</w:t>
      </w:r>
      <w:r>
        <w:rPr>
          <w:rFonts w:ascii="Calibri" w:hAnsi="Calibri" w:cs="Calibri"/>
        </w:rPr>
        <w:t xml:space="preserve"> </w:t>
      </w:r>
    </w:p>
  </w:footnote>
  <w:footnote w:id="156">
    <w:p w14:paraId="29058FAD" w14:textId="392A7476" w:rsidR="007B7018" w:rsidRPr="002F0089" w:rsidRDefault="007B7018" w:rsidP="002F0089">
      <w:pPr>
        <w:pStyle w:val="FootnoteText"/>
      </w:pPr>
      <w:r>
        <w:rPr>
          <w:rStyle w:val="FootnoteReference"/>
        </w:rPr>
        <w:footnoteRef/>
      </w:r>
      <w:r>
        <w:t xml:space="preserve"> See, e.g., Christopher B. </w:t>
      </w:r>
      <w:r w:rsidRPr="002F0089">
        <w:t xml:space="preserve">Hays, </w:t>
      </w:r>
      <w:r w:rsidRPr="002F0089">
        <w:rPr>
          <w:i/>
        </w:rPr>
        <w:t>Hidden Riches</w:t>
      </w:r>
      <w:r>
        <w:rPr>
          <w:i/>
        </w:rPr>
        <w:t>: A Sourcebook for the Comparative Study of the Hebrew Bible and Ancient Near East</w:t>
      </w:r>
      <w:r w:rsidRPr="002F0089">
        <w:t xml:space="preserve"> </w:t>
      </w:r>
      <w:r>
        <w:t>(</w:t>
      </w:r>
      <w:r w:rsidRPr="002F0089">
        <w:t>Louisville: WJK, 2014</w:t>
      </w:r>
      <w:r>
        <w:t>), 193-99.</w:t>
      </w:r>
    </w:p>
  </w:footnote>
  <w:footnote w:id="157">
    <w:p w14:paraId="6185292C" w14:textId="57FD84BE" w:rsidR="007B7018" w:rsidRDefault="007B7018">
      <w:pPr>
        <w:pStyle w:val="FootnoteText"/>
      </w:pPr>
      <w:r>
        <w:rPr>
          <w:rStyle w:val="FootnoteReference"/>
        </w:rPr>
        <w:footnoteRef/>
      </w:r>
      <w:r>
        <w:t xml:space="preserve"> Cf. </w:t>
      </w:r>
      <w:r w:rsidRPr="00BA34A3">
        <w:rPr>
          <w:rFonts w:cs="Calibri"/>
          <w:bCs/>
          <w:lang w:bidi="he-IL"/>
        </w:rPr>
        <w:t>Francesca Aran</w:t>
      </w:r>
      <w:r>
        <w:rPr>
          <w:rFonts w:cs="Calibri"/>
          <w:bCs/>
          <w:lang w:bidi="he-IL"/>
        </w:rPr>
        <w:t xml:space="preserve"> </w:t>
      </w:r>
      <w:r>
        <w:t>Murphy’s comments on the approach of “the Western medieval Christian tradition” to this story (</w:t>
      </w:r>
      <w:r w:rsidRPr="00BA34A3">
        <w:rPr>
          <w:rFonts w:cs="Calibri"/>
          <w:bCs/>
          <w:i/>
          <w:lang w:bidi="he-IL"/>
        </w:rPr>
        <w:t>1 Samuel</w:t>
      </w:r>
      <w:r>
        <w:rPr>
          <w:rFonts w:cs="Calibri"/>
          <w:bCs/>
          <w:iCs/>
          <w:lang w:bidi="he-IL"/>
        </w:rPr>
        <w:t xml:space="preserve">, </w:t>
      </w:r>
      <w:r w:rsidRPr="003D5308">
        <w:rPr>
          <w:rFonts w:ascii="Calibri" w:hAnsi="Calibri" w:cs="Calibri"/>
          <w:shd w:val="clear" w:color="auto" w:fill="FFFFFF"/>
        </w:rPr>
        <w:t>Brazos Theological Commentary on the Bible</w:t>
      </w:r>
      <w:r w:rsidRPr="00BA34A3">
        <w:rPr>
          <w:rFonts w:cs="Calibri"/>
          <w:bCs/>
          <w:lang w:bidi="he-IL"/>
        </w:rPr>
        <w:t xml:space="preserve"> </w:t>
      </w:r>
      <w:r>
        <w:rPr>
          <w:rFonts w:cs="Calibri"/>
          <w:bCs/>
          <w:lang w:bidi="he-IL"/>
        </w:rPr>
        <w:t>[</w:t>
      </w:r>
      <w:r w:rsidRPr="00BA34A3">
        <w:rPr>
          <w:rFonts w:cs="Calibri"/>
          <w:bCs/>
          <w:lang w:bidi="he-IL"/>
        </w:rPr>
        <w:t>Grand Rapids: Brazos, 2010</w:t>
      </w:r>
      <w:r>
        <w:rPr>
          <w:rFonts w:cs="Calibri"/>
          <w:bCs/>
          <w:lang w:bidi="he-IL"/>
        </w:rPr>
        <w:t>]</w:t>
      </w:r>
      <w:r>
        <w:rPr>
          <w:rFonts w:cs="Calibri"/>
          <w:bCs/>
          <w:iCs/>
          <w:lang w:bidi="he-IL"/>
        </w:rPr>
        <w:t>,</w:t>
      </w:r>
      <w:r w:rsidRPr="00BA34A3">
        <w:rPr>
          <w:rFonts w:cs="Calibri"/>
          <w:bCs/>
          <w:lang w:bidi="he-IL"/>
        </w:rPr>
        <w:t xml:space="preserve"> </w:t>
      </w:r>
      <w:r>
        <w:t>133-34).</w:t>
      </w:r>
    </w:p>
  </w:footnote>
  <w:footnote w:id="158">
    <w:p w14:paraId="21399C83" w14:textId="4212391D" w:rsidR="007B7018" w:rsidRPr="00437F3F" w:rsidRDefault="007B7018">
      <w:pPr>
        <w:pStyle w:val="FootnoteText"/>
      </w:pPr>
      <w:r>
        <w:rPr>
          <w:rStyle w:val="FootnoteReference"/>
        </w:rPr>
        <w:footnoteRef/>
      </w:r>
      <w:r>
        <w:t xml:space="preserve"> C. L. Crouch, </w:t>
      </w:r>
      <w:r>
        <w:rPr>
          <w:i/>
          <w:iCs/>
        </w:rPr>
        <w:t>War and Ethics in the Ancient Near East: Military Violence in Light of Cosmology and History</w:t>
      </w:r>
      <w:r>
        <w:t>, BZAW 407 (Berlin: de Gruyter, 2009), 177.</w:t>
      </w:r>
    </w:p>
  </w:footnote>
  <w:footnote w:id="159">
    <w:p w14:paraId="141356F6" w14:textId="7F361EC3" w:rsidR="007B7018" w:rsidRDefault="007B7018" w:rsidP="00876B69">
      <w:pPr>
        <w:pStyle w:val="FootnoteText"/>
      </w:pPr>
      <w:r>
        <w:rPr>
          <w:rStyle w:val="FootnoteReference"/>
        </w:rPr>
        <w:footnoteRef/>
      </w:r>
      <w:r>
        <w:t xml:space="preserve"> See, e.g., Tony W. </w:t>
      </w:r>
      <w:r w:rsidRPr="00BA34A3">
        <w:rPr>
          <w:rFonts w:cs="Calibri"/>
        </w:rPr>
        <w:t xml:space="preserve">Cartledge, </w:t>
      </w:r>
      <w:r w:rsidRPr="00BA34A3">
        <w:rPr>
          <w:rFonts w:cs="Calibri"/>
          <w:i/>
        </w:rPr>
        <w:t>1 &amp; 2 Samuel</w:t>
      </w:r>
      <w:r w:rsidRPr="00BA34A3">
        <w:rPr>
          <w:rFonts w:cs="Calibri"/>
        </w:rPr>
        <w:t xml:space="preserve"> </w:t>
      </w:r>
      <w:r>
        <w:rPr>
          <w:rFonts w:cs="Calibri"/>
        </w:rPr>
        <w:t>(</w:t>
      </w:r>
      <w:r w:rsidRPr="00BA34A3">
        <w:rPr>
          <w:rFonts w:cs="Calibri"/>
        </w:rPr>
        <w:t>Smyth &amp; Helwys</w:t>
      </w:r>
      <w:r>
        <w:rPr>
          <w:rFonts w:cs="Calibri"/>
        </w:rPr>
        <w:t xml:space="preserve"> Bible Commentary; </w:t>
      </w:r>
      <w:r w:rsidRPr="00BA34A3">
        <w:rPr>
          <w:rFonts w:cs="Calibri"/>
        </w:rPr>
        <w:t>Macon, GA: Smyth &amp; Helwys, 2001</w:t>
      </w:r>
      <w:r>
        <w:rPr>
          <w:rFonts w:cs="Calibri"/>
        </w:rPr>
        <w:t>)</w:t>
      </w:r>
      <w:r>
        <w:rPr>
          <w:rFonts w:cs="Calibri"/>
          <w:iCs/>
        </w:rPr>
        <w:t>, 194, 197, 198</w:t>
      </w:r>
    </w:p>
  </w:footnote>
  <w:footnote w:id="160">
    <w:p w14:paraId="4FE5541F" w14:textId="36B93738" w:rsidR="007B7018" w:rsidRPr="006A0A98" w:rsidRDefault="007B7018" w:rsidP="006A0A98">
      <w:pPr>
        <w:pStyle w:val="FootnoteText"/>
        <w:rPr>
          <w:rFonts w:ascii="Arial" w:hAnsi="Arial" w:cs="Arial"/>
          <w:color w:val="4B5555"/>
          <w:sz w:val="21"/>
          <w:szCs w:val="21"/>
          <w:shd w:val="clear" w:color="auto" w:fill="FFFFFF"/>
        </w:rPr>
      </w:pPr>
      <w:r>
        <w:rPr>
          <w:rStyle w:val="FootnoteReference"/>
        </w:rPr>
        <w:footnoteRef/>
      </w:r>
      <w:r>
        <w:t xml:space="preserve"> See, </w:t>
      </w:r>
      <w:r w:rsidRPr="006A0A98">
        <w:rPr>
          <w:rFonts w:ascii="Calibri" w:hAnsi="Calibri" w:cs="Calibri"/>
        </w:rPr>
        <w:t xml:space="preserve">e.g., </w:t>
      </w:r>
      <w:r w:rsidRPr="006A0A98">
        <w:rPr>
          <w:rFonts w:ascii="Calibri" w:hAnsi="Calibri" w:cs="Calibri"/>
          <w:color w:val="4B5555"/>
          <w:shd w:val="clear" w:color="auto" w:fill="FFFFFF"/>
        </w:rPr>
        <w:t>Avi Sagi, “</w:t>
      </w:r>
      <w:r w:rsidRPr="006A0A98">
        <w:rPr>
          <w:rFonts w:ascii="Calibri" w:hAnsi="Calibri" w:cs="Calibri"/>
          <w:color w:val="000000"/>
        </w:rPr>
        <w:t>The Punishment of Amalek in Jewish Tradition: Coping with the Moral Problem,</w:t>
      </w:r>
      <w:r>
        <w:rPr>
          <w:rFonts w:ascii="Calibri" w:hAnsi="Calibri" w:cs="Calibri"/>
          <w:color w:val="000000"/>
        </w:rPr>
        <w:t>”</w:t>
      </w:r>
      <w:r w:rsidRPr="006A0A98">
        <w:rPr>
          <w:rFonts w:ascii="Calibri" w:hAnsi="Calibri" w:cs="Calibri"/>
          <w:color w:val="000000"/>
        </w:rPr>
        <w:t xml:space="preserve"> </w:t>
      </w:r>
      <w:r w:rsidRPr="006A0A98">
        <w:rPr>
          <w:rFonts w:ascii="Calibri" w:hAnsi="Calibri" w:cs="Calibri"/>
          <w:i/>
          <w:iCs/>
          <w:color w:val="000000"/>
        </w:rPr>
        <w:t>Harvard Theological Review</w:t>
      </w:r>
      <w:r w:rsidRPr="006A0A98">
        <w:rPr>
          <w:rFonts w:ascii="Calibri" w:hAnsi="Calibri" w:cs="Calibri"/>
          <w:color w:val="000000"/>
        </w:rPr>
        <w:t xml:space="preserve"> 87 (</w:t>
      </w:r>
      <w:r w:rsidRPr="006A0A98">
        <w:rPr>
          <w:rFonts w:ascii="Calibri" w:hAnsi="Calibri" w:cs="Calibri"/>
          <w:color w:val="4B5555"/>
          <w:shd w:val="clear" w:color="auto" w:fill="FFFFFF"/>
        </w:rPr>
        <w:t>1994): 323-46.</w:t>
      </w:r>
    </w:p>
  </w:footnote>
  <w:footnote w:id="161">
    <w:p w14:paraId="65492D14" w14:textId="5E5E8A74" w:rsidR="007B7018" w:rsidRPr="00E26A90" w:rsidRDefault="007B7018" w:rsidP="00E26A90">
      <w:pPr>
        <w:pStyle w:val="FootnoteText"/>
        <w:rPr>
          <w:rFonts w:ascii="Deja Vu Serif" w:hAnsi="Deja Vu Serif" w:cs="Deja Vu Serif"/>
          <w:color w:val="000000"/>
          <w:sz w:val="18"/>
          <w:szCs w:val="18"/>
        </w:rPr>
      </w:pPr>
      <w:r>
        <w:rPr>
          <w:rStyle w:val="FootnoteReference"/>
        </w:rPr>
        <w:footnoteRef/>
      </w:r>
      <w:r>
        <w:t xml:space="preserve"> </w:t>
      </w:r>
      <w:r w:rsidRPr="009D1B70">
        <w:rPr>
          <w:rFonts w:ascii="Calibri" w:hAnsi="Calibri" w:cs="Calibri"/>
        </w:rPr>
        <w:t>Philip R. Davies, “Saul, Hebrew and Villain,” in</w:t>
      </w:r>
      <w:r>
        <w:rPr>
          <w:rFonts w:ascii="Calibri" w:hAnsi="Calibri" w:cs="Calibri"/>
        </w:rPr>
        <w:t xml:space="preserve"> </w:t>
      </w:r>
      <w:r w:rsidRPr="009D1B70">
        <w:rPr>
          <w:rFonts w:ascii="Calibri" w:hAnsi="Calibri" w:cs="Calibri"/>
          <w:color w:val="000000"/>
        </w:rPr>
        <w:t xml:space="preserve">Diana V. Edelman and Ehud Ben Zvi, ed., </w:t>
      </w:r>
      <w:r w:rsidRPr="009D1B70">
        <w:rPr>
          <w:rFonts w:ascii="Calibri" w:hAnsi="Calibri" w:cs="Calibri"/>
          <w:i/>
          <w:iCs/>
          <w:color w:val="000000"/>
        </w:rPr>
        <w:t>Remembering Biblical Figures in the Late Persian and Early Hellenistic Periods: Social Memory and Imagination</w:t>
      </w:r>
      <w:r>
        <w:rPr>
          <w:rFonts w:ascii="Calibri" w:hAnsi="Calibri" w:cs="Calibri"/>
        </w:rPr>
        <w:t xml:space="preserve"> (Oxford: Oxford University Press, 2013),</w:t>
      </w:r>
      <w:r w:rsidRPr="009D1B70">
        <w:rPr>
          <w:rFonts w:ascii="Calibri" w:hAnsi="Calibri" w:cs="Calibri"/>
        </w:rPr>
        <w:t xml:space="preserve"> </w:t>
      </w:r>
      <w:r>
        <w:rPr>
          <w:rFonts w:ascii="Calibri" w:hAnsi="Calibri" w:cs="Calibri"/>
        </w:rPr>
        <w:t>131-40 (</w:t>
      </w:r>
      <w:r w:rsidRPr="009D1B70">
        <w:rPr>
          <w:rFonts w:ascii="Calibri" w:hAnsi="Calibri" w:cs="Calibri"/>
        </w:rPr>
        <w:t>137-38</w:t>
      </w:r>
      <w:r>
        <w:rPr>
          <w:rFonts w:ascii="Calibri" w:hAnsi="Calibri" w:cs="Calibri"/>
        </w:rPr>
        <w:t>)</w:t>
      </w:r>
      <w:r w:rsidRPr="009D1B70">
        <w:rPr>
          <w:rFonts w:ascii="Calibri" w:hAnsi="Calibri" w:cs="Calibri"/>
        </w:rPr>
        <w:t>.</w:t>
      </w:r>
    </w:p>
  </w:footnote>
  <w:footnote w:id="162">
    <w:p w14:paraId="6994ED3F" w14:textId="77777777" w:rsidR="007B7018" w:rsidRDefault="007B7018" w:rsidP="00330E41">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i/>
          <w:iCs/>
        </w:rPr>
        <w:t xml:space="preserve"> </w:t>
      </w:r>
      <w:r>
        <w:rPr>
          <w:rFonts w:cs="Calibri"/>
        </w:rPr>
        <w:t>2:87.</w:t>
      </w:r>
    </w:p>
  </w:footnote>
  <w:footnote w:id="163">
    <w:p w14:paraId="205627D5" w14:textId="45156053" w:rsidR="007B7018" w:rsidRPr="00FC648B" w:rsidRDefault="007B7018" w:rsidP="00FC648B">
      <w:pPr>
        <w:pStyle w:val="FootnoteText"/>
      </w:pPr>
      <w:r>
        <w:rPr>
          <w:rStyle w:val="FootnoteReference"/>
        </w:rPr>
        <w:footnoteRef/>
      </w:r>
      <w:r>
        <w:t xml:space="preserve"> Cf. Philip D. Stern, </w:t>
      </w:r>
      <w:r w:rsidRPr="00435AB8">
        <w:rPr>
          <w:rFonts w:ascii="Calibri" w:hAnsi="Calibri" w:cs="Calibri"/>
          <w:i/>
          <w:iCs/>
          <w:color w:val="000000"/>
        </w:rPr>
        <w:t xml:space="preserve">The Biblical </w:t>
      </w:r>
      <w:r w:rsidRPr="00A93B99">
        <w:rPr>
          <w:rFonts w:ascii="Calibri" w:hAnsi="Calibri" w:cs="Calibri"/>
          <w:color w:val="000000"/>
        </w:rPr>
        <w:t>Ḥ</w:t>
      </w:r>
      <w:r w:rsidRPr="00435AB8">
        <w:rPr>
          <w:rFonts w:ascii="Calibri" w:hAnsi="Calibri" w:cs="Calibri"/>
          <w:color w:val="000000"/>
        </w:rPr>
        <w:t>erem</w:t>
      </w:r>
      <w:r w:rsidRPr="00FC648B">
        <w:rPr>
          <w:rFonts w:ascii="Calibri" w:hAnsi="Calibri" w:cs="Calibri"/>
          <w:i/>
          <w:iCs/>
          <w:color w:val="000000"/>
        </w:rPr>
        <w:t>: A Window in Israel’s Religious Experience</w:t>
      </w:r>
      <w:r>
        <w:t>, Brown Judaic Studies 211 (Atlanta: Scholars, 1989), 165-78.</w:t>
      </w:r>
      <w:r w:rsidRPr="005D0C8F">
        <w:t xml:space="preserve"> </w:t>
      </w:r>
    </w:p>
  </w:footnote>
  <w:footnote w:id="164">
    <w:p w14:paraId="0D5D8A1C" w14:textId="38542279" w:rsidR="007B7018" w:rsidRPr="00513CA2" w:rsidRDefault="007B7018" w:rsidP="00BE6A4C">
      <w:pPr>
        <w:rPr>
          <w:sz w:val="20"/>
          <w:szCs w:val="20"/>
        </w:rPr>
      </w:pPr>
      <w:r>
        <w:rPr>
          <w:rStyle w:val="FootnoteReference"/>
        </w:rPr>
        <w:footnoteRef/>
      </w:r>
      <w:r>
        <w:t xml:space="preserve"> </w:t>
      </w:r>
      <w:r w:rsidRPr="00513CA2">
        <w:rPr>
          <w:rFonts w:eastAsia="MinionPro-Regular" w:cstheme="minorHAnsi"/>
          <w:sz w:val="20"/>
          <w:szCs w:val="20"/>
        </w:rPr>
        <w:t>Jean-Pierre Sonnet, “God’s Repentance and ‘False Starts’ in Biblical History (Genesis 6</w:t>
      </w:r>
      <w:r w:rsidRPr="00513CA2">
        <w:rPr>
          <w:rFonts w:eastAsia="MinionPro-Regular" w:cstheme="minorHAnsi" w:hint="eastAsia"/>
          <w:sz w:val="20"/>
          <w:szCs w:val="20"/>
        </w:rPr>
        <w:t xml:space="preserve"> </w:t>
      </w:r>
      <w:r w:rsidRPr="00513CA2">
        <w:rPr>
          <w:rFonts w:eastAsia="MinionPro-Regular" w:cstheme="minorHAnsi"/>
          <w:sz w:val="20"/>
          <w:szCs w:val="20"/>
        </w:rPr>
        <w:t>– 9; Exodus 32</w:t>
      </w:r>
      <w:r w:rsidRPr="00513CA2">
        <w:rPr>
          <w:rFonts w:eastAsia="MinionPro-Regular" w:cstheme="minorHAnsi" w:hint="eastAsia"/>
          <w:sz w:val="20"/>
          <w:szCs w:val="20"/>
        </w:rPr>
        <w:t>-</w:t>
      </w:r>
      <w:r w:rsidRPr="00513CA2">
        <w:rPr>
          <w:rFonts w:eastAsia="MinionPro-Regular" w:cstheme="minorHAnsi"/>
          <w:sz w:val="20"/>
          <w:szCs w:val="20"/>
        </w:rPr>
        <w:t xml:space="preserve"> 34; 1 Samuel 15 and 2 Samuel 7</w:t>
      </w:r>
      <w:r w:rsidRPr="00513CA2">
        <w:rPr>
          <w:rFonts w:eastAsia="MinionPro-Regular" w:cstheme="minorHAnsi" w:hint="eastAsia"/>
          <w:sz w:val="20"/>
          <w:szCs w:val="20"/>
        </w:rPr>
        <w:t>)</w:t>
      </w:r>
      <w:r w:rsidRPr="00513CA2">
        <w:rPr>
          <w:rFonts w:eastAsia="MinionPro-Regular" w:cstheme="minorHAnsi"/>
          <w:sz w:val="20"/>
          <w:szCs w:val="20"/>
        </w:rPr>
        <w:t xml:space="preserve">,” </w:t>
      </w:r>
      <w:r w:rsidRPr="00513CA2">
        <w:rPr>
          <w:sz w:val="20"/>
          <w:szCs w:val="20"/>
        </w:rPr>
        <w:t xml:space="preserve">in </w:t>
      </w:r>
      <w:r w:rsidRPr="009C4854">
        <w:rPr>
          <w:i/>
          <w:iCs/>
          <w:sz w:val="20"/>
          <w:szCs w:val="20"/>
        </w:rPr>
        <w:t>Congress Volume Ljubljana 2007</w:t>
      </w:r>
      <w:r w:rsidRPr="00513CA2">
        <w:rPr>
          <w:sz w:val="20"/>
          <w:szCs w:val="20"/>
        </w:rPr>
        <w:t>, ed. Andr</w:t>
      </w:r>
      <w:r w:rsidRPr="00513CA2">
        <w:rPr>
          <w:rFonts w:cstheme="minorHAnsi"/>
          <w:sz w:val="20"/>
          <w:szCs w:val="20"/>
        </w:rPr>
        <w:t>é</w:t>
      </w:r>
      <w:r w:rsidRPr="00513CA2">
        <w:rPr>
          <w:sz w:val="20"/>
          <w:szCs w:val="20"/>
        </w:rPr>
        <w:t xml:space="preserve"> Lemaire</w:t>
      </w:r>
      <w:r>
        <w:rPr>
          <w:sz w:val="20"/>
          <w:szCs w:val="20"/>
        </w:rPr>
        <w:t xml:space="preserve">, </w:t>
      </w:r>
      <w:r w:rsidRPr="00513CA2">
        <w:rPr>
          <w:sz w:val="20"/>
          <w:szCs w:val="20"/>
        </w:rPr>
        <w:t xml:space="preserve">VTSup 133 </w:t>
      </w:r>
      <w:r>
        <w:rPr>
          <w:sz w:val="20"/>
          <w:szCs w:val="20"/>
        </w:rPr>
        <w:t>(</w:t>
      </w:r>
      <w:r w:rsidRPr="00513CA2">
        <w:rPr>
          <w:sz w:val="20"/>
          <w:szCs w:val="20"/>
        </w:rPr>
        <w:t xml:space="preserve">Leiden: Brill, 2009), </w:t>
      </w:r>
      <w:r>
        <w:rPr>
          <w:sz w:val="20"/>
          <w:szCs w:val="20"/>
        </w:rPr>
        <w:t>469-94 (487).</w:t>
      </w:r>
    </w:p>
  </w:footnote>
  <w:footnote w:id="165">
    <w:p w14:paraId="22CC5965" w14:textId="2B2912CA" w:rsidR="007B7018" w:rsidRDefault="007B7018" w:rsidP="00CC1142">
      <w:pPr>
        <w:pStyle w:val="FootnoteText"/>
      </w:pPr>
      <w:r>
        <w:rPr>
          <w:rStyle w:val="FootnoteReference"/>
        </w:rPr>
        <w:footnoteRef/>
      </w:r>
      <w:r>
        <w:t xml:space="preserve"> Peter D. Miscall, </w:t>
      </w:r>
      <w:r w:rsidRPr="00BA34A3">
        <w:rPr>
          <w:rFonts w:cs="Calibri"/>
          <w:i/>
        </w:rPr>
        <w:t>1 Samuel: A Literary Reading</w:t>
      </w:r>
      <w:r w:rsidRPr="00BA34A3">
        <w:rPr>
          <w:rFonts w:cs="Calibri"/>
        </w:rPr>
        <w:t xml:space="preserve"> </w:t>
      </w:r>
      <w:r>
        <w:rPr>
          <w:rFonts w:cs="Calibri"/>
        </w:rPr>
        <w:t>(</w:t>
      </w:r>
      <w:r w:rsidRPr="00BA34A3">
        <w:rPr>
          <w:rFonts w:cs="Calibri"/>
        </w:rPr>
        <w:t>Bloomington: Indiana University Press, 1986</w:t>
      </w:r>
      <w:r>
        <w:rPr>
          <w:rFonts w:cs="Calibri"/>
        </w:rPr>
        <w:t xml:space="preserve">), </w:t>
      </w:r>
      <w:r>
        <w:t>108.</w:t>
      </w:r>
    </w:p>
  </w:footnote>
  <w:footnote w:id="166">
    <w:p w14:paraId="16B1E41D" w14:textId="7A143FD9" w:rsidR="007B7018" w:rsidRPr="00BF32DE" w:rsidRDefault="007B7018">
      <w:pPr>
        <w:pStyle w:val="FootnoteText"/>
      </w:pPr>
      <w:r>
        <w:rPr>
          <w:rStyle w:val="FootnoteReference"/>
        </w:rPr>
        <w:footnoteRef/>
      </w:r>
      <w:r>
        <w:t xml:space="preserve"> John </w:t>
      </w:r>
      <w:r w:rsidRPr="00BF32DE">
        <w:t xml:space="preserve">Calvin, </w:t>
      </w:r>
      <w:r w:rsidRPr="008B3CBD">
        <w:rPr>
          <w:i/>
          <w:iCs/>
        </w:rPr>
        <w:t>Sermons on 2 Samuel</w:t>
      </w:r>
      <w:r>
        <w:rPr>
          <w:i/>
          <w:iCs/>
        </w:rPr>
        <w:t xml:space="preserve"> </w:t>
      </w:r>
      <w:r>
        <w:t>(Edinburgh: Banner of Truth, 1992)</w:t>
      </w:r>
      <w:r w:rsidRPr="00BF32DE">
        <w:t xml:space="preserve"> 1:112; </w:t>
      </w:r>
      <w:r>
        <w:t xml:space="preserve">as quoted in Derek </w:t>
      </w:r>
      <w:r w:rsidRPr="00BF32DE">
        <w:rPr>
          <w:rFonts w:cs="Calibri"/>
        </w:rPr>
        <w:t>Cooper and Martin J. Loh</w:t>
      </w:r>
      <w:r>
        <w:rPr>
          <w:rFonts w:cs="Calibri"/>
        </w:rPr>
        <w:t>r</w:t>
      </w:r>
      <w:r w:rsidRPr="00BF32DE">
        <w:rPr>
          <w:rFonts w:cs="Calibri"/>
        </w:rPr>
        <w:t xml:space="preserve">mann, </w:t>
      </w:r>
      <w:r w:rsidRPr="00BF32DE">
        <w:rPr>
          <w:rFonts w:ascii="Calibri" w:hAnsi="Calibri" w:cs="Calibri"/>
        </w:rPr>
        <w:t>ed.</w:t>
      </w:r>
      <w:r>
        <w:rPr>
          <w:rFonts w:ascii="Calibri" w:hAnsi="Calibri" w:cs="Calibri"/>
        </w:rPr>
        <w:t>,</w:t>
      </w:r>
      <w:r w:rsidRPr="00BF32DE">
        <w:rPr>
          <w:rFonts w:ascii="Calibri" w:hAnsi="Calibri" w:cs="Calibri"/>
        </w:rPr>
        <w:t xml:space="preserve"> </w:t>
      </w:r>
      <w:r w:rsidRPr="00BF32DE">
        <w:rPr>
          <w:rFonts w:ascii="Calibri" w:hAnsi="Calibri" w:cs="Calibri"/>
          <w:i/>
          <w:iCs/>
          <w:shd w:val="clear" w:color="auto" w:fill="FFFFFF"/>
        </w:rPr>
        <w:t>1 – 2 Samuel, 1 – 2 Kings, 1 – 2 Chronicles</w:t>
      </w:r>
      <w:r>
        <w:rPr>
          <w:rFonts w:ascii="Calibri" w:hAnsi="Calibri" w:cs="Calibri"/>
          <w:shd w:val="clear" w:color="auto" w:fill="FFFFFF"/>
        </w:rPr>
        <w:t xml:space="preserve">, </w:t>
      </w:r>
      <w:r w:rsidRPr="00BF32DE">
        <w:rPr>
          <w:rFonts w:ascii="Calibri" w:hAnsi="Calibri" w:cs="Calibri"/>
          <w:shd w:val="clear" w:color="auto" w:fill="FFFFFF"/>
        </w:rPr>
        <w:t>Reformation Commentary on Scripture</w:t>
      </w:r>
      <w:r w:rsidRPr="00BF32DE">
        <w:rPr>
          <w:rFonts w:cstheme="minorHAnsi"/>
          <w:shd w:val="clear" w:color="auto" w:fill="FFFFFF"/>
        </w:rPr>
        <w:t>: Old Testament 5</w:t>
      </w:r>
      <w:r w:rsidRPr="00BF32DE">
        <w:rPr>
          <w:rFonts w:ascii="Calibri" w:hAnsi="Calibri" w:cs="Calibri"/>
          <w:shd w:val="clear" w:color="auto" w:fill="FFFFFF"/>
        </w:rPr>
        <w:t xml:space="preserve"> </w:t>
      </w:r>
      <w:r>
        <w:rPr>
          <w:rFonts w:ascii="Calibri" w:hAnsi="Calibri" w:cs="Calibri"/>
          <w:shd w:val="clear" w:color="auto" w:fill="FFFFFF"/>
        </w:rPr>
        <w:t>(</w:t>
      </w:r>
      <w:r w:rsidRPr="00BF32DE">
        <w:rPr>
          <w:rFonts w:ascii="Calibri" w:hAnsi="Calibri" w:cs="Calibri"/>
          <w:shd w:val="clear" w:color="auto" w:fill="FFFFFF"/>
        </w:rPr>
        <w:t>Downers Grove, IL: InterVarsity, 2016</w:t>
      </w:r>
      <w:r>
        <w:rPr>
          <w:rFonts w:ascii="Calibri" w:hAnsi="Calibri" w:cs="Calibri"/>
          <w:shd w:val="clear" w:color="auto" w:fill="FFFFFF"/>
        </w:rPr>
        <w:t>)</w:t>
      </w:r>
      <w:r w:rsidRPr="00BF32DE">
        <w:t>, 62.</w:t>
      </w:r>
    </w:p>
  </w:footnote>
  <w:footnote w:id="167">
    <w:p w14:paraId="1C46F528" w14:textId="77777777" w:rsidR="007B7018" w:rsidRPr="006F49AB" w:rsidRDefault="007B7018" w:rsidP="00A337CD">
      <w:pPr>
        <w:pStyle w:val="FootnoteText"/>
      </w:pPr>
      <w:r>
        <w:rPr>
          <w:rStyle w:val="FootnoteReference"/>
        </w:rPr>
        <w:footnoteRef/>
      </w:r>
      <w:r>
        <w:t xml:space="preserve"> For MT </w:t>
      </w:r>
      <w:r>
        <w:rPr>
          <w:i/>
          <w:iCs/>
        </w:rPr>
        <w:t>y</w:t>
      </w:r>
      <w:r>
        <w:rPr>
          <w:rFonts w:cstheme="minorHAnsi"/>
          <w:i/>
          <w:iCs/>
        </w:rPr>
        <w:t>əšaqqēr</w:t>
      </w:r>
      <w:r>
        <w:rPr>
          <w:rFonts w:cstheme="minorHAnsi"/>
        </w:rPr>
        <w:t>, 4QSam</w:t>
      </w:r>
      <w:r>
        <w:rPr>
          <w:rFonts w:cstheme="minorHAnsi"/>
          <w:vertAlign w:val="superscript"/>
        </w:rPr>
        <w:t>a</w:t>
      </w:r>
      <w:r>
        <w:rPr>
          <w:rFonts w:cstheme="minorHAnsi"/>
        </w:rPr>
        <w:t xml:space="preserve"> has </w:t>
      </w:r>
      <w:r>
        <w:rPr>
          <w:rFonts w:cstheme="minorHAnsi"/>
          <w:i/>
          <w:iCs/>
        </w:rPr>
        <w:t>yšyb</w:t>
      </w:r>
      <w:r>
        <w:rPr>
          <w:rFonts w:cstheme="minorHAnsi"/>
        </w:rPr>
        <w:t>; LXX “turn back” (cf. NRSV).</w:t>
      </w:r>
    </w:p>
  </w:footnote>
  <w:footnote w:id="168">
    <w:p w14:paraId="408286FD" w14:textId="60FE6B65" w:rsidR="007B7018" w:rsidRDefault="007B7018">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i/>
          <w:iCs/>
        </w:rPr>
        <w:t xml:space="preserve"> </w:t>
      </w:r>
      <w:r>
        <w:rPr>
          <w:rFonts w:cs="Calibri"/>
        </w:rPr>
        <w:t>2:110.</w:t>
      </w:r>
    </w:p>
  </w:footnote>
  <w:footnote w:id="169">
    <w:p w14:paraId="2EF892B8" w14:textId="501F241A" w:rsidR="007B7018" w:rsidRDefault="007B7018" w:rsidP="00A84CCC">
      <w:pPr>
        <w:pStyle w:val="FootnoteText"/>
      </w:pPr>
      <w:r>
        <w:rPr>
          <w:rStyle w:val="FootnoteReference"/>
        </w:rPr>
        <w:footnoteRef/>
      </w:r>
      <w:r>
        <w:t xml:space="preserve"> Karl Barth, </w:t>
      </w:r>
      <w:r>
        <w:rPr>
          <w:i/>
          <w:iCs/>
        </w:rPr>
        <w:t>Church Dogmatics</w:t>
      </w:r>
      <w:r>
        <w:t xml:space="preserve"> II/2 (reprinted London: T &amp; T Clark, 2010), 178, 179.</w:t>
      </w:r>
    </w:p>
  </w:footnote>
  <w:footnote w:id="170">
    <w:p w14:paraId="661D7003" w14:textId="4605302F" w:rsidR="007B7018" w:rsidRDefault="007B7018" w:rsidP="007E7582">
      <w:pPr>
        <w:pStyle w:val="FootnoteText"/>
      </w:pPr>
      <w:r>
        <w:rPr>
          <w:rStyle w:val="FootnoteReference"/>
        </w:rPr>
        <w:footnoteRef/>
      </w:r>
      <w:r>
        <w:t xml:space="preserve"> Gunn, </w:t>
      </w:r>
      <w:r>
        <w:rPr>
          <w:i/>
          <w:iCs/>
        </w:rPr>
        <w:t>Fate of King Saul</w:t>
      </w:r>
      <w:r>
        <w:t>, 40, 113.</w:t>
      </w:r>
    </w:p>
  </w:footnote>
  <w:footnote w:id="171">
    <w:p w14:paraId="5CDA0A83" w14:textId="65ECB979" w:rsidR="007B7018" w:rsidRPr="00A82F57" w:rsidRDefault="007B7018" w:rsidP="004C5A19">
      <w:pPr>
        <w:pStyle w:val="FootnoteText"/>
      </w:pPr>
      <w:r>
        <w:rPr>
          <w:rStyle w:val="FootnoteReference"/>
        </w:rPr>
        <w:footnoteRef/>
      </w:r>
      <w:r>
        <w:t xml:space="preserve"> Gunn, </w:t>
      </w:r>
      <w:r>
        <w:rPr>
          <w:i/>
          <w:iCs/>
        </w:rPr>
        <w:t>Fate of King Saul</w:t>
      </w:r>
      <w:r>
        <w:t>, 30, 125.</w:t>
      </w:r>
    </w:p>
  </w:footnote>
  <w:footnote w:id="172">
    <w:p w14:paraId="4A539998" w14:textId="796E7B5A" w:rsidR="007B7018" w:rsidRPr="00D64EAA" w:rsidRDefault="007B7018" w:rsidP="00B6778F">
      <w:pPr>
        <w:pStyle w:val="FootnoteText"/>
        <w:rPr>
          <w:rFonts w:ascii="Calibri" w:hAnsi="Calibri" w:cs="Calibri"/>
        </w:rPr>
      </w:pPr>
      <w:r>
        <w:rPr>
          <w:rStyle w:val="FootnoteReference"/>
        </w:rPr>
        <w:footnoteRef/>
      </w:r>
      <w:r>
        <w:t xml:space="preserve"> David Toshio Tsumura, </w:t>
      </w:r>
      <w:r>
        <w:rPr>
          <w:i/>
          <w:iCs/>
        </w:rPr>
        <w:t>The First Book of Samuel</w:t>
      </w:r>
      <w:r>
        <w:t xml:space="preserve">, NICOT (Grand Rapids: Eerdmans, 2007), commenting on 15:11. Steven J. Duby has a careful study of anthropopathic or metaphorical approaches in </w:t>
      </w:r>
      <w:r>
        <w:rPr>
          <w:rFonts w:ascii="Calibri" w:hAnsi="Calibri" w:cs="Calibri"/>
        </w:rPr>
        <w:t>“‘</w:t>
      </w:r>
      <w:r w:rsidRPr="00B6778F">
        <w:rPr>
          <w:rFonts w:ascii="Calibri" w:hAnsi="Calibri" w:cs="Calibri"/>
        </w:rPr>
        <w:t>For I Am God, Not a Man</w:t>
      </w:r>
      <w:r>
        <w:rPr>
          <w:rFonts w:ascii="Calibri" w:hAnsi="Calibri" w:cs="Calibri"/>
        </w:rPr>
        <w:t xml:space="preserve">’: </w:t>
      </w:r>
      <w:r w:rsidRPr="00B6778F">
        <w:rPr>
          <w:rFonts w:ascii="Calibri" w:hAnsi="Calibri" w:cs="Calibri"/>
        </w:rPr>
        <w:t>Divine Repentance and the Creator-Creature Distinction</w:t>
      </w:r>
      <w:r>
        <w:rPr>
          <w:rFonts w:ascii="Calibri" w:hAnsi="Calibri" w:cs="Calibri"/>
        </w:rPr>
        <w:t xml:space="preserve">, </w:t>
      </w:r>
      <w:r>
        <w:rPr>
          <w:rFonts w:ascii="Calibri" w:hAnsi="Calibri" w:cs="Calibri"/>
          <w:i/>
          <w:iCs/>
        </w:rPr>
        <w:t>Journal of Theological Interpretation</w:t>
      </w:r>
      <w:r>
        <w:rPr>
          <w:rFonts w:ascii="Calibri" w:hAnsi="Calibri" w:cs="Calibri"/>
        </w:rPr>
        <w:t xml:space="preserve"> 12 (2018): 149-69.</w:t>
      </w:r>
    </w:p>
  </w:footnote>
  <w:footnote w:id="173">
    <w:p w14:paraId="11753ADD" w14:textId="6E57318C" w:rsidR="007B7018" w:rsidRPr="00B11F2C" w:rsidRDefault="007B7018" w:rsidP="00B11F2C">
      <w:pPr>
        <w:pStyle w:val="FootnoteText"/>
      </w:pPr>
      <w:r w:rsidRPr="00B11F2C">
        <w:rPr>
          <w:rStyle w:val="FootnoteReference"/>
        </w:rPr>
        <w:footnoteRef/>
      </w:r>
      <w:r w:rsidRPr="00B11F2C">
        <w:t xml:space="preserve"> </w:t>
      </w:r>
      <w:r w:rsidRPr="00B11F2C">
        <w:rPr>
          <w:rFonts w:ascii="Calibri" w:eastAsia="MinionPro-It" w:hAnsi="Calibri" w:cs="Calibri"/>
        </w:rPr>
        <w:t xml:space="preserve">Benjamin J. M. Johnson, </w:t>
      </w:r>
      <w:r w:rsidRPr="00B11F2C">
        <w:rPr>
          <w:rFonts w:eastAsia="MinionPro-It" w:cs="Calibri"/>
        </w:rPr>
        <w:t>“</w:t>
      </w:r>
      <w:r w:rsidRPr="00B11F2C">
        <w:rPr>
          <w:rFonts w:ascii="Calibri" w:hAnsi="Calibri" w:cs="Calibri"/>
        </w:rPr>
        <w:t>Characterizing Chiastic Contradiction:</w:t>
      </w:r>
      <w:r w:rsidRPr="00B11F2C">
        <w:rPr>
          <w:rFonts w:cs="Calibri"/>
        </w:rPr>
        <w:t xml:space="preserve"> </w:t>
      </w:r>
      <w:r w:rsidRPr="00B11F2C">
        <w:rPr>
          <w:rFonts w:ascii="Calibri" w:hAnsi="Calibri" w:cs="Calibri"/>
        </w:rPr>
        <w:t>Literary Structure, Divine Repentance,</w:t>
      </w:r>
      <w:r w:rsidRPr="00B11F2C">
        <w:rPr>
          <w:rFonts w:cs="Calibri"/>
        </w:rPr>
        <w:t xml:space="preserve"> </w:t>
      </w:r>
      <w:r w:rsidRPr="00B11F2C">
        <w:rPr>
          <w:rFonts w:ascii="Calibri" w:hAnsi="Calibri" w:cs="Calibri"/>
        </w:rPr>
        <w:t>and Dialogical Biblical Theology in</w:t>
      </w:r>
      <w:r w:rsidRPr="00B11F2C">
        <w:rPr>
          <w:rFonts w:cs="Calibri"/>
        </w:rPr>
        <w:t xml:space="preserve"> </w:t>
      </w:r>
      <w:r w:rsidRPr="00B11F2C">
        <w:rPr>
          <w:rFonts w:ascii="Calibri" w:hAnsi="Calibri" w:cs="Calibri"/>
        </w:rPr>
        <w:t>1 Samuel 15:10–35</w:t>
      </w:r>
      <w:r>
        <w:rPr>
          <w:rFonts w:cs="Calibri"/>
        </w:rPr>
        <w:t>,</w:t>
      </w:r>
      <w:r w:rsidRPr="00B11F2C">
        <w:rPr>
          <w:rFonts w:cs="Calibri"/>
        </w:rPr>
        <w:t xml:space="preserve">” </w:t>
      </w:r>
      <w:r>
        <w:rPr>
          <w:rFonts w:cs="Calibri"/>
        </w:rPr>
        <w:t>i</w:t>
      </w:r>
      <w:r w:rsidRPr="00B11F2C">
        <w:rPr>
          <w:rFonts w:cs="Calibri"/>
        </w:rPr>
        <w:t xml:space="preserve">n </w:t>
      </w:r>
      <w:r w:rsidRPr="00B11F2C">
        <w:rPr>
          <w:rFonts w:ascii="Calibri" w:hAnsi="Calibri" w:cs="Calibri"/>
          <w:i/>
          <w:iCs/>
          <w:color w:val="333333"/>
        </w:rPr>
        <w:t>Theology of the Hebrew Bible, Volume 1: Methodological Studies</w:t>
      </w:r>
      <w:r w:rsidRPr="00B11F2C">
        <w:rPr>
          <w:rFonts w:cs="Calibri"/>
          <w:color w:val="333333"/>
        </w:rPr>
        <w:t>,</w:t>
      </w:r>
      <w:r w:rsidRPr="00B11F2C">
        <w:rPr>
          <w:rFonts w:cs="Calibri"/>
          <w:i/>
          <w:iCs/>
          <w:color w:val="333333"/>
        </w:rPr>
        <w:t xml:space="preserve"> </w:t>
      </w:r>
      <w:r w:rsidRPr="00B11F2C">
        <w:rPr>
          <w:rFonts w:cs="Calibri"/>
          <w:color w:val="333333"/>
        </w:rPr>
        <w:t>e</w:t>
      </w:r>
      <w:r w:rsidRPr="00B11F2C">
        <w:rPr>
          <w:rFonts w:ascii="Calibri" w:hAnsi="Calibri" w:cs="Calibri"/>
          <w:color w:val="333333"/>
        </w:rPr>
        <w:t>d</w:t>
      </w:r>
      <w:r w:rsidRPr="00B11F2C">
        <w:rPr>
          <w:rFonts w:cs="Calibri"/>
          <w:color w:val="333333"/>
        </w:rPr>
        <w:t>.</w:t>
      </w:r>
      <w:r w:rsidRPr="00B11F2C">
        <w:rPr>
          <w:rFonts w:ascii="Calibri" w:hAnsi="Calibri" w:cs="Calibri"/>
          <w:color w:val="333333"/>
        </w:rPr>
        <w:t> </w:t>
      </w:r>
      <w:r w:rsidRPr="00B11F2C">
        <w:rPr>
          <w:rStyle w:val="name"/>
          <w:rFonts w:ascii="Calibri" w:hAnsi="Calibri" w:cs="Calibri"/>
          <w:color w:val="333333"/>
        </w:rPr>
        <w:t>Marvin A. Sweeney</w:t>
      </w:r>
      <w:r>
        <w:rPr>
          <w:rStyle w:val="name"/>
          <w:rFonts w:cs="Calibri"/>
          <w:color w:val="333333"/>
        </w:rPr>
        <w:t xml:space="preserve"> (</w:t>
      </w:r>
      <w:r w:rsidRPr="00B11F2C">
        <w:rPr>
          <w:rStyle w:val="name"/>
          <w:rFonts w:cs="Calibri"/>
          <w:color w:val="333333"/>
        </w:rPr>
        <w:t>Atlanta: SBL, 2019</w:t>
      </w:r>
      <w:r>
        <w:rPr>
          <w:rStyle w:val="name"/>
          <w:rFonts w:cs="Calibri"/>
          <w:color w:val="333333"/>
        </w:rPr>
        <w:t xml:space="preserve">), </w:t>
      </w:r>
      <w:r w:rsidRPr="00B11F2C">
        <w:rPr>
          <w:rStyle w:val="name"/>
          <w:rFonts w:cs="Calibri"/>
          <w:color w:val="333333"/>
        </w:rPr>
        <w:t>185-211</w:t>
      </w:r>
      <w:r w:rsidRPr="00B11F2C">
        <w:t xml:space="preserve"> </w:t>
      </w:r>
      <w:r>
        <w:t>(</w:t>
      </w:r>
      <w:r w:rsidRPr="00B11F2C">
        <w:t>206</w:t>
      </w:r>
      <w:r>
        <w:t>)</w:t>
      </w:r>
      <w:r w:rsidRPr="00B11F2C">
        <w:t>.</w:t>
      </w:r>
    </w:p>
  </w:footnote>
  <w:footnote w:id="174">
    <w:p w14:paraId="5A126C5F" w14:textId="2ED5FD54" w:rsidR="007B7018" w:rsidRDefault="007B7018" w:rsidP="00FD6508">
      <w:pPr>
        <w:pStyle w:val="FootnoteText"/>
      </w:pPr>
      <w:r>
        <w:rPr>
          <w:rStyle w:val="FootnoteReference"/>
        </w:rPr>
        <w:footnoteRef/>
      </w:r>
      <w:r>
        <w:t xml:space="preserve"> Polzin, </w:t>
      </w:r>
      <w:r w:rsidRPr="00BA34A3">
        <w:rPr>
          <w:rFonts w:cs="Calibri"/>
          <w:i/>
        </w:rPr>
        <w:t>Samue</w:t>
      </w:r>
      <w:r>
        <w:rPr>
          <w:rFonts w:cs="Calibri"/>
          <w:i/>
        </w:rPr>
        <w:t>l</w:t>
      </w:r>
      <w:r>
        <w:t>, 140-45.</w:t>
      </w:r>
    </w:p>
  </w:footnote>
  <w:footnote w:id="175">
    <w:p w14:paraId="0FD45EF1" w14:textId="585FFA19" w:rsidR="007B7018" w:rsidRDefault="007B7018" w:rsidP="00FD6508">
      <w:pPr>
        <w:pStyle w:val="FootnoteText"/>
      </w:pPr>
      <w:r>
        <w:rPr>
          <w:rStyle w:val="FootnoteReference"/>
        </w:rPr>
        <w:footnoteRef/>
      </w:r>
      <w:r>
        <w:t xml:space="preserve"> </w:t>
      </w:r>
      <w:r w:rsidRPr="00BA34A3">
        <w:rPr>
          <w:rFonts w:eastAsia="Times New Roman" w:cs="Calibri"/>
          <w:color w:val="3A3A3A"/>
        </w:rPr>
        <w:t>Johanna W. H. van</w:t>
      </w:r>
      <w:r>
        <w:rPr>
          <w:rFonts w:eastAsia="Times New Roman" w:cs="Calibri"/>
          <w:color w:val="3A3A3A"/>
        </w:rPr>
        <w:t xml:space="preserve"> </w:t>
      </w:r>
      <w:r w:rsidRPr="00BA34A3">
        <w:rPr>
          <w:rFonts w:eastAsia="Times New Roman" w:cs="Calibri"/>
          <w:color w:val="3A3A3A"/>
        </w:rPr>
        <w:t>Wijk-</w:t>
      </w:r>
      <w:r>
        <w:rPr>
          <w:rFonts w:eastAsia="Times New Roman" w:cs="Calibri"/>
          <w:color w:val="3A3A3A"/>
        </w:rPr>
        <w:t xml:space="preserve">bos, </w:t>
      </w:r>
      <w:r w:rsidRPr="00972463">
        <w:rPr>
          <w:rFonts w:eastAsia="Times New Roman" w:cs="Calibri"/>
          <w:i/>
          <w:iCs/>
          <w:color w:val="3A3A3A"/>
        </w:rPr>
        <w:t>Reading Samuel</w:t>
      </w:r>
      <w:r w:rsidRPr="00EB7A48">
        <w:rPr>
          <w:rFonts w:ascii="Calibri" w:eastAsia="Times New Roman" w:hAnsi="Calibri" w:cs="Calibri"/>
          <w:i/>
          <w:iCs/>
          <w:color w:val="3A3A3A"/>
        </w:rPr>
        <w:t xml:space="preserve">: </w:t>
      </w:r>
      <w:r w:rsidRPr="00EB7A48">
        <w:rPr>
          <w:rFonts w:ascii="Calibri" w:hAnsi="Calibri" w:cs="Calibri"/>
          <w:i/>
          <w:iCs/>
        </w:rPr>
        <w:t>A Literary and Theological Commentary</w:t>
      </w:r>
      <w:r w:rsidRPr="00972463">
        <w:rPr>
          <w:rFonts w:eastAsia="Times New Roman" w:cs="Calibri"/>
          <w:color w:val="3A3A3A"/>
        </w:rPr>
        <w:t xml:space="preserve"> </w:t>
      </w:r>
      <w:r>
        <w:rPr>
          <w:rFonts w:eastAsia="Times New Roman" w:cs="Calibri"/>
          <w:color w:val="3A3A3A"/>
        </w:rPr>
        <w:t>(Macon, GA: Smith and Helwys</w:t>
      </w:r>
      <w:r w:rsidRPr="00972463">
        <w:rPr>
          <w:rFonts w:eastAsia="Times New Roman" w:cs="Calibri"/>
          <w:color w:val="3A3A3A"/>
        </w:rPr>
        <w:t>, 2011</w:t>
      </w:r>
      <w:r>
        <w:rPr>
          <w:rFonts w:eastAsia="Times New Roman" w:cs="Calibri"/>
          <w:color w:val="3A3A3A"/>
        </w:rPr>
        <w:t>), 87.</w:t>
      </w:r>
    </w:p>
  </w:footnote>
  <w:footnote w:id="176">
    <w:p w14:paraId="75936414" w14:textId="77777777" w:rsidR="007B7018" w:rsidRDefault="007B7018" w:rsidP="00D76EF5">
      <w:pPr>
        <w:pStyle w:val="FootnoteText"/>
      </w:pPr>
      <w:r>
        <w:rPr>
          <w:rStyle w:val="FootnoteReference"/>
        </w:rPr>
        <w:footnoteRef/>
      </w:r>
      <w:r>
        <w:t xml:space="preserve"> Terence E. Fretheim, “Divine Foreknowledge, Divine Constancy, and the Rejection of Saul's Kingship,” </w:t>
      </w:r>
      <w:r>
        <w:rPr>
          <w:i/>
          <w:iCs/>
        </w:rPr>
        <w:t xml:space="preserve">CBQ </w:t>
      </w:r>
      <w:r>
        <w:t>47 (1985): 595-602 (597-98).</w:t>
      </w:r>
    </w:p>
  </w:footnote>
  <w:footnote w:id="177">
    <w:p w14:paraId="4A8A3348" w14:textId="6C6F6411" w:rsidR="007B7018" w:rsidRPr="00E160B2" w:rsidRDefault="007B7018">
      <w:pPr>
        <w:pStyle w:val="FootnoteText"/>
      </w:pPr>
      <w:r>
        <w:rPr>
          <w:rStyle w:val="FootnoteReference"/>
        </w:rPr>
        <w:footnoteRef/>
      </w:r>
      <w:r>
        <w:t xml:space="preserve"> Edelman, </w:t>
      </w:r>
      <w:r>
        <w:rPr>
          <w:i/>
          <w:iCs/>
        </w:rPr>
        <w:t>King Saul</w:t>
      </w:r>
      <w:r>
        <w:t>, 104.</w:t>
      </w:r>
    </w:p>
  </w:footnote>
  <w:footnote w:id="178">
    <w:p w14:paraId="52B06CFD" w14:textId="12FF5B26" w:rsidR="007B7018" w:rsidRDefault="007B7018">
      <w:pPr>
        <w:pStyle w:val="FootnoteText"/>
      </w:pPr>
      <w:r>
        <w:rPr>
          <w:rStyle w:val="FootnoteReference"/>
        </w:rPr>
        <w:footnoteRef/>
      </w:r>
      <w:r>
        <w:t xml:space="preserve"> Qimchi, in </w:t>
      </w:r>
      <w:r w:rsidRPr="003C0FB3">
        <w:rPr>
          <w:rFonts w:cstheme="minorHAnsi"/>
          <w:i/>
        </w:rPr>
        <w:t>miqrā’ôt gәdôlôt</w:t>
      </w:r>
      <w:r>
        <w:rPr>
          <w:rFonts w:cstheme="minorHAnsi"/>
          <w:iCs/>
        </w:rPr>
        <w:t xml:space="preserve"> on the verse.</w:t>
      </w:r>
    </w:p>
  </w:footnote>
  <w:footnote w:id="179">
    <w:p w14:paraId="7CCD3C15" w14:textId="32975C86" w:rsidR="007B7018" w:rsidRDefault="007B7018">
      <w:pPr>
        <w:pStyle w:val="FootnoteText"/>
      </w:pPr>
      <w:r>
        <w:rPr>
          <w:rStyle w:val="FootnoteReference"/>
        </w:rPr>
        <w:footnoteRef/>
      </w:r>
      <w:r>
        <w:t xml:space="preserve"> </w:t>
      </w:r>
      <w:r>
        <w:rPr>
          <w:rFonts w:cstheme="minorHAnsi"/>
        </w:rPr>
        <w:t xml:space="preserve">Miscall, </w:t>
      </w:r>
      <w:r>
        <w:rPr>
          <w:rFonts w:cstheme="minorHAnsi"/>
          <w:i/>
          <w:iCs/>
        </w:rPr>
        <w:t>1 Samuel</w:t>
      </w:r>
      <w:r>
        <w:rPr>
          <w:rFonts w:cstheme="minorHAnsi"/>
        </w:rPr>
        <w:t>, 117.</w:t>
      </w:r>
    </w:p>
  </w:footnote>
  <w:footnote w:id="180">
    <w:p w14:paraId="5C6B4256" w14:textId="4BF6D960" w:rsidR="007B7018" w:rsidRDefault="007B7018">
      <w:pPr>
        <w:pStyle w:val="FootnoteText"/>
      </w:pPr>
      <w:r>
        <w:rPr>
          <w:rStyle w:val="FootnoteReference"/>
        </w:rPr>
        <w:footnoteRef/>
      </w:r>
      <w:r>
        <w:t xml:space="preserve"> Rashi, in </w:t>
      </w:r>
      <w:r w:rsidRPr="003C0FB3">
        <w:rPr>
          <w:rFonts w:cstheme="minorHAnsi"/>
          <w:i/>
        </w:rPr>
        <w:t>miqrā’ôt gәdôlôt</w:t>
      </w:r>
      <w:r>
        <w:rPr>
          <w:rFonts w:cstheme="minorHAnsi"/>
          <w:iCs/>
        </w:rPr>
        <w:t xml:space="preserve"> on the verse.</w:t>
      </w:r>
    </w:p>
  </w:footnote>
  <w:footnote w:id="181">
    <w:p w14:paraId="044B02DB" w14:textId="5E564C59" w:rsidR="007B7018" w:rsidRDefault="007B7018" w:rsidP="00186CF1">
      <w:pPr>
        <w:pStyle w:val="FootnoteText"/>
      </w:pPr>
      <w:r>
        <w:rPr>
          <w:rStyle w:val="FootnoteReference"/>
        </w:rPr>
        <w:footnoteRef/>
      </w:r>
      <w:r>
        <w:t xml:space="preserve"> Lyle </w:t>
      </w:r>
      <w:r w:rsidRPr="00712585">
        <w:rPr>
          <w:rFonts w:cs="Calibri"/>
        </w:rPr>
        <w:t>Eslinger,</w:t>
      </w:r>
      <w:r>
        <w:rPr>
          <w:rFonts w:cs="Calibri"/>
        </w:rPr>
        <w:t xml:space="preserve"> “‘A Change of Heart’: 1 Samuel 16,” in </w:t>
      </w:r>
      <w:r>
        <w:rPr>
          <w:rFonts w:cs="Calibri"/>
          <w:i/>
          <w:iCs/>
        </w:rPr>
        <w:t>Ascribe to the Lord: Biblical and Other Studies in Memory of Peter C. Craigie</w:t>
      </w:r>
      <w:r>
        <w:rPr>
          <w:rFonts w:cs="Calibri"/>
        </w:rPr>
        <w:t>, ed. Lyle Eslinger and Glen Taylor, JSOTSup 67 (Sheffield: Sheffield Academic, 1988), 341-61.</w:t>
      </w:r>
    </w:p>
  </w:footnote>
  <w:footnote w:id="182">
    <w:p w14:paraId="27FAFDD3" w14:textId="77777777" w:rsidR="007B7018" w:rsidRDefault="007B7018" w:rsidP="00576691">
      <w:pPr>
        <w:pStyle w:val="FootnoteText"/>
      </w:pPr>
      <w:r>
        <w:rPr>
          <w:rStyle w:val="FootnoteReference"/>
        </w:rPr>
        <w:footnoteRef/>
      </w:r>
      <w:r>
        <w:t xml:space="preserve"> Joel </w:t>
      </w:r>
      <w:r>
        <w:rPr>
          <w:rFonts w:cs="Calibri"/>
        </w:rPr>
        <w:t xml:space="preserve">Rosenberg, “I and 2 Samuel,” in </w:t>
      </w:r>
      <w:r w:rsidRPr="006020B1">
        <w:rPr>
          <w:rFonts w:cs="Calibri"/>
        </w:rPr>
        <w:t>Robert Alter</w:t>
      </w:r>
      <w:r>
        <w:rPr>
          <w:rFonts w:cs="Calibri"/>
        </w:rPr>
        <w:t xml:space="preserve"> and </w:t>
      </w:r>
      <w:r w:rsidRPr="006020B1">
        <w:rPr>
          <w:rFonts w:cs="Calibri"/>
        </w:rPr>
        <w:t>Frank Kermode</w:t>
      </w:r>
      <w:r>
        <w:rPr>
          <w:rFonts w:cs="Calibri"/>
        </w:rPr>
        <w:t xml:space="preserve">, ed., </w:t>
      </w:r>
      <w:r w:rsidRPr="00236DDA">
        <w:rPr>
          <w:rFonts w:cs="Calibri"/>
          <w:i/>
          <w:iCs/>
        </w:rPr>
        <w:t>The</w:t>
      </w:r>
      <w:r>
        <w:rPr>
          <w:rFonts w:cs="Calibri"/>
          <w:i/>
          <w:iCs/>
        </w:rPr>
        <w:t xml:space="preserve"> </w:t>
      </w:r>
      <w:r w:rsidRPr="00236DDA">
        <w:rPr>
          <w:rFonts w:cs="Calibri"/>
          <w:i/>
          <w:iCs/>
        </w:rPr>
        <w:t>Literary Guide</w:t>
      </w:r>
      <w:r>
        <w:rPr>
          <w:rFonts w:cs="Calibri"/>
          <w:i/>
          <w:iCs/>
        </w:rPr>
        <w:t xml:space="preserve"> t</w:t>
      </w:r>
      <w:r w:rsidRPr="00236DDA">
        <w:rPr>
          <w:rFonts w:cs="Calibri"/>
          <w:i/>
          <w:iCs/>
        </w:rPr>
        <w:t xml:space="preserve">o </w:t>
      </w:r>
      <w:r>
        <w:rPr>
          <w:rFonts w:cs="Calibri"/>
          <w:i/>
          <w:iCs/>
        </w:rPr>
        <w:t>t</w:t>
      </w:r>
      <w:r w:rsidRPr="00236DDA">
        <w:rPr>
          <w:rFonts w:cs="Calibri"/>
          <w:i/>
          <w:iCs/>
        </w:rPr>
        <w:t>he Bible</w:t>
      </w:r>
      <w:r>
        <w:rPr>
          <w:rFonts w:cs="Calibri"/>
          <w:i/>
          <w:iCs/>
        </w:rPr>
        <w:t xml:space="preserve"> </w:t>
      </w:r>
      <w:r>
        <w:rPr>
          <w:rFonts w:cs="Calibri"/>
        </w:rPr>
        <w:t>(Cambridge, MA: Harvard University Press, 1987), 122-45 (128).</w:t>
      </w:r>
    </w:p>
  </w:footnote>
  <w:footnote w:id="183">
    <w:p w14:paraId="57852FA7" w14:textId="35098B2E" w:rsidR="007B7018" w:rsidRPr="0052767A" w:rsidRDefault="007B7018" w:rsidP="00294C6E">
      <w:pPr>
        <w:autoSpaceDE w:val="0"/>
        <w:autoSpaceDN w:val="0"/>
        <w:adjustRightInd w:val="0"/>
        <w:spacing w:line="240" w:lineRule="auto"/>
        <w:rPr>
          <w:rFonts w:ascii="TimesNewRomanPS-BoldMT" w:hAnsi="TimesNewRomanPS-BoldMT" w:cs="TimesNewRomanPS-BoldMT"/>
          <w:b/>
          <w:bCs/>
          <w:sz w:val="27"/>
          <w:szCs w:val="27"/>
        </w:rPr>
      </w:pPr>
      <w:r>
        <w:rPr>
          <w:rStyle w:val="FootnoteReference"/>
        </w:rPr>
        <w:footnoteRef/>
      </w:r>
      <w:r>
        <w:t xml:space="preserve"> </w:t>
      </w:r>
      <w:r w:rsidRPr="00B64C4D">
        <w:rPr>
          <w:rFonts w:ascii="Calibri" w:hAnsi="Calibri" w:cs="Calibri"/>
          <w:sz w:val="20"/>
          <w:szCs w:val="20"/>
          <w:lang w:bidi="he-IL"/>
        </w:rPr>
        <w:t>Robert B. Chisholm</w:t>
      </w:r>
      <w:r>
        <w:rPr>
          <w:rFonts w:ascii="Calibri" w:hAnsi="Calibri" w:cs="Calibri"/>
          <w:sz w:val="20"/>
          <w:szCs w:val="20"/>
          <w:lang w:bidi="he-IL"/>
        </w:rPr>
        <w:t>,</w:t>
      </w:r>
      <w:r w:rsidRPr="00B64C4D">
        <w:rPr>
          <w:rFonts w:ascii="Calibri" w:hAnsi="Calibri" w:cs="Calibri"/>
          <w:sz w:val="20"/>
          <w:szCs w:val="20"/>
        </w:rPr>
        <w:t xml:space="preserve"> </w:t>
      </w:r>
      <w:r>
        <w:rPr>
          <w:rFonts w:ascii="Calibri" w:hAnsi="Calibri" w:cs="Calibri"/>
          <w:sz w:val="20"/>
          <w:szCs w:val="20"/>
        </w:rPr>
        <w:t>“</w:t>
      </w:r>
      <w:r w:rsidRPr="00B64C4D">
        <w:rPr>
          <w:rFonts w:ascii="Calibri" w:hAnsi="Calibri" w:cs="Calibri"/>
          <w:sz w:val="20"/>
          <w:szCs w:val="20"/>
        </w:rPr>
        <w:t xml:space="preserve">Cracks in the Foundation: Ominous Signs in </w:t>
      </w:r>
      <w:r>
        <w:rPr>
          <w:rFonts w:ascii="Calibri" w:hAnsi="Calibri" w:cs="Calibri"/>
          <w:sz w:val="20"/>
          <w:szCs w:val="20"/>
        </w:rPr>
        <w:t>the</w:t>
      </w:r>
      <w:r w:rsidRPr="00B64C4D">
        <w:rPr>
          <w:rFonts w:ascii="Calibri" w:hAnsi="Calibri" w:cs="Calibri"/>
          <w:sz w:val="20"/>
          <w:szCs w:val="20"/>
        </w:rPr>
        <w:t xml:space="preserve"> David Narrative,” </w:t>
      </w:r>
      <w:r w:rsidRPr="008B0491">
        <w:rPr>
          <w:rFonts w:ascii="Calibri" w:hAnsi="Calibri" w:cs="Calibri"/>
          <w:i/>
          <w:iCs/>
          <w:sz w:val="20"/>
          <w:szCs w:val="20"/>
        </w:rPr>
        <w:t>Bibliotheca</w:t>
      </w:r>
      <w:r w:rsidRPr="00B64C4D">
        <w:rPr>
          <w:rFonts w:ascii="Calibri" w:hAnsi="Calibri" w:cs="Calibri"/>
          <w:sz w:val="20"/>
          <w:szCs w:val="20"/>
        </w:rPr>
        <w:t xml:space="preserve"> </w:t>
      </w:r>
      <w:r w:rsidRPr="008B0491">
        <w:rPr>
          <w:rFonts w:ascii="Calibri" w:hAnsi="Calibri" w:cs="Calibri"/>
          <w:i/>
          <w:iCs/>
          <w:sz w:val="20"/>
          <w:szCs w:val="20"/>
        </w:rPr>
        <w:t>Sacra</w:t>
      </w:r>
      <w:r w:rsidRPr="00B64C4D">
        <w:rPr>
          <w:rFonts w:ascii="Calibri" w:hAnsi="Calibri" w:cs="Calibri"/>
          <w:sz w:val="20"/>
          <w:szCs w:val="20"/>
        </w:rPr>
        <w:t xml:space="preserve"> 172 (</w:t>
      </w:r>
      <w:r>
        <w:rPr>
          <w:rFonts w:ascii="Calibri" w:hAnsi="Calibri" w:cs="Calibri"/>
          <w:sz w:val="20"/>
          <w:szCs w:val="20"/>
        </w:rPr>
        <w:t>20</w:t>
      </w:r>
      <w:r w:rsidRPr="00B64C4D">
        <w:rPr>
          <w:rFonts w:ascii="Calibri" w:hAnsi="Calibri" w:cs="Calibri"/>
          <w:sz w:val="20"/>
          <w:szCs w:val="20"/>
        </w:rPr>
        <w:t>15 ):</w:t>
      </w:r>
      <w:r>
        <w:rPr>
          <w:rFonts w:ascii="Calibri" w:hAnsi="Calibri" w:cs="Calibri"/>
          <w:sz w:val="20"/>
          <w:szCs w:val="20"/>
        </w:rPr>
        <w:t xml:space="preserve"> 154-76 (156).</w:t>
      </w:r>
    </w:p>
  </w:footnote>
  <w:footnote w:id="184">
    <w:p w14:paraId="328CE00E" w14:textId="4FF1AAFB" w:rsidR="007B7018" w:rsidRDefault="007B7018" w:rsidP="00D95CBF">
      <w:pPr>
        <w:pStyle w:val="FootnoteText"/>
      </w:pPr>
      <w:r>
        <w:rPr>
          <w:rStyle w:val="FootnoteReference"/>
        </w:rPr>
        <w:footnoteRef/>
      </w:r>
      <w:r>
        <w:t xml:space="preserve"> Cf. Walter Brueggemann, “</w:t>
      </w:r>
      <w:r w:rsidRPr="00410D4A">
        <w:rPr>
          <w:rFonts w:cstheme="minorHAnsi"/>
        </w:rPr>
        <w:t>Narrative Coherence and Theological Intentionality in 1 Samuel 18</w:t>
      </w:r>
      <w:r>
        <w:rPr>
          <w:rFonts w:cstheme="minorHAnsi"/>
        </w:rPr>
        <w:t xml:space="preserve">,” </w:t>
      </w:r>
      <w:r>
        <w:rPr>
          <w:rFonts w:cstheme="minorHAnsi"/>
          <w:i/>
          <w:iCs/>
        </w:rPr>
        <w:t xml:space="preserve">CBQ </w:t>
      </w:r>
      <w:r>
        <w:rPr>
          <w:rFonts w:cstheme="minorHAnsi"/>
        </w:rPr>
        <w:t>55 (1993): 225-43 (239-40).</w:t>
      </w:r>
    </w:p>
  </w:footnote>
  <w:footnote w:id="185">
    <w:p w14:paraId="479BD8A5" w14:textId="77777777" w:rsidR="007B7018" w:rsidRPr="00306B70" w:rsidRDefault="007B7018" w:rsidP="00C67A83">
      <w:pPr>
        <w:pStyle w:val="FootnoteText"/>
        <w:rPr>
          <w:rFonts w:cstheme="minorHAnsi"/>
          <w:color w:val="222222"/>
          <w:bdr w:val="none" w:sz="0" w:space="0" w:color="auto" w:frame="1"/>
        </w:rPr>
      </w:pPr>
      <w:r>
        <w:rPr>
          <w:rStyle w:val="FootnoteReference"/>
        </w:rPr>
        <w:footnoteRef/>
      </w:r>
      <w:r>
        <w:t xml:space="preserve"> Birch, </w:t>
      </w:r>
      <w:r w:rsidRPr="00BA34A3">
        <w:rPr>
          <w:rFonts w:cs="Calibri"/>
        </w:rPr>
        <w:t>“The First and Second Books of Samue</w:t>
      </w:r>
      <w:r>
        <w:rPr>
          <w:rFonts w:cs="Calibri"/>
        </w:rPr>
        <w:t>l</w:t>
      </w:r>
      <w:r>
        <w:t xml:space="preserve">,” in his comments on 18:1-30. He refers to </w:t>
      </w:r>
      <w:r w:rsidRPr="0073345E">
        <w:rPr>
          <w:rStyle w:val="popup"/>
          <w:rFonts w:cstheme="minorHAnsi"/>
          <w:color w:val="222222"/>
          <w:bdr w:val="none" w:sz="0" w:space="0" w:color="auto" w:frame="1"/>
        </w:rPr>
        <w:t>D</w:t>
      </w:r>
      <w:r>
        <w:rPr>
          <w:rStyle w:val="popup"/>
          <w:rFonts w:cstheme="minorHAnsi"/>
          <w:color w:val="222222"/>
          <w:bdr w:val="none" w:sz="0" w:space="0" w:color="auto" w:frame="1"/>
        </w:rPr>
        <w:t>avid</w:t>
      </w:r>
      <w:r w:rsidRPr="0073345E">
        <w:rPr>
          <w:rStyle w:val="popup"/>
          <w:rFonts w:cstheme="minorHAnsi"/>
          <w:color w:val="222222"/>
          <w:bdr w:val="none" w:sz="0" w:space="0" w:color="auto" w:frame="1"/>
        </w:rPr>
        <w:t xml:space="preserve"> M. Gunn, "David and the Gift of the Kingdom</w:t>
      </w:r>
      <w:r>
        <w:rPr>
          <w:rStyle w:val="popup"/>
          <w:rFonts w:cstheme="minorHAnsi"/>
          <w:color w:val="222222"/>
          <w:bdr w:val="none" w:sz="0" w:space="0" w:color="auto" w:frame="1"/>
        </w:rPr>
        <w:t xml:space="preserve"> (</w:t>
      </w:r>
      <w:r w:rsidRPr="00306B70">
        <w:rPr>
          <w:rFonts w:cstheme="minorHAnsi"/>
        </w:rPr>
        <w:t>2 S</w:t>
      </w:r>
      <w:r>
        <w:rPr>
          <w:rFonts w:cstheme="minorHAnsi"/>
        </w:rPr>
        <w:t>am</w:t>
      </w:r>
      <w:r w:rsidRPr="00306B70">
        <w:rPr>
          <w:rFonts w:cstheme="minorHAnsi"/>
        </w:rPr>
        <w:t xml:space="preserve"> 2</w:t>
      </w:r>
      <w:r>
        <w:rPr>
          <w:rFonts w:cstheme="minorHAnsi"/>
        </w:rPr>
        <w:t xml:space="preserve"> – </w:t>
      </w:r>
      <w:r w:rsidRPr="00306B70">
        <w:rPr>
          <w:rFonts w:cstheme="minorHAnsi"/>
        </w:rPr>
        <w:t>4, 9</w:t>
      </w:r>
      <w:r>
        <w:rPr>
          <w:rFonts w:cstheme="minorHAnsi"/>
        </w:rPr>
        <w:t xml:space="preserve"> – </w:t>
      </w:r>
      <w:r w:rsidRPr="00306B70">
        <w:rPr>
          <w:rFonts w:cstheme="minorHAnsi"/>
        </w:rPr>
        <w:t>20, 1 K</w:t>
      </w:r>
      <w:r>
        <w:rPr>
          <w:rFonts w:cstheme="minorHAnsi"/>
        </w:rPr>
        <w:t>gs</w:t>
      </w:r>
      <w:r w:rsidRPr="00306B70">
        <w:rPr>
          <w:rFonts w:cstheme="minorHAnsi"/>
        </w:rPr>
        <w:t xml:space="preserve"> 1</w:t>
      </w:r>
      <w:r>
        <w:rPr>
          <w:rFonts w:cstheme="minorHAnsi"/>
        </w:rPr>
        <w:t xml:space="preserve"> – </w:t>
      </w:r>
      <w:r w:rsidRPr="00306B70">
        <w:rPr>
          <w:rFonts w:cstheme="minorHAnsi"/>
        </w:rPr>
        <w:t>2)</w:t>
      </w:r>
      <w:r w:rsidRPr="00306B70">
        <w:rPr>
          <w:rStyle w:val="popup"/>
          <w:rFonts w:cstheme="minorHAnsi"/>
          <w:color w:val="222222"/>
          <w:bdr w:val="none" w:sz="0" w:space="0" w:color="auto" w:frame="1"/>
        </w:rPr>
        <w:t>," </w:t>
      </w:r>
      <w:r w:rsidRPr="00306B70">
        <w:rPr>
          <w:rStyle w:val="popup"/>
          <w:rFonts w:cstheme="minorHAnsi"/>
          <w:i/>
          <w:iCs/>
          <w:color w:val="222222"/>
          <w:bdr w:val="none" w:sz="0" w:space="0" w:color="auto" w:frame="1"/>
        </w:rPr>
        <w:t>Semeia</w:t>
      </w:r>
      <w:r w:rsidRPr="0073345E">
        <w:rPr>
          <w:rStyle w:val="popup"/>
          <w:rFonts w:cstheme="minorHAnsi"/>
          <w:color w:val="222222"/>
          <w:bdr w:val="none" w:sz="0" w:space="0" w:color="auto" w:frame="1"/>
        </w:rPr>
        <w:t> 3 (1975) 14-4</w:t>
      </w:r>
      <w:r>
        <w:rPr>
          <w:rStyle w:val="popup"/>
          <w:rFonts w:cstheme="minorHAnsi"/>
          <w:color w:val="222222"/>
          <w:bdr w:val="none" w:sz="0" w:space="0" w:color="auto" w:frame="1"/>
        </w:rPr>
        <w:t xml:space="preserve">5; see further David M. Gunn, </w:t>
      </w:r>
      <w:r w:rsidRPr="001F52A8">
        <w:rPr>
          <w:i/>
          <w:iCs/>
        </w:rPr>
        <w:t>The Story of King David: Genre and Interpretation</w:t>
      </w:r>
      <w:r>
        <w:t>, JSOTSup 6 (</w:t>
      </w:r>
      <w:r w:rsidRPr="001F52A8">
        <w:t>Sheffield: JSOT, 1978</w:t>
      </w:r>
      <w:r>
        <w:t>).</w:t>
      </w:r>
    </w:p>
  </w:footnote>
  <w:footnote w:id="186">
    <w:p w14:paraId="0C1B23AA" w14:textId="7BBAC519" w:rsidR="007B7018" w:rsidRPr="00420521" w:rsidRDefault="007B7018" w:rsidP="00AD003D">
      <w:pPr>
        <w:pStyle w:val="FootnoteText"/>
        <w:rPr>
          <w:iCs/>
        </w:rPr>
      </w:pPr>
      <w:r>
        <w:rPr>
          <w:rStyle w:val="FootnoteReference"/>
        </w:rPr>
        <w:footnoteRef/>
      </w:r>
      <w:r>
        <w:t xml:space="preserve"> Polzin, </w:t>
      </w:r>
      <w:r w:rsidRPr="00BA34A3">
        <w:rPr>
          <w:rFonts w:cs="Calibri"/>
          <w:i/>
        </w:rPr>
        <w:t>Samuel</w:t>
      </w:r>
      <w:r>
        <w:rPr>
          <w:rFonts w:cs="Calibri"/>
          <w:iCs/>
        </w:rPr>
        <w:t>, 158.</w:t>
      </w:r>
    </w:p>
  </w:footnote>
  <w:footnote w:id="187">
    <w:p w14:paraId="5C50069A" w14:textId="77777777" w:rsidR="007B7018" w:rsidRPr="00A41FBF" w:rsidRDefault="007B7018" w:rsidP="000860A3">
      <w:pPr>
        <w:pStyle w:val="FootnoteText"/>
        <w:rPr>
          <w:iCs/>
        </w:rPr>
      </w:pPr>
      <w:r>
        <w:rPr>
          <w:rStyle w:val="FootnoteReference"/>
        </w:rPr>
        <w:footnoteRef/>
      </w:r>
      <w:r>
        <w:t xml:space="preserve"> Cartledge, </w:t>
      </w:r>
      <w:r w:rsidRPr="00BA34A3">
        <w:rPr>
          <w:rFonts w:cs="Calibri"/>
          <w:i/>
        </w:rPr>
        <w:t>1 &amp; 2 Samuel</w:t>
      </w:r>
      <w:r>
        <w:rPr>
          <w:rFonts w:cs="Calibri"/>
          <w:iCs/>
        </w:rPr>
        <w:t>, 206.</w:t>
      </w:r>
    </w:p>
  </w:footnote>
  <w:footnote w:id="188">
    <w:p w14:paraId="4F5B6508" w14:textId="45310F94" w:rsidR="007B7018" w:rsidRDefault="007B7018" w:rsidP="00BA1A09">
      <w:pPr>
        <w:pStyle w:val="FootnoteText"/>
      </w:pPr>
      <w:r>
        <w:rPr>
          <w:rStyle w:val="FootnoteReference"/>
        </w:rPr>
        <w:footnoteRef/>
      </w:r>
      <w:r>
        <w:t xml:space="preserve"> Ralph W. </w:t>
      </w:r>
      <w:r w:rsidRPr="001F52A8">
        <w:rPr>
          <w:rFonts w:cstheme="minorHAnsi"/>
        </w:rPr>
        <w:t xml:space="preserve">Klein, </w:t>
      </w:r>
      <w:r w:rsidRPr="001F52A8">
        <w:rPr>
          <w:rFonts w:cstheme="minorHAnsi"/>
          <w:i/>
          <w:iCs/>
        </w:rPr>
        <w:t>1 Samuel</w:t>
      </w:r>
      <w:r>
        <w:rPr>
          <w:rFonts w:cstheme="minorHAnsi"/>
        </w:rPr>
        <w:t>,</w:t>
      </w:r>
      <w:r w:rsidRPr="001F52A8">
        <w:rPr>
          <w:rFonts w:cstheme="minorHAnsi"/>
        </w:rPr>
        <w:t xml:space="preserve"> WBC 10 </w:t>
      </w:r>
      <w:r>
        <w:rPr>
          <w:rFonts w:cstheme="minorHAnsi"/>
        </w:rPr>
        <w:t>(second ed., Nashville: Nelson, 2008), 191.</w:t>
      </w:r>
    </w:p>
  </w:footnote>
  <w:footnote w:id="189">
    <w:p w14:paraId="438682D9" w14:textId="51B445B6" w:rsidR="007B7018" w:rsidRDefault="007B7018" w:rsidP="002C613C">
      <w:pPr>
        <w:pStyle w:val="FootnoteText"/>
      </w:pPr>
      <w:r>
        <w:rPr>
          <w:rStyle w:val="FootnoteReference"/>
        </w:rPr>
        <w:footnoteRef/>
      </w:r>
      <w:r>
        <w:t xml:space="preserve"> Yairah Amit, “The Delicate Balance in the Image of Saul and Its Place in the Deuteronomistic History,” in Carl S. </w:t>
      </w:r>
      <w:r>
        <w:rPr>
          <w:rFonts w:cs="Calibri"/>
        </w:rPr>
        <w:t xml:space="preserve">Ehrlich with Marsha C. White, ed. </w:t>
      </w:r>
      <w:r>
        <w:rPr>
          <w:rFonts w:cs="Calibri"/>
          <w:i/>
          <w:iCs/>
        </w:rPr>
        <w:t>Saul in Story and Tradition</w:t>
      </w:r>
      <w:r>
        <w:rPr>
          <w:rFonts w:cs="Calibri"/>
        </w:rPr>
        <w:t>, Forschungen zum Alten Testament 47 (Tübingen: Mohr, 2006), 71-79.</w:t>
      </w:r>
    </w:p>
  </w:footnote>
  <w:footnote w:id="190">
    <w:p w14:paraId="146A3A05" w14:textId="162F2EFD" w:rsidR="007B7018" w:rsidRDefault="007B7018" w:rsidP="0013430B">
      <w:pPr>
        <w:pStyle w:val="FootnoteText"/>
      </w:pPr>
      <w:r>
        <w:rPr>
          <w:rStyle w:val="FootnoteReference"/>
        </w:rPr>
        <w:footnoteRef/>
      </w:r>
      <w:r>
        <w:t xml:space="preserve"> Brueggemann, “</w:t>
      </w:r>
      <w:r w:rsidRPr="00410D4A">
        <w:rPr>
          <w:rFonts w:cstheme="minorHAnsi"/>
        </w:rPr>
        <w:t>Narrative Coherence</w:t>
      </w:r>
      <w:r>
        <w:rPr>
          <w:rFonts w:cstheme="minorHAnsi"/>
        </w:rPr>
        <w:t>,” 231.</w:t>
      </w:r>
    </w:p>
  </w:footnote>
  <w:footnote w:id="191">
    <w:p w14:paraId="2077BE19" w14:textId="1CCBCB2D" w:rsidR="007B7018" w:rsidRPr="00B00CCF" w:rsidRDefault="007B7018" w:rsidP="005B3130">
      <w:pPr>
        <w:pStyle w:val="FootnoteText"/>
      </w:pPr>
      <w:r>
        <w:rPr>
          <w:rStyle w:val="FootnoteReference"/>
        </w:rPr>
        <w:footnoteRef/>
      </w:r>
      <w:r>
        <w:t xml:space="preserve"> See the excerpt from Augustine’s Sermon 162A in John R. Franke,</w:t>
      </w:r>
      <w:r>
        <w:rPr>
          <w:rFonts w:cs="Calibri"/>
        </w:rPr>
        <w:t xml:space="preserve"> </w:t>
      </w:r>
      <w:r>
        <w:rPr>
          <w:rFonts w:cs="Calibri"/>
          <w:i/>
          <w:iCs/>
        </w:rPr>
        <w:t>Joshua, Judges, Ruth, 1 – 2 Samuel</w:t>
      </w:r>
      <w:r>
        <w:rPr>
          <w:rFonts w:cs="Calibri"/>
        </w:rPr>
        <w:t>, Ancient Christian Commentary on Scripture 4 (Downers Grove, IL: InterVarsity, 2005)</w:t>
      </w:r>
      <w:r>
        <w:rPr>
          <w:rFonts w:ascii="Calibri" w:hAnsi="Calibri" w:cs="Calibri"/>
          <w:color w:val="000000"/>
        </w:rPr>
        <w:t>, 287-88.</w:t>
      </w:r>
    </w:p>
  </w:footnote>
  <w:footnote w:id="192">
    <w:p w14:paraId="2D9B085D" w14:textId="2FB3D110" w:rsidR="007B7018" w:rsidRPr="00202BBB" w:rsidRDefault="007B7018" w:rsidP="00202BBB">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i/>
          <w:iCs/>
        </w:rPr>
        <w:t xml:space="preserve"> </w:t>
      </w:r>
      <w:r>
        <w:rPr>
          <w:rFonts w:cs="Calibri"/>
        </w:rPr>
        <w:t xml:space="preserve">2:180; cf. Alter, </w:t>
      </w:r>
      <w:r>
        <w:rPr>
          <w:rFonts w:cs="Calibri"/>
          <w:i/>
          <w:iCs/>
        </w:rPr>
        <w:t>The David Story</w:t>
      </w:r>
      <w:r>
        <w:rPr>
          <w:rFonts w:cs="Calibri"/>
        </w:rPr>
        <w:t>, 122.</w:t>
      </w:r>
    </w:p>
  </w:footnote>
  <w:footnote w:id="193">
    <w:p w14:paraId="28D5C787" w14:textId="23166E5F" w:rsidR="007B7018" w:rsidRPr="00FA142B" w:rsidRDefault="007B7018" w:rsidP="00D902A8">
      <w:pPr>
        <w:pStyle w:val="FootnoteText"/>
      </w:pPr>
      <w:r>
        <w:rPr>
          <w:rStyle w:val="FootnoteReference"/>
        </w:rPr>
        <w:footnoteRef/>
      </w:r>
      <w:r>
        <w:t xml:space="preserve"> </w:t>
      </w:r>
      <w:r w:rsidRPr="00FA142B">
        <w:t xml:space="preserve">See David J. A. </w:t>
      </w:r>
      <w:r w:rsidRPr="00FA142B">
        <w:rPr>
          <w:rFonts w:cstheme="minorHAnsi"/>
        </w:rPr>
        <w:t>Clines, “</w:t>
      </w:r>
      <w:r w:rsidRPr="00FA142B">
        <w:rPr>
          <w:rFonts w:ascii="Calibri" w:hAnsi="Calibri" w:cs="Calibri"/>
        </w:rPr>
        <w:t xml:space="preserve">David the Man: </w:t>
      </w:r>
      <w:r w:rsidRPr="00FA142B">
        <w:rPr>
          <w:rFonts w:cs="Calibri"/>
        </w:rPr>
        <w:t xml:space="preserve">The Construction of Masculinity in the Hebrew Bible,” in David J. A. Clines, </w:t>
      </w:r>
      <w:r w:rsidRPr="00FA142B">
        <w:rPr>
          <w:rFonts w:cs="Calibri"/>
          <w:i/>
          <w:iCs/>
        </w:rPr>
        <w:t xml:space="preserve">Interested Parties: </w:t>
      </w:r>
      <w:r w:rsidRPr="00FA142B">
        <w:rPr>
          <w:rFonts w:cstheme="minorHAnsi"/>
          <w:i/>
          <w:iCs/>
        </w:rPr>
        <w:t>The Ideology of Writers and Readers of the Hebrew Bible</w:t>
      </w:r>
      <w:r>
        <w:rPr>
          <w:rFonts w:cstheme="minorHAnsi"/>
          <w:i/>
          <w:iCs/>
        </w:rPr>
        <w:t xml:space="preserve">, </w:t>
      </w:r>
      <w:r w:rsidRPr="00FA142B">
        <w:rPr>
          <w:rFonts w:cstheme="minorHAnsi"/>
        </w:rPr>
        <w:t xml:space="preserve">JSOTSup 205 </w:t>
      </w:r>
      <w:r>
        <w:rPr>
          <w:rFonts w:cstheme="minorHAnsi"/>
        </w:rPr>
        <w:t>(</w:t>
      </w:r>
      <w:r w:rsidRPr="00FA142B">
        <w:rPr>
          <w:rFonts w:cstheme="minorHAnsi"/>
        </w:rPr>
        <w:t>Sheffield: Sheffield Academic, 1995), 212-41.</w:t>
      </w:r>
    </w:p>
  </w:footnote>
  <w:footnote w:id="194">
    <w:p w14:paraId="4BDFAAF8" w14:textId="77777777" w:rsidR="007B7018" w:rsidRDefault="007B7018" w:rsidP="0079180B">
      <w:pPr>
        <w:pStyle w:val="FootnoteText"/>
      </w:pPr>
      <w:r>
        <w:rPr>
          <w:rStyle w:val="FootnoteReference"/>
        </w:rPr>
        <w:footnoteRef/>
      </w:r>
      <w:r>
        <w:t xml:space="preserve"> J. Richard Middleton, “</w:t>
      </w:r>
      <w:r w:rsidRPr="002744E2">
        <w:t xml:space="preserve">The Battle Belongs to the Word: The Role of Theological Discourse in David’s Victory over Saul and Goliath in 1 Samuel 17,” in </w:t>
      </w:r>
      <w:r w:rsidRPr="00CC115F">
        <w:rPr>
          <w:rFonts w:cstheme="minorHAnsi"/>
          <w:i/>
          <w:iCs/>
          <w:shd w:val="clear" w:color="auto" w:fill="FFFFFF"/>
        </w:rPr>
        <w:t>The Hermeneutics of Charity: Interpretation, Selfhood, and Postmodern Faith: Studies in Honor of James H. Olthuis</w:t>
      </w:r>
      <w:r w:rsidRPr="00CC115F">
        <w:rPr>
          <w:rFonts w:cstheme="minorHAnsi"/>
          <w:shd w:val="clear" w:color="auto" w:fill="FFFFFF"/>
        </w:rPr>
        <w:t>, ed. James K.A. Smith and Henry Isaac Venema (</w:t>
      </w:r>
      <w:r>
        <w:rPr>
          <w:rFonts w:cstheme="minorHAnsi"/>
          <w:shd w:val="clear" w:color="auto" w:fill="FFFFFF"/>
        </w:rPr>
        <w:t>G</w:t>
      </w:r>
      <w:r w:rsidRPr="00CC115F">
        <w:rPr>
          <w:rFonts w:cstheme="minorHAnsi"/>
          <w:shd w:val="clear" w:color="auto" w:fill="FFFFFF"/>
        </w:rPr>
        <w:t>rand Rapids: Brazos, 2004), 109-31 (</w:t>
      </w:r>
      <w:r w:rsidRPr="00CC115F">
        <w:rPr>
          <w:rFonts w:cstheme="minorHAnsi"/>
        </w:rPr>
        <w:t>121).</w:t>
      </w:r>
    </w:p>
  </w:footnote>
  <w:footnote w:id="195">
    <w:p w14:paraId="7BE87AA3" w14:textId="1994A4F8" w:rsidR="007B7018" w:rsidRPr="006138ED" w:rsidRDefault="007B7018">
      <w:pPr>
        <w:pStyle w:val="FootnoteText"/>
      </w:pPr>
      <w:r>
        <w:rPr>
          <w:rStyle w:val="FootnoteReference"/>
        </w:rPr>
        <w:footnoteRef/>
      </w:r>
      <w:r>
        <w:t xml:space="preserve"> Campbell, </w:t>
      </w:r>
      <w:r>
        <w:rPr>
          <w:i/>
          <w:iCs/>
        </w:rPr>
        <w:t>1 Samuel</w:t>
      </w:r>
      <w:r>
        <w:t>, 189.</w:t>
      </w:r>
    </w:p>
  </w:footnote>
  <w:footnote w:id="196">
    <w:p w14:paraId="47886FD0" w14:textId="77777777" w:rsidR="007B7018" w:rsidRDefault="007B7018" w:rsidP="00EB247E">
      <w:pPr>
        <w:pStyle w:val="FootnoteText"/>
      </w:pPr>
      <w:r>
        <w:rPr>
          <w:rStyle w:val="FootnoteReference"/>
        </w:rPr>
        <w:footnoteRef/>
      </w:r>
      <w:r>
        <w:t xml:space="preserve"> Murphy, </w:t>
      </w:r>
      <w:r>
        <w:rPr>
          <w:i/>
          <w:iCs/>
        </w:rPr>
        <w:t>1 Samuel</w:t>
      </w:r>
      <w:r>
        <w:t>,</w:t>
      </w:r>
      <w:r>
        <w:rPr>
          <w:i/>
          <w:iCs/>
        </w:rPr>
        <w:t xml:space="preserve"> </w:t>
      </w:r>
      <w:r>
        <w:t>167.</w:t>
      </w:r>
    </w:p>
  </w:footnote>
  <w:footnote w:id="197">
    <w:p w14:paraId="3ACD05E5" w14:textId="46140B30" w:rsidR="007B7018" w:rsidRDefault="007B7018">
      <w:pPr>
        <w:pStyle w:val="FootnoteText"/>
      </w:pPr>
      <w:r>
        <w:rPr>
          <w:rStyle w:val="FootnoteReference"/>
        </w:rPr>
        <w:footnoteRef/>
      </w:r>
      <w:r>
        <w:t xml:space="preserve"> Cf. </w:t>
      </w:r>
      <w:r w:rsidRPr="00AC64D8">
        <w:t xml:space="preserve">Barbara Green, </w:t>
      </w:r>
      <w:r w:rsidRPr="00AC64D8">
        <w:rPr>
          <w:rFonts w:cstheme="minorHAnsi"/>
          <w:i/>
          <w:iCs/>
        </w:rPr>
        <w:t>David’s Capacity for Compassion: A Literary-Hermeneutical Study of 1–2 Samuel</w:t>
      </w:r>
      <w:r>
        <w:rPr>
          <w:rFonts w:cstheme="minorHAnsi"/>
        </w:rPr>
        <w:t xml:space="preserve">, </w:t>
      </w:r>
      <w:r w:rsidRPr="00AC64D8">
        <w:rPr>
          <w:rFonts w:cstheme="minorHAnsi"/>
        </w:rPr>
        <w:t xml:space="preserve">LHBOTS 641 </w:t>
      </w:r>
      <w:r>
        <w:rPr>
          <w:rFonts w:cstheme="minorHAnsi"/>
        </w:rPr>
        <w:t>(</w:t>
      </w:r>
      <w:r w:rsidRPr="00AC64D8">
        <w:rPr>
          <w:rFonts w:cstheme="minorHAnsi"/>
        </w:rPr>
        <w:t>London: T &amp; T Clark</w:t>
      </w:r>
      <w:r>
        <w:rPr>
          <w:rFonts w:cstheme="minorHAnsi"/>
        </w:rPr>
        <w:t>, 2017), 56.</w:t>
      </w:r>
    </w:p>
  </w:footnote>
  <w:footnote w:id="198">
    <w:p w14:paraId="2604D4C9" w14:textId="77777777" w:rsidR="007B7018" w:rsidRPr="00E926B8" w:rsidRDefault="007B7018" w:rsidP="00930EEB">
      <w:pPr>
        <w:pStyle w:val="FootnoteText"/>
      </w:pPr>
      <w:r>
        <w:rPr>
          <w:rStyle w:val="FootnoteReference"/>
        </w:rPr>
        <w:footnoteRef/>
      </w:r>
      <w:r>
        <w:t xml:space="preserve"> Murphy, </w:t>
      </w:r>
      <w:r>
        <w:rPr>
          <w:i/>
          <w:iCs/>
        </w:rPr>
        <w:t>1 Samuel</w:t>
      </w:r>
      <w:r>
        <w:t>, 200.</w:t>
      </w:r>
    </w:p>
  </w:footnote>
  <w:footnote w:id="199">
    <w:p w14:paraId="2263EF86" w14:textId="64A7CCF0" w:rsidR="007B7018" w:rsidRPr="005E7072" w:rsidRDefault="007B7018" w:rsidP="00930EEB">
      <w:pPr>
        <w:pStyle w:val="FootnoteText"/>
      </w:pPr>
      <w:r>
        <w:rPr>
          <w:rStyle w:val="FootnoteReference"/>
        </w:rPr>
        <w:footnoteRef/>
      </w:r>
      <w:r>
        <w:t xml:space="preserve"> See P. Kyle McCarter,</w:t>
      </w:r>
      <w:r w:rsidRPr="00222246">
        <w:t xml:space="preserve"> </w:t>
      </w:r>
      <w:r>
        <w:rPr>
          <w:i/>
          <w:iCs/>
        </w:rPr>
        <w:t>I</w:t>
      </w:r>
      <w:r w:rsidRPr="00222246">
        <w:rPr>
          <w:i/>
          <w:iCs/>
        </w:rPr>
        <w:t xml:space="preserve"> Samuel</w:t>
      </w:r>
      <w:r>
        <w:t xml:space="preserve">, </w:t>
      </w:r>
      <w:r w:rsidRPr="00222246">
        <w:t>A</w:t>
      </w:r>
      <w:r>
        <w:t>B</w:t>
      </w:r>
      <w:r w:rsidRPr="00222246">
        <w:t xml:space="preserve"> </w:t>
      </w:r>
      <w:r>
        <w:t>8</w:t>
      </w:r>
      <w:r w:rsidRPr="00222246">
        <w:t xml:space="preserve"> </w:t>
      </w:r>
      <w:r>
        <w:t>(Garden City, NY</w:t>
      </w:r>
      <w:r w:rsidRPr="00222246">
        <w:t>: Doubleday, 1980</w:t>
      </w:r>
      <w:r>
        <w:t>), 281-82.</w:t>
      </w:r>
    </w:p>
  </w:footnote>
  <w:footnote w:id="200">
    <w:p w14:paraId="0DF147E2" w14:textId="77777777" w:rsidR="007B7018" w:rsidRDefault="007B7018" w:rsidP="00930EEB">
      <w:pPr>
        <w:pStyle w:val="FootnoteText"/>
      </w:pPr>
      <w:r>
        <w:rPr>
          <w:rStyle w:val="FootnoteReference"/>
        </w:rPr>
        <w:footnoteRef/>
      </w:r>
      <w:r>
        <w:t xml:space="preserve"> </w:t>
      </w:r>
      <w:r w:rsidRPr="002807AB">
        <w:rPr>
          <w:i/>
          <w:iCs/>
        </w:rPr>
        <w:t>Homilies on Genesis 46 – 67</w:t>
      </w:r>
      <w:r>
        <w:t xml:space="preserve">, Fathers of the Church 87 (Washington: Catholic University of America, 1958), 11; and </w:t>
      </w:r>
      <w:r w:rsidRPr="000712A8">
        <w:rPr>
          <w:i/>
          <w:iCs/>
        </w:rPr>
        <w:t>Homilies on the Epistles of Paul to the Corinthians</w:t>
      </w:r>
      <w:r>
        <w:t xml:space="preserve">, </w:t>
      </w:r>
      <w:r w:rsidRPr="000712A8">
        <w:t>Nicene and Post-Nicene Fathers I, 12</w:t>
      </w:r>
      <w:r>
        <w:rPr>
          <w:i/>
          <w:iCs/>
        </w:rPr>
        <w:t xml:space="preserve"> </w:t>
      </w:r>
      <w:r>
        <w:t xml:space="preserve">(reprinted Peabody, MA: Hendrickson, 1995), 393 (cf. Franke, </w:t>
      </w:r>
      <w:r w:rsidRPr="00504DD9">
        <w:rPr>
          <w:rFonts w:ascii="Calibri" w:hAnsi="Calibri" w:cs="Calibri"/>
          <w:i/>
          <w:iCs/>
          <w:color w:val="000000"/>
        </w:rPr>
        <w:t>Joshua, Judges, Ruth, 1</w:t>
      </w:r>
      <w:r>
        <w:rPr>
          <w:rFonts w:ascii="Calibri" w:hAnsi="Calibri" w:cs="Calibri"/>
          <w:i/>
          <w:iCs/>
          <w:color w:val="000000"/>
        </w:rPr>
        <w:t xml:space="preserve"> – </w:t>
      </w:r>
      <w:r w:rsidRPr="00504DD9">
        <w:rPr>
          <w:rFonts w:ascii="Calibri" w:hAnsi="Calibri" w:cs="Calibri"/>
          <w:i/>
          <w:iCs/>
          <w:color w:val="000000"/>
        </w:rPr>
        <w:t>2 Samuel</w:t>
      </w:r>
      <w:r w:rsidRPr="00504DD9">
        <w:rPr>
          <w:rFonts w:ascii="Calibri" w:hAnsi="Calibri" w:cs="Calibri"/>
          <w:color w:val="000000"/>
        </w:rPr>
        <w:t>,</w:t>
      </w:r>
      <w:r>
        <w:rPr>
          <w:rFonts w:ascii="Calibri" w:hAnsi="Calibri" w:cs="Calibri"/>
          <w:color w:val="000000"/>
        </w:rPr>
        <w:t xml:space="preserve"> 278.</w:t>
      </w:r>
    </w:p>
  </w:footnote>
  <w:footnote w:id="201">
    <w:p w14:paraId="3DAD5941" w14:textId="7F5466C4" w:rsidR="007B7018" w:rsidRDefault="007B7018">
      <w:pPr>
        <w:pStyle w:val="FootnoteText"/>
      </w:pPr>
      <w:r>
        <w:rPr>
          <w:rStyle w:val="FootnoteReference"/>
        </w:rPr>
        <w:footnoteRef/>
      </w:r>
      <w:r>
        <w:t xml:space="preserve"> See </w:t>
      </w:r>
      <w:r w:rsidRPr="0082772E">
        <w:rPr>
          <w:rFonts w:cs="Calibri"/>
        </w:rPr>
        <w:t xml:space="preserve">Jonathan Y. </w:t>
      </w:r>
      <w:r>
        <w:rPr>
          <w:rFonts w:cs="Calibri"/>
        </w:rPr>
        <w:t xml:space="preserve">Rowe, </w:t>
      </w:r>
      <w:r w:rsidRPr="005E6EB5">
        <w:rPr>
          <w:rFonts w:cs="Calibri"/>
          <w:i/>
          <w:iCs/>
        </w:rPr>
        <w:t>Sons or Lovers: An Interpretation of David and Jonathan’s Friendship</w:t>
      </w:r>
      <w:r>
        <w:rPr>
          <w:rFonts w:cs="Calibri"/>
        </w:rPr>
        <w:t>, LHBOTS 575 (London: T &amp; T Clark, 2012</w:t>
      </w:r>
      <w:r>
        <w:t>), 102-25.</w:t>
      </w:r>
    </w:p>
  </w:footnote>
  <w:footnote w:id="202">
    <w:p w14:paraId="5DE5426B" w14:textId="77777777" w:rsidR="007B7018" w:rsidRPr="00BB6BD2" w:rsidRDefault="007B7018" w:rsidP="002401EE">
      <w:pPr>
        <w:pStyle w:val="FootnoteText"/>
      </w:pPr>
      <w:r>
        <w:rPr>
          <w:rStyle w:val="FootnoteReference"/>
        </w:rPr>
        <w:footnoteRef/>
      </w:r>
      <w:r>
        <w:t xml:space="preserve"> Robert Alter, </w:t>
      </w:r>
      <w:r>
        <w:rPr>
          <w:rFonts w:cs="Calibri"/>
          <w:i/>
          <w:iCs/>
        </w:rPr>
        <w:t>The Art of Biblical Narrative</w:t>
      </w:r>
      <w:r>
        <w:rPr>
          <w:rFonts w:cs="Calibri"/>
        </w:rPr>
        <w:t xml:space="preserve"> (revised ed., New York: Bantam, 2011),</w:t>
      </w:r>
      <w:r>
        <w:t xml:space="preserve"> chapter 6.</w:t>
      </w:r>
    </w:p>
  </w:footnote>
  <w:footnote w:id="203">
    <w:p w14:paraId="7C5F6291" w14:textId="77777777" w:rsidR="007B7018" w:rsidRPr="005460F4" w:rsidRDefault="007B7018" w:rsidP="00930EEB">
      <w:pPr>
        <w:pStyle w:val="FootnoteText"/>
      </w:pPr>
      <w:r>
        <w:rPr>
          <w:rStyle w:val="FootnoteReference"/>
        </w:rPr>
        <w:footnoteRef/>
      </w:r>
      <w:r>
        <w:t xml:space="preserve"> Malcolm Cohen, “The Transparency of King Saul,” </w:t>
      </w:r>
      <w:r>
        <w:rPr>
          <w:i/>
          <w:iCs/>
        </w:rPr>
        <w:t xml:space="preserve">European Judaism </w:t>
      </w:r>
      <w:r>
        <w:t>39 (2006): 106-15 (106).</w:t>
      </w:r>
    </w:p>
  </w:footnote>
  <w:footnote w:id="204">
    <w:p w14:paraId="35C4DD19" w14:textId="77777777" w:rsidR="007B7018" w:rsidRPr="00C20EED" w:rsidRDefault="007B7018" w:rsidP="007B1E23">
      <w:pPr>
        <w:pStyle w:val="FootnoteText"/>
      </w:pPr>
      <w:r>
        <w:rPr>
          <w:rStyle w:val="FootnoteReference"/>
        </w:rPr>
        <w:footnoteRef/>
      </w:r>
      <w:r>
        <w:t xml:space="preserve"> Chapman, </w:t>
      </w:r>
      <w:r w:rsidRPr="00B969F3">
        <w:rPr>
          <w:i/>
          <w:iCs/>
          <w:color w:val="000000"/>
        </w:rPr>
        <w:t>1 Samuel as Christian Scripture</w:t>
      </w:r>
      <w:r>
        <w:rPr>
          <w:color w:val="000000"/>
        </w:rPr>
        <w:t>, 82.</w:t>
      </w:r>
    </w:p>
  </w:footnote>
  <w:footnote w:id="205">
    <w:p w14:paraId="72556117" w14:textId="77777777" w:rsidR="007B7018" w:rsidRDefault="007B7018" w:rsidP="00930EEB">
      <w:pPr>
        <w:pStyle w:val="FootnoteText"/>
      </w:pPr>
      <w:r>
        <w:rPr>
          <w:rStyle w:val="FootnoteReference"/>
        </w:rPr>
        <w:footnoteRef/>
      </w:r>
      <w:r>
        <w:t xml:space="preserve"> Alter, </w:t>
      </w:r>
      <w:r w:rsidRPr="00BA34A3">
        <w:rPr>
          <w:rFonts w:cs="Calibri"/>
          <w:i/>
        </w:rPr>
        <w:t>The David Story</w:t>
      </w:r>
      <w:r>
        <w:rPr>
          <w:rFonts w:cs="Calibri"/>
          <w:iCs/>
        </w:rPr>
        <w:t>,</w:t>
      </w:r>
      <w:r>
        <w:rPr>
          <w:rFonts w:cstheme="minorHAnsi"/>
        </w:rPr>
        <w:t xml:space="preserve"> </w:t>
      </w:r>
      <w:r>
        <w:t>115.</w:t>
      </w:r>
    </w:p>
  </w:footnote>
  <w:footnote w:id="206">
    <w:p w14:paraId="0A387A88" w14:textId="77777777" w:rsidR="007B7018" w:rsidRPr="001F3272" w:rsidRDefault="007B7018" w:rsidP="00930EEB">
      <w:pPr>
        <w:pStyle w:val="FootnoteText"/>
      </w:pPr>
      <w:r>
        <w:rPr>
          <w:rStyle w:val="FootnoteReference"/>
        </w:rPr>
        <w:footnoteRef/>
      </w:r>
      <w:r>
        <w:t xml:space="preserve"> </w:t>
      </w:r>
      <w:r>
        <w:rPr>
          <w:i/>
          <w:iCs/>
        </w:rPr>
        <w:t>Treatise on the Priesthood</w:t>
      </w:r>
      <w:r>
        <w:t xml:space="preserve"> 1:8, in </w:t>
      </w:r>
      <w:r w:rsidRPr="000712A8">
        <w:t xml:space="preserve">Nicene and Post-Nicene Fathers I, </w:t>
      </w:r>
      <w:r>
        <w:t>9</w:t>
      </w:r>
      <w:r>
        <w:rPr>
          <w:i/>
          <w:iCs/>
        </w:rPr>
        <w:t xml:space="preserve"> </w:t>
      </w:r>
      <w:r>
        <w:t>(reprinted Peabody, MA: Hendrickson, 1995), 37.</w:t>
      </w:r>
    </w:p>
  </w:footnote>
  <w:footnote w:id="207">
    <w:p w14:paraId="33C170B3" w14:textId="77777777" w:rsidR="007B7018" w:rsidRPr="00EB65C9" w:rsidRDefault="007B7018" w:rsidP="00930EEB">
      <w:pPr>
        <w:pStyle w:val="FootnoteText"/>
        <w:rPr>
          <w:rFonts w:ascii="Calibri" w:hAnsi="Calibri" w:cs="Calibri"/>
          <w:sz w:val="22"/>
          <w:szCs w:val="22"/>
        </w:rPr>
      </w:pPr>
      <w:r>
        <w:rPr>
          <w:rStyle w:val="FootnoteReference"/>
        </w:rPr>
        <w:footnoteRef/>
      </w:r>
      <w:r>
        <w:t xml:space="preserve"> </w:t>
      </w:r>
      <w:r w:rsidRPr="00EB65C9">
        <w:t xml:space="preserve">Keith </w:t>
      </w:r>
      <w:r w:rsidRPr="00EB65C9">
        <w:rPr>
          <w:rFonts w:cs="Calibri"/>
        </w:rPr>
        <w:t>Bodner and Ellen White</w:t>
      </w:r>
      <w:r>
        <w:rPr>
          <w:rFonts w:cs="Calibri"/>
        </w:rPr>
        <w:t>,</w:t>
      </w:r>
      <w:r w:rsidRPr="00EB65C9">
        <w:rPr>
          <w:rFonts w:cs="Calibri"/>
        </w:rPr>
        <w:t xml:space="preserve"> “</w:t>
      </w:r>
      <w:r w:rsidRPr="00EB65C9">
        <w:rPr>
          <w:rFonts w:ascii="Calibri" w:hAnsi="Calibri" w:cs="Calibri"/>
        </w:rPr>
        <w:t>Some Advantages of Recycling</w:t>
      </w:r>
      <w:r w:rsidRPr="00EB65C9">
        <w:rPr>
          <w:rFonts w:cs="Calibri"/>
        </w:rPr>
        <w:t xml:space="preserve">: </w:t>
      </w:r>
      <w:r w:rsidRPr="00EB65C9">
        <w:rPr>
          <w:rFonts w:ascii="Calibri" w:hAnsi="Calibri" w:cs="Calibri"/>
        </w:rPr>
        <w:t>The Jacob Cycle in a Later Environment</w:t>
      </w:r>
      <w:r>
        <w:rPr>
          <w:rFonts w:cs="Calibri"/>
        </w:rPr>
        <w:t>,</w:t>
      </w:r>
      <w:r w:rsidRPr="00EB65C9">
        <w:rPr>
          <w:rFonts w:cs="Calibri"/>
        </w:rPr>
        <w:t xml:space="preserve">” </w:t>
      </w:r>
      <w:r w:rsidRPr="00EB65C9">
        <w:rPr>
          <w:rFonts w:cs="Calibri"/>
          <w:i/>
          <w:iCs/>
        </w:rPr>
        <w:t xml:space="preserve">BibInt </w:t>
      </w:r>
      <w:r w:rsidRPr="00EB65C9">
        <w:rPr>
          <w:rFonts w:cs="Calibri"/>
        </w:rPr>
        <w:t>22 (2014): 20-33</w:t>
      </w:r>
      <w:r>
        <w:rPr>
          <w:rFonts w:cs="Calibri"/>
        </w:rPr>
        <w:t xml:space="preserve"> (33).</w:t>
      </w:r>
    </w:p>
  </w:footnote>
  <w:footnote w:id="208">
    <w:p w14:paraId="57EAB8D5" w14:textId="29A458FE" w:rsidR="007B7018" w:rsidRDefault="007B7018" w:rsidP="0065166F">
      <w:pPr>
        <w:pStyle w:val="FootnoteText"/>
      </w:pPr>
      <w:r>
        <w:rPr>
          <w:rStyle w:val="FootnoteReference"/>
        </w:rPr>
        <w:footnoteRef/>
      </w:r>
      <w:r>
        <w:t xml:space="preserve"> See Jonathan Y. </w:t>
      </w:r>
      <w:r w:rsidRPr="004C6488">
        <w:t xml:space="preserve">Rowe, </w:t>
      </w:r>
      <w:r w:rsidRPr="0043171D">
        <w:rPr>
          <w:i/>
          <w:iCs/>
        </w:rPr>
        <w:t>Michal’s Moral Dilemma: A Literary, Anthropological and Ethical Interpretation</w:t>
      </w:r>
      <w:r>
        <w:t>, LHBOTS 533 (</w:t>
      </w:r>
      <w:r w:rsidRPr="001F52A8">
        <w:rPr>
          <w:rFonts w:cs="Calibri"/>
        </w:rPr>
        <w:t>London: T &amp; T Clark, 201</w:t>
      </w:r>
      <w:r>
        <w:rPr>
          <w:rFonts w:cs="Calibri"/>
        </w:rPr>
        <w:t>1).</w:t>
      </w:r>
    </w:p>
  </w:footnote>
  <w:footnote w:id="209">
    <w:p w14:paraId="20CA57CB" w14:textId="5E0CD2B7" w:rsidR="007B7018" w:rsidRDefault="007B7018" w:rsidP="004642A3">
      <w:pPr>
        <w:pStyle w:val="FootnoteText"/>
      </w:pPr>
      <w:r>
        <w:rPr>
          <w:rStyle w:val="FootnoteReference"/>
        </w:rPr>
        <w:footnoteRef/>
      </w:r>
      <w:r>
        <w:t xml:space="preserve"> J. Cheryl </w:t>
      </w:r>
      <w:r>
        <w:rPr>
          <w:rFonts w:cs="Calibri"/>
        </w:rPr>
        <w:t xml:space="preserve">Exum, </w:t>
      </w:r>
      <w:r>
        <w:rPr>
          <w:rFonts w:cs="Calibri"/>
          <w:i/>
          <w:iCs/>
        </w:rPr>
        <w:t>Fragmented Women: Feminist (Sub)versions of Biblical Narratives</w:t>
      </w:r>
      <w:r>
        <w:rPr>
          <w:rFonts w:cs="Calibri"/>
        </w:rPr>
        <w:t xml:space="preserve"> (Valley Forge, PA: Trinity, 1993), 45, 55.</w:t>
      </w:r>
    </w:p>
  </w:footnote>
  <w:footnote w:id="210">
    <w:p w14:paraId="1F0D4CD6" w14:textId="77777777" w:rsidR="007B7018" w:rsidRPr="00943147" w:rsidRDefault="007B7018" w:rsidP="00930EEB">
      <w:pPr>
        <w:pStyle w:val="FootnoteText"/>
      </w:pPr>
      <w:r>
        <w:rPr>
          <w:rStyle w:val="FootnoteReference"/>
        </w:rPr>
        <w:footnoteRef/>
      </w:r>
      <w:r>
        <w:t xml:space="preserve"> Murphy, </w:t>
      </w:r>
      <w:r>
        <w:rPr>
          <w:i/>
          <w:iCs/>
        </w:rPr>
        <w:t>1 Samuel</w:t>
      </w:r>
      <w:r>
        <w:t xml:space="preserve">, 186, quoting from C. S. Lewis, </w:t>
      </w:r>
      <w:r>
        <w:rPr>
          <w:i/>
          <w:iCs/>
        </w:rPr>
        <w:t>The Four Loves</w:t>
      </w:r>
      <w:r>
        <w:t xml:space="preserve"> (New York: Harcourt, Brace, 1960), 97.</w:t>
      </w:r>
    </w:p>
  </w:footnote>
  <w:footnote w:id="211">
    <w:p w14:paraId="54FD4075" w14:textId="7DA9BFBB" w:rsidR="007B7018" w:rsidRPr="009D7204" w:rsidRDefault="007B7018" w:rsidP="009D7204">
      <w:pPr>
        <w:pStyle w:val="FootnoteText"/>
        <w:rPr>
          <w:rFonts w:eastAsia="LiberationSerif" w:cstheme="minorHAnsi"/>
        </w:rPr>
      </w:pPr>
      <w:r>
        <w:rPr>
          <w:rStyle w:val="FootnoteReference"/>
        </w:rPr>
        <w:footnoteRef/>
      </w:r>
      <w:r>
        <w:t xml:space="preserve"> Cf. McCarter, </w:t>
      </w:r>
      <w:r>
        <w:rPr>
          <w:i/>
          <w:iCs/>
        </w:rPr>
        <w:t>I Samuel</w:t>
      </w:r>
      <w:r>
        <w:t xml:space="preserve">, 342; </w:t>
      </w:r>
      <w:r>
        <w:rPr>
          <w:rFonts w:cs="Calibri"/>
        </w:rPr>
        <w:t xml:space="preserve">Rowe, </w:t>
      </w:r>
      <w:r w:rsidRPr="005E6EB5">
        <w:rPr>
          <w:rFonts w:cs="Calibri"/>
          <w:i/>
          <w:iCs/>
        </w:rPr>
        <w:t>Sons or Lovers</w:t>
      </w:r>
      <w:r>
        <w:rPr>
          <w:rFonts w:cs="Calibri"/>
        </w:rPr>
        <w:t xml:space="preserve">, 129; </w:t>
      </w:r>
      <w:r w:rsidRPr="002332EF">
        <w:rPr>
          <w:rFonts w:ascii="Calibri" w:hAnsi="Calibri" w:cs="Calibri"/>
        </w:rPr>
        <w:t>M</w:t>
      </w:r>
      <w:r>
        <w:rPr>
          <w:rFonts w:ascii="Calibri" w:hAnsi="Calibri" w:cs="Calibri"/>
        </w:rPr>
        <w:t xml:space="preserve">arkus </w:t>
      </w:r>
      <w:r w:rsidRPr="002332EF">
        <w:rPr>
          <w:rFonts w:ascii="Calibri" w:hAnsi="Calibri" w:cs="Calibri"/>
        </w:rPr>
        <w:t>Zehnder, “Observations</w:t>
      </w:r>
      <w:r>
        <w:rPr>
          <w:rFonts w:ascii="Calibri" w:hAnsi="Calibri" w:cs="Calibri"/>
        </w:rPr>
        <w:t xml:space="preserve"> </w:t>
      </w:r>
      <w:r w:rsidRPr="002332EF">
        <w:rPr>
          <w:rFonts w:ascii="Calibri" w:hAnsi="Calibri" w:cs="Calibri"/>
        </w:rPr>
        <w:t>on the Relationship Between David and Jonathan and the Debate on Homosexuality,”</w:t>
      </w:r>
      <w:r>
        <w:rPr>
          <w:rFonts w:ascii="Calibri" w:hAnsi="Calibri" w:cs="Calibri"/>
        </w:rPr>
        <w:t xml:space="preserve"> </w:t>
      </w:r>
      <w:r w:rsidRPr="002332EF">
        <w:rPr>
          <w:rFonts w:ascii="Calibri" w:hAnsi="Calibri" w:cs="Calibri"/>
          <w:i/>
          <w:iCs/>
        </w:rPr>
        <w:t>W</w:t>
      </w:r>
      <w:r>
        <w:rPr>
          <w:rFonts w:ascii="Calibri" w:hAnsi="Calibri" w:cs="Calibri"/>
          <w:i/>
          <w:iCs/>
        </w:rPr>
        <w:t>estminster Theological Journal</w:t>
      </w:r>
      <w:r w:rsidRPr="002332EF">
        <w:rPr>
          <w:rFonts w:ascii="Calibri" w:hAnsi="Calibri" w:cs="Calibri"/>
          <w:i/>
          <w:iCs/>
        </w:rPr>
        <w:t xml:space="preserve"> </w:t>
      </w:r>
      <w:r w:rsidRPr="002332EF">
        <w:rPr>
          <w:rFonts w:ascii="Calibri" w:hAnsi="Calibri" w:cs="Calibri"/>
        </w:rPr>
        <w:t>69 (2007): 127–74</w:t>
      </w:r>
      <w:r>
        <w:rPr>
          <w:rFonts w:ascii="Calibri" w:hAnsi="Calibri" w:cs="Calibri"/>
        </w:rPr>
        <w:t xml:space="preserve">; </w:t>
      </w:r>
      <w:r w:rsidRPr="00154CA6">
        <w:rPr>
          <w:rFonts w:cstheme="minorHAnsi"/>
        </w:rPr>
        <w:t>Randall C. Bailey,</w:t>
      </w:r>
      <w:r>
        <w:rPr>
          <w:rFonts w:cstheme="minorHAnsi"/>
        </w:rPr>
        <w:t xml:space="preserve"> “</w:t>
      </w:r>
      <w:r w:rsidRPr="00154CA6">
        <w:rPr>
          <w:rFonts w:cstheme="minorHAnsi"/>
        </w:rPr>
        <w:t>Reading Backwards:</w:t>
      </w:r>
      <w:r>
        <w:rPr>
          <w:rFonts w:cstheme="minorHAnsi"/>
        </w:rPr>
        <w:t xml:space="preserve"> </w:t>
      </w:r>
      <w:r w:rsidRPr="00154CA6">
        <w:rPr>
          <w:rFonts w:cstheme="minorHAnsi"/>
        </w:rPr>
        <w:t>A Narrative Technique for the Queering of David,</w:t>
      </w:r>
      <w:r>
        <w:rPr>
          <w:rFonts w:cstheme="minorHAnsi"/>
        </w:rPr>
        <w:t xml:space="preserve"> </w:t>
      </w:r>
      <w:r w:rsidRPr="00154CA6">
        <w:rPr>
          <w:rFonts w:cstheme="minorHAnsi"/>
        </w:rPr>
        <w:t>Saul, and Samuel,” in Tod Linafe</w:t>
      </w:r>
      <w:r>
        <w:rPr>
          <w:rFonts w:cstheme="minorHAnsi"/>
        </w:rPr>
        <w:t>l</w:t>
      </w:r>
      <w:r w:rsidRPr="00154CA6">
        <w:rPr>
          <w:rFonts w:cstheme="minorHAnsi"/>
        </w:rPr>
        <w:t>t et al</w:t>
      </w:r>
      <w:r>
        <w:rPr>
          <w:rFonts w:cstheme="minorHAnsi"/>
        </w:rPr>
        <w:t>.</w:t>
      </w:r>
      <w:r w:rsidRPr="00154CA6">
        <w:rPr>
          <w:rFonts w:cstheme="minorHAnsi"/>
        </w:rPr>
        <w:t>, ed.</w:t>
      </w:r>
      <w:r>
        <w:rPr>
          <w:rFonts w:cstheme="minorHAnsi"/>
        </w:rPr>
        <w:t xml:space="preserve">, </w:t>
      </w:r>
      <w:r w:rsidRPr="00154CA6">
        <w:rPr>
          <w:rFonts w:eastAsia="LiberationSerif" w:cstheme="minorHAnsi"/>
          <w:i/>
          <w:iCs/>
        </w:rPr>
        <w:t>The Fate of King David: The Past and Present of</w:t>
      </w:r>
      <w:r>
        <w:rPr>
          <w:rFonts w:eastAsia="LiberationSerif" w:cstheme="minorHAnsi"/>
          <w:i/>
          <w:iCs/>
        </w:rPr>
        <w:t xml:space="preserve"> </w:t>
      </w:r>
      <w:r w:rsidRPr="00154CA6">
        <w:rPr>
          <w:rFonts w:eastAsia="LiberationSerif" w:cstheme="minorHAnsi"/>
          <w:i/>
          <w:iCs/>
        </w:rPr>
        <w:t>Biblical Icon</w:t>
      </w:r>
      <w:r>
        <w:rPr>
          <w:rFonts w:eastAsia="LiberationSerif" w:cstheme="minorHAnsi"/>
        </w:rPr>
        <w:t xml:space="preserve">, </w:t>
      </w:r>
      <w:r w:rsidRPr="00154CA6">
        <w:rPr>
          <w:rFonts w:eastAsia="LiberationSerif" w:cstheme="minorHAnsi"/>
        </w:rPr>
        <w:t>LHBOTS 500</w:t>
      </w:r>
      <w:r>
        <w:rPr>
          <w:rFonts w:eastAsia="LiberationSerif" w:cstheme="minorHAnsi"/>
        </w:rPr>
        <w:t xml:space="preserve"> (</w:t>
      </w:r>
      <w:r w:rsidRPr="00154CA6">
        <w:rPr>
          <w:rFonts w:eastAsia="LiberationSerif" w:cstheme="minorHAnsi"/>
        </w:rPr>
        <w:t>London: T &amp; T Clark, 2010), 66-81</w:t>
      </w:r>
      <w:r>
        <w:rPr>
          <w:rFonts w:eastAsia="LiberationSerif" w:cstheme="minorHAnsi"/>
        </w:rPr>
        <w:t xml:space="preserve">; James E. </w:t>
      </w:r>
      <w:r w:rsidRPr="009D7204">
        <w:rPr>
          <w:rFonts w:cstheme="minorHAnsi"/>
        </w:rPr>
        <w:t xml:space="preserve">Harding, </w:t>
      </w:r>
      <w:r w:rsidRPr="009D7204">
        <w:rPr>
          <w:rFonts w:cstheme="minorHAnsi"/>
          <w:i/>
          <w:iCs/>
        </w:rPr>
        <w:t>The Love of David and Jonathan: Ideology, Text, Reception</w:t>
      </w:r>
      <w:r w:rsidRPr="009D7204">
        <w:rPr>
          <w:rFonts w:cstheme="minorHAnsi"/>
        </w:rPr>
        <w:t xml:space="preserve"> </w:t>
      </w:r>
      <w:r>
        <w:rPr>
          <w:rFonts w:cstheme="minorHAnsi"/>
        </w:rPr>
        <w:t>(Abingdon</w:t>
      </w:r>
      <w:r w:rsidRPr="009D7204">
        <w:rPr>
          <w:rFonts w:cstheme="minorHAnsi"/>
        </w:rPr>
        <w:t>: Routledge, 2014</w:t>
      </w:r>
      <w:r>
        <w:rPr>
          <w:rFonts w:cstheme="minorHAnsi"/>
        </w:rPr>
        <w:t>)</w:t>
      </w:r>
      <w:r w:rsidRPr="009D7204">
        <w:rPr>
          <w:rFonts w:cstheme="minorHAnsi"/>
        </w:rPr>
        <w:t>.</w:t>
      </w:r>
    </w:p>
  </w:footnote>
  <w:footnote w:id="212">
    <w:p w14:paraId="05A7D895" w14:textId="77777777" w:rsidR="007B7018" w:rsidRDefault="007B7018" w:rsidP="00930EEB">
      <w:pPr>
        <w:pStyle w:val="FootnoteText"/>
      </w:pPr>
      <w:r>
        <w:rPr>
          <w:rStyle w:val="FootnoteReference"/>
        </w:rPr>
        <w:footnoteRef/>
      </w:r>
      <w:r>
        <w:t xml:space="preserve"> </w:t>
      </w:r>
      <w:r>
        <w:rPr>
          <w:rFonts w:cstheme="minorHAnsi"/>
        </w:rPr>
        <w:t xml:space="preserve">Alter’s translation, </w:t>
      </w:r>
      <w:r w:rsidRPr="00BA34A3">
        <w:rPr>
          <w:rFonts w:cs="Calibri"/>
          <w:i/>
        </w:rPr>
        <w:t>The David Story</w:t>
      </w:r>
      <w:r>
        <w:rPr>
          <w:rFonts w:cs="Calibri"/>
          <w:iCs/>
        </w:rPr>
        <w:t>,</w:t>
      </w:r>
      <w:r>
        <w:rPr>
          <w:rFonts w:cstheme="minorHAnsi"/>
        </w:rPr>
        <w:t xml:space="preserve"> 112.</w:t>
      </w:r>
    </w:p>
  </w:footnote>
  <w:footnote w:id="213">
    <w:p w14:paraId="132C708C" w14:textId="0B444B31" w:rsidR="007B7018" w:rsidRDefault="007B7018" w:rsidP="00930EEB">
      <w:pPr>
        <w:pStyle w:val="FootnoteText"/>
      </w:pPr>
      <w:r>
        <w:rPr>
          <w:rStyle w:val="FootnoteReference"/>
        </w:rPr>
        <w:footnoteRef/>
      </w:r>
      <w:r>
        <w:t xml:space="preserve"> Paul S. Evans, “From Head above the Rest to No Head at All: Transformations in the Life of Saul,” in </w:t>
      </w:r>
      <w:r w:rsidRPr="00BA34A3">
        <w:rPr>
          <w:rFonts w:cs="Calibri"/>
        </w:rPr>
        <w:t>Bodner and Johnson</w:t>
      </w:r>
      <w:r>
        <w:rPr>
          <w:rFonts w:cs="Calibri"/>
        </w:rPr>
        <w:t>,</w:t>
      </w:r>
      <w:r w:rsidRPr="00BA34A3">
        <w:rPr>
          <w:rFonts w:cs="Calibri"/>
        </w:rPr>
        <w:t xml:space="preserve"> </w:t>
      </w:r>
      <w:r w:rsidRPr="00BA34A3">
        <w:rPr>
          <w:rFonts w:cs="Calibri"/>
          <w:i/>
        </w:rPr>
        <w:t>Characters and Characterization in the Book of Samuel</w:t>
      </w:r>
      <w:r>
        <w:rPr>
          <w:rFonts w:cs="Calibri"/>
        </w:rPr>
        <w:t xml:space="preserve">, </w:t>
      </w:r>
      <w:r>
        <w:rPr>
          <w:rFonts w:cs="Calibri"/>
          <w:iCs/>
        </w:rPr>
        <w:t>101-20 (103).</w:t>
      </w:r>
    </w:p>
  </w:footnote>
  <w:footnote w:id="214">
    <w:p w14:paraId="2AE668FA" w14:textId="77777777" w:rsidR="007B7018" w:rsidRDefault="007B7018" w:rsidP="00930EEB">
      <w:pPr>
        <w:pStyle w:val="FootnoteText"/>
      </w:pPr>
      <w:r>
        <w:rPr>
          <w:rStyle w:val="FootnoteReference"/>
        </w:rPr>
        <w:footnoteRef/>
      </w:r>
      <w:r>
        <w:t xml:space="preserve"> McCarter, </w:t>
      </w:r>
      <w:r>
        <w:rPr>
          <w:i/>
          <w:iCs/>
        </w:rPr>
        <w:t>I Samuel</w:t>
      </w:r>
      <w:r>
        <w:t>, 305.</w:t>
      </w:r>
    </w:p>
  </w:footnote>
  <w:footnote w:id="215">
    <w:p w14:paraId="6FFFBDFA" w14:textId="77777777" w:rsidR="007B7018" w:rsidRPr="006A7860" w:rsidRDefault="007B7018" w:rsidP="000C0FDF">
      <w:pPr>
        <w:pStyle w:val="FootnoteText"/>
      </w:pPr>
      <w:r>
        <w:rPr>
          <w:rStyle w:val="FootnoteReference"/>
        </w:rPr>
        <w:footnoteRef/>
      </w:r>
      <w:r>
        <w:t xml:space="preserve"> Barbara Green, </w:t>
      </w:r>
      <w:r>
        <w:rPr>
          <w:rFonts w:cs="Calibri"/>
          <w:i/>
          <w:iCs/>
        </w:rPr>
        <w:t xml:space="preserve">How Are the Mighty Fallen: </w:t>
      </w:r>
      <w:r w:rsidRPr="0099245F">
        <w:rPr>
          <w:rFonts w:cstheme="minorHAnsi"/>
          <w:i/>
          <w:iCs/>
          <w:sz w:val="22"/>
          <w:szCs w:val="22"/>
        </w:rPr>
        <w:t xml:space="preserve">A </w:t>
      </w:r>
      <w:r w:rsidRPr="0069428E">
        <w:rPr>
          <w:rFonts w:cstheme="minorHAnsi"/>
          <w:i/>
          <w:iCs/>
        </w:rPr>
        <w:t>Dialogical Study of King</w:t>
      </w:r>
      <w:r w:rsidRPr="0099245F">
        <w:rPr>
          <w:rFonts w:cstheme="minorHAnsi"/>
          <w:i/>
          <w:iCs/>
        </w:rPr>
        <w:t xml:space="preserve"> Saul in 1 Samuel</w:t>
      </w:r>
      <w:r>
        <w:rPr>
          <w:rFonts w:cstheme="minorHAnsi"/>
        </w:rPr>
        <w:t xml:space="preserve">, </w:t>
      </w:r>
      <w:r w:rsidRPr="0099245F">
        <w:rPr>
          <w:rFonts w:cstheme="minorHAnsi"/>
        </w:rPr>
        <w:t>JSOTSup</w:t>
      </w:r>
      <w:r w:rsidRPr="0099245F">
        <w:rPr>
          <w:rFonts w:cs="Calibri"/>
        </w:rPr>
        <w:t xml:space="preserve"> 365 </w:t>
      </w:r>
      <w:r>
        <w:rPr>
          <w:rFonts w:cs="Calibri"/>
        </w:rPr>
        <w:t>(London: Sheffield Academic, 2003</w:t>
      </w:r>
      <w:r>
        <w:t>), 354.</w:t>
      </w:r>
    </w:p>
  </w:footnote>
  <w:footnote w:id="216">
    <w:p w14:paraId="41280952" w14:textId="77777777" w:rsidR="007B7018" w:rsidRDefault="007B7018" w:rsidP="000C0FDF">
      <w:pPr>
        <w:pStyle w:val="FootnoteText"/>
      </w:pPr>
      <w:r>
        <w:rPr>
          <w:rStyle w:val="FootnoteReference"/>
        </w:rPr>
        <w:footnoteRef/>
      </w:r>
      <w:r>
        <w:t xml:space="preserve"> Walter Brueggemann, </w:t>
      </w:r>
      <w:r>
        <w:rPr>
          <w:i/>
          <w:iCs/>
        </w:rPr>
        <w:t>First and Second Samuel</w:t>
      </w:r>
      <w:r>
        <w:t xml:space="preserve">, </w:t>
      </w:r>
      <w:r w:rsidRPr="00BA34A3">
        <w:rPr>
          <w:rFonts w:cs="Calibri"/>
        </w:rPr>
        <w:t>Interpretation</w:t>
      </w:r>
      <w:r>
        <w:rPr>
          <w:rFonts w:cs="Calibri"/>
        </w:rPr>
        <w:t>: A Bible Commentary for Teaching and Preaching</w:t>
      </w:r>
      <w:r w:rsidRPr="00BA34A3">
        <w:rPr>
          <w:rFonts w:cs="Calibri"/>
        </w:rPr>
        <w:t xml:space="preserve"> </w:t>
      </w:r>
      <w:r>
        <w:rPr>
          <w:rFonts w:cs="Calibri"/>
        </w:rPr>
        <w:t>(</w:t>
      </w:r>
      <w:r w:rsidRPr="00BA34A3">
        <w:rPr>
          <w:rFonts w:cs="Calibri"/>
        </w:rPr>
        <w:t>Louisville: John Knox, 1990</w:t>
      </w:r>
      <w:r>
        <w:rPr>
          <w:rFonts w:cs="Calibri"/>
        </w:rPr>
        <w:t>)</w:t>
      </w:r>
      <w:r>
        <w:t>, 171.</w:t>
      </w:r>
    </w:p>
  </w:footnote>
  <w:footnote w:id="217">
    <w:p w14:paraId="4993C6AC" w14:textId="742F5256" w:rsidR="007B7018" w:rsidRPr="0006187C" w:rsidRDefault="007B7018">
      <w:pPr>
        <w:pStyle w:val="FootnoteText"/>
      </w:pPr>
      <w:r>
        <w:rPr>
          <w:rStyle w:val="FootnoteReference"/>
        </w:rPr>
        <w:footnoteRef/>
      </w:r>
      <w:r>
        <w:t xml:space="preserve"> Cf. Rowe, </w:t>
      </w:r>
      <w:r>
        <w:rPr>
          <w:i/>
          <w:iCs/>
        </w:rPr>
        <w:t>Sons or Lovers</w:t>
      </w:r>
      <w:r>
        <w:t>, 54-76.</w:t>
      </w:r>
    </w:p>
  </w:footnote>
  <w:footnote w:id="218">
    <w:p w14:paraId="6456088C" w14:textId="77777777" w:rsidR="007B7018" w:rsidRDefault="007B7018" w:rsidP="00930EEB">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i/>
          <w:iCs/>
        </w:rPr>
        <w:t xml:space="preserve"> </w:t>
      </w:r>
      <w:r>
        <w:rPr>
          <w:rFonts w:cs="Calibri"/>
        </w:rPr>
        <w:t>2:313, 314.</w:t>
      </w:r>
    </w:p>
  </w:footnote>
  <w:footnote w:id="219">
    <w:p w14:paraId="03F78138" w14:textId="0236BED1" w:rsidR="007B7018" w:rsidRDefault="007B7018" w:rsidP="00F33708">
      <w:pPr>
        <w:pStyle w:val="FootnoteText"/>
      </w:pPr>
      <w:r>
        <w:rPr>
          <w:rStyle w:val="FootnoteReference"/>
        </w:rPr>
        <w:footnoteRef/>
      </w:r>
      <w:r>
        <w:t xml:space="preserve"> </w:t>
      </w:r>
      <w:r w:rsidRPr="00BA34A3">
        <w:rPr>
          <w:rFonts w:cs="Calibri"/>
          <w:bCs/>
          <w:lang w:bidi="he-IL"/>
        </w:rPr>
        <w:t>Francesca Aran</w:t>
      </w:r>
      <w:r>
        <w:rPr>
          <w:rFonts w:cs="Calibri"/>
          <w:bCs/>
          <w:lang w:bidi="he-IL"/>
        </w:rPr>
        <w:t xml:space="preserve"> </w:t>
      </w:r>
      <w:r>
        <w:t>Murphy</w:t>
      </w:r>
      <w:r>
        <w:rPr>
          <w:rFonts w:cs="Calibri"/>
          <w:bCs/>
          <w:lang w:bidi="he-IL"/>
        </w:rPr>
        <w:t>,</w:t>
      </w:r>
      <w:r w:rsidRPr="00BA34A3">
        <w:rPr>
          <w:rFonts w:cs="Calibri"/>
          <w:bCs/>
          <w:lang w:bidi="he-IL"/>
        </w:rPr>
        <w:t xml:space="preserve"> </w:t>
      </w:r>
      <w:r w:rsidRPr="00BA34A3">
        <w:rPr>
          <w:rFonts w:cs="Calibri"/>
          <w:bCs/>
          <w:i/>
          <w:lang w:bidi="he-IL"/>
        </w:rPr>
        <w:t>1 Samuel</w:t>
      </w:r>
      <w:r>
        <w:rPr>
          <w:rFonts w:cs="Calibri"/>
          <w:bCs/>
          <w:i/>
          <w:iCs/>
          <w:lang w:bidi="he-IL"/>
        </w:rPr>
        <w:t xml:space="preserve">, </w:t>
      </w:r>
      <w:r w:rsidRPr="003D5308">
        <w:rPr>
          <w:rFonts w:ascii="Calibri" w:hAnsi="Calibri" w:cs="Calibri"/>
          <w:shd w:val="clear" w:color="auto" w:fill="FFFFFF"/>
        </w:rPr>
        <w:t>Brazos Theological Commentary on the Bible</w:t>
      </w:r>
      <w:r w:rsidRPr="003D5308">
        <w:rPr>
          <w:rFonts w:ascii="Calibri" w:hAnsi="Calibri" w:cs="Calibri"/>
        </w:rPr>
        <w:t xml:space="preserve"> </w:t>
      </w:r>
      <w:r>
        <w:rPr>
          <w:rFonts w:cs="Calibri"/>
          <w:bCs/>
          <w:lang w:bidi="he-IL"/>
        </w:rPr>
        <w:t>(</w:t>
      </w:r>
      <w:r w:rsidRPr="00BA34A3">
        <w:rPr>
          <w:rFonts w:cs="Calibri"/>
          <w:bCs/>
          <w:lang w:bidi="he-IL"/>
        </w:rPr>
        <w:t>Grand Rapids: Brazos, 2010</w:t>
      </w:r>
      <w:r>
        <w:t>), 214.</w:t>
      </w:r>
    </w:p>
  </w:footnote>
  <w:footnote w:id="220">
    <w:p w14:paraId="2B9AE924" w14:textId="17475E60" w:rsidR="007B7018" w:rsidRPr="0099330D" w:rsidRDefault="007B7018">
      <w:pPr>
        <w:pStyle w:val="FootnoteText"/>
      </w:pPr>
      <w:r>
        <w:rPr>
          <w:rStyle w:val="FootnoteReference"/>
        </w:rPr>
        <w:footnoteRef/>
      </w:r>
      <w:r>
        <w:t xml:space="preserve"> </w:t>
      </w:r>
      <w:r>
        <w:rPr>
          <w:rFonts w:cstheme="minorHAnsi"/>
        </w:rPr>
        <w:t xml:space="preserve">Diana Vikander Edelman, </w:t>
      </w:r>
      <w:r>
        <w:rPr>
          <w:rFonts w:cstheme="minorHAnsi"/>
          <w:i/>
          <w:iCs/>
        </w:rPr>
        <w:t xml:space="preserve">King Saul in the Historiography of Judah, </w:t>
      </w:r>
      <w:r>
        <w:rPr>
          <w:rFonts w:cstheme="minorHAnsi"/>
        </w:rPr>
        <w:t>JSOTSup 121 (Sheffield: Sheffield Academic, 1991)</w:t>
      </w:r>
      <w:r>
        <w:t>, 162.</w:t>
      </w:r>
    </w:p>
  </w:footnote>
  <w:footnote w:id="221">
    <w:p w14:paraId="76567000" w14:textId="17B22DB6" w:rsidR="007B7018" w:rsidRDefault="007B7018" w:rsidP="001134AA">
      <w:pPr>
        <w:pStyle w:val="FootnoteText"/>
      </w:pPr>
      <w:r>
        <w:rPr>
          <w:rStyle w:val="FootnoteReference"/>
        </w:rPr>
        <w:footnoteRef/>
      </w:r>
      <w:r>
        <w:t xml:space="preserve"> </w:t>
      </w:r>
      <w:r w:rsidRPr="00BA34A3">
        <w:rPr>
          <w:rFonts w:cs="Calibri"/>
        </w:rPr>
        <w:t>Eugene H.</w:t>
      </w:r>
      <w:r w:rsidRPr="005E3ED7">
        <w:rPr>
          <w:rFonts w:cs="Calibri"/>
        </w:rPr>
        <w:t xml:space="preserve"> </w:t>
      </w:r>
      <w:r w:rsidRPr="00BA34A3">
        <w:rPr>
          <w:rFonts w:cs="Calibri"/>
        </w:rPr>
        <w:t xml:space="preserve">Peterson, </w:t>
      </w:r>
      <w:r w:rsidRPr="00BA34A3">
        <w:rPr>
          <w:rFonts w:cs="Calibri"/>
          <w:i/>
        </w:rPr>
        <w:t>First and Second Samuel</w:t>
      </w:r>
      <w:r>
        <w:rPr>
          <w:rFonts w:cs="Calibri"/>
          <w:i/>
        </w:rPr>
        <w:t xml:space="preserve"> </w:t>
      </w:r>
      <w:r>
        <w:rPr>
          <w:rFonts w:cs="Calibri"/>
        </w:rPr>
        <w:t>(</w:t>
      </w:r>
      <w:r w:rsidRPr="00BA34A3">
        <w:rPr>
          <w:rFonts w:cs="Calibri"/>
        </w:rPr>
        <w:t>Louisville, KY: Westminster John Knox, 1999</w:t>
      </w:r>
      <w:r>
        <w:rPr>
          <w:rFonts w:cs="Calibri"/>
        </w:rPr>
        <w:t>), 109, 110.</w:t>
      </w:r>
    </w:p>
  </w:footnote>
  <w:footnote w:id="222">
    <w:p w14:paraId="1F23F6FF" w14:textId="2E03181E" w:rsidR="007B7018" w:rsidRPr="000352EB" w:rsidRDefault="007B7018">
      <w:pPr>
        <w:pStyle w:val="FootnoteText"/>
      </w:pPr>
      <w:r>
        <w:rPr>
          <w:rStyle w:val="FootnoteReference"/>
        </w:rPr>
        <w:footnoteRef/>
      </w:r>
      <w:r>
        <w:t xml:space="preserve"> </w:t>
      </w:r>
      <w:r w:rsidRPr="00AC64D8">
        <w:t xml:space="preserve">Barbara Green, </w:t>
      </w:r>
      <w:r w:rsidRPr="00AC64D8">
        <w:rPr>
          <w:rFonts w:cstheme="minorHAnsi"/>
          <w:i/>
          <w:iCs/>
        </w:rPr>
        <w:t>David’s Capacity for Compassion: A Literary-Hermeneutical Study of 1–2 Samuel</w:t>
      </w:r>
      <w:r>
        <w:rPr>
          <w:rFonts w:cstheme="minorHAnsi"/>
        </w:rPr>
        <w:t xml:space="preserve">, </w:t>
      </w:r>
      <w:r w:rsidRPr="00AC64D8">
        <w:rPr>
          <w:rFonts w:cstheme="minorHAnsi"/>
        </w:rPr>
        <w:t xml:space="preserve">LHBOTS 641 </w:t>
      </w:r>
      <w:r>
        <w:rPr>
          <w:rFonts w:cstheme="minorHAnsi"/>
        </w:rPr>
        <w:t>(</w:t>
      </w:r>
      <w:r w:rsidRPr="00AC64D8">
        <w:rPr>
          <w:rFonts w:cstheme="minorHAnsi"/>
        </w:rPr>
        <w:t>London: T &amp; T Clark</w:t>
      </w:r>
      <w:r>
        <w:rPr>
          <w:rFonts w:cstheme="minorHAnsi"/>
        </w:rPr>
        <w:t>, 2017), 89.</w:t>
      </w:r>
    </w:p>
  </w:footnote>
  <w:footnote w:id="223">
    <w:p w14:paraId="498CB6BB" w14:textId="26DF988F" w:rsidR="007B7018" w:rsidRPr="007864C5" w:rsidRDefault="007B7018" w:rsidP="00C92271">
      <w:pPr>
        <w:pStyle w:val="FootnoteText"/>
        <w:rPr>
          <w:iCs/>
        </w:rPr>
      </w:pPr>
      <w:r>
        <w:rPr>
          <w:rStyle w:val="FootnoteReference"/>
        </w:rPr>
        <w:footnoteRef/>
      </w:r>
      <w:r>
        <w:t xml:space="preserve"> H. W. </w:t>
      </w:r>
      <w:r w:rsidRPr="009A3739">
        <w:t xml:space="preserve">Hertzberg, </w:t>
      </w:r>
      <w:r w:rsidRPr="009A3739">
        <w:rPr>
          <w:i/>
        </w:rPr>
        <w:t>I &amp; II Samuel</w:t>
      </w:r>
      <w:r>
        <w:rPr>
          <w:i/>
        </w:rPr>
        <w:t xml:space="preserve">: </w:t>
      </w:r>
      <w:r w:rsidRPr="00C51101">
        <w:rPr>
          <w:i/>
          <w:iCs/>
        </w:rPr>
        <w:t>A Commentary</w:t>
      </w:r>
      <w:r>
        <w:t xml:space="preserve">, </w:t>
      </w:r>
      <w:r w:rsidRPr="009A3739">
        <w:t>O</w:t>
      </w:r>
      <w:r>
        <w:t>TL</w:t>
      </w:r>
      <w:r w:rsidRPr="009A3739">
        <w:t xml:space="preserve"> </w:t>
      </w:r>
      <w:r>
        <w:t>(</w:t>
      </w:r>
      <w:r w:rsidRPr="009A3739">
        <w:t>London: SCM, 1964</w:t>
      </w:r>
      <w:r>
        <w:t>)</w:t>
      </w:r>
      <w:r>
        <w:rPr>
          <w:iCs/>
        </w:rPr>
        <w:t>, 180.</w:t>
      </w:r>
    </w:p>
  </w:footnote>
  <w:footnote w:id="224">
    <w:p w14:paraId="364AF0D0" w14:textId="04B417F1" w:rsidR="007B7018" w:rsidRPr="009169FE" w:rsidRDefault="007B7018" w:rsidP="00C92271">
      <w:pPr>
        <w:pStyle w:val="FootnoteText"/>
        <w:rPr>
          <w:iCs/>
        </w:rPr>
      </w:pPr>
      <w:r>
        <w:rPr>
          <w:rStyle w:val="FootnoteReference"/>
        </w:rPr>
        <w:footnoteRef/>
      </w:r>
      <w:r>
        <w:t xml:space="preserve"> </w:t>
      </w:r>
      <w:r w:rsidRPr="00BA34A3">
        <w:rPr>
          <w:rFonts w:cs="Calibri"/>
        </w:rPr>
        <w:t xml:space="preserve">Peterson, </w:t>
      </w:r>
      <w:r w:rsidRPr="00BA34A3">
        <w:rPr>
          <w:rFonts w:cs="Calibri"/>
          <w:i/>
        </w:rPr>
        <w:t>First and Second Samuel</w:t>
      </w:r>
      <w:r>
        <w:rPr>
          <w:rFonts w:cs="Calibri"/>
          <w:iCs/>
        </w:rPr>
        <w:t>, 111.</w:t>
      </w:r>
    </w:p>
  </w:footnote>
  <w:footnote w:id="225">
    <w:p w14:paraId="0EDF5382" w14:textId="139E091C" w:rsidR="007B7018" w:rsidRPr="007C5932" w:rsidRDefault="007B7018" w:rsidP="007C5932">
      <w:pPr>
        <w:pStyle w:val="FootnoteText"/>
      </w:pPr>
      <w:r>
        <w:rPr>
          <w:rStyle w:val="FootnoteReference"/>
        </w:rPr>
        <w:footnoteRef/>
      </w:r>
      <w:r>
        <w:t xml:space="preserve"> See Daniel Pioske, “</w:t>
      </w:r>
      <w:r w:rsidRPr="007C5932">
        <w:rPr>
          <w:rFonts w:ascii="Calibri" w:hAnsi="Calibri" w:cs="Calibri"/>
        </w:rPr>
        <w:t>Material Culture and Making Visible: On the Portrayal of Philistine Gath in the Book of Samuel</w:t>
      </w:r>
      <w:r>
        <w:rPr>
          <w:rFonts w:ascii="Calibri" w:hAnsi="Calibri" w:cs="Calibri"/>
        </w:rPr>
        <w:t xml:space="preserve">,” </w:t>
      </w:r>
      <w:r>
        <w:rPr>
          <w:rFonts w:ascii="Calibri" w:hAnsi="Calibri" w:cs="Calibri"/>
          <w:i/>
          <w:iCs/>
        </w:rPr>
        <w:t xml:space="preserve">JSOT </w:t>
      </w:r>
      <w:r>
        <w:rPr>
          <w:rFonts w:ascii="Calibri" w:hAnsi="Calibri" w:cs="Calibri"/>
        </w:rPr>
        <w:t>43 (2018): 3-27.</w:t>
      </w:r>
    </w:p>
  </w:footnote>
  <w:footnote w:id="226">
    <w:p w14:paraId="416FEDCA" w14:textId="4DE6EAC0" w:rsidR="007B7018" w:rsidRPr="00C471CB" w:rsidRDefault="007B7018">
      <w:pPr>
        <w:pStyle w:val="FootnoteText"/>
      </w:pPr>
      <w:r>
        <w:rPr>
          <w:rStyle w:val="FootnoteReference"/>
        </w:rPr>
        <w:footnoteRef/>
      </w:r>
      <w:r>
        <w:t xml:space="preserve"> </w:t>
      </w:r>
      <w:r w:rsidRPr="00BA34A3">
        <w:rPr>
          <w:rFonts w:cs="Calibri"/>
        </w:rPr>
        <w:t>A. Gra</w:t>
      </w:r>
      <w:r>
        <w:rPr>
          <w:rFonts w:cs="Calibri"/>
        </w:rPr>
        <w:t>eme Auld,</w:t>
      </w:r>
      <w:r>
        <w:t xml:space="preserve"> </w:t>
      </w:r>
      <w:r>
        <w:rPr>
          <w:i/>
          <w:iCs/>
        </w:rPr>
        <w:t>I &amp; II Samuel</w:t>
      </w:r>
      <w:r>
        <w:rPr>
          <w:rFonts w:cs="Calibri"/>
          <w:i/>
        </w:rPr>
        <w:t>: A Commentary</w:t>
      </w:r>
      <w:r>
        <w:rPr>
          <w:rFonts w:cs="Calibri"/>
        </w:rPr>
        <w:t xml:space="preserve">, </w:t>
      </w:r>
      <w:r w:rsidRPr="00BA34A3">
        <w:rPr>
          <w:rFonts w:cs="Calibri"/>
        </w:rPr>
        <w:t xml:space="preserve">OTL </w:t>
      </w:r>
      <w:r>
        <w:rPr>
          <w:rFonts w:cs="Calibri"/>
        </w:rPr>
        <w:t>(</w:t>
      </w:r>
      <w:r w:rsidRPr="00BA34A3">
        <w:rPr>
          <w:rFonts w:cs="Calibri"/>
        </w:rPr>
        <w:t>Louisville: Westminster John Knox, 2011</w:t>
      </w:r>
      <w:r>
        <w:t>), 264.</w:t>
      </w:r>
    </w:p>
  </w:footnote>
  <w:footnote w:id="227">
    <w:p w14:paraId="0BA92300" w14:textId="1F275834" w:rsidR="007B7018" w:rsidRDefault="007B7018" w:rsidP="00E30E41">
      <w:pPr>
        <w:pStyle w:val="FootnoteText"/>
      </w:pPr>
      <w:r>
        <w:rPr>
          <w:rStyle w:val="FootnoteReference"/>
        </w:rPr>
        <w:footnoteRef/>
      </w:r>
      <w:r>
        <w:t xml:space="preserve"> Joel </w:t>
      </w:r>
      <w:r>
        <w:rPr>
          <w:rFonts w:cs="Calibri"/>
        </w:rPr>
        <w:t xml:space="preserve">Rosenberg, “I and 2 Samuel,” in </w:t>
      </w:r>
      <w:r w:rsidRPr="006020B1">
        <w:rPr>
          <w:rFonts w:cs="Calibri"/>
        </w:rPr>
        <w:t>Robert Alter</w:t>
      </w:r>
      <w:r>
        <w:rPr>
          <w:rFonts w:cs="Calibri"/>
        </w:rPr>
        <w:t xml:space="preserve"> and </w:t>
      </w:r>
      <w:r w:rsidRPr="006020B1">
        <w:rPr>
          <w:rFonts w:cs="Calibri"/>
        </w:rPr>
        <w:t>Frank Kermode</w:t>
      </w:r>
      <w:r>
        <w:rPr>
          <w:rFonts w:cs="Calibri"/>
        </w:rPr>
        <w:t xml:space="preserve">, ed., </w:t>
      </w:r>
      <w:r w:rsidRPr="00236DDA">
        <w:rPr>
          <w:rFonts w:cs="Calibri"/>
          <w:i/>
          <w:iCs/>
        </w:rPr>
        <w:t>The</w:t>
      </w:r>
      <w:r>
        <w:rPr>
          <w:rFonts w:cs="Calibri"/>
          <w:i/>
          <w:iCs/>
        </w:rPr>
        <w:t xml:space="preserve"> </w:t>
      </w:r>
      <w:r w:rsidRPr="00236DDA">
        <w:rPr>
          <w:rFonts w:cs="Calibri"/>
          <w:i/>
          <w:iCs/>
        </w:rPr>
        <w:t>Literary Guide</w:t>
      </w:r>
      <w:r>
        <w:rPr>
          <w:rFonts w:cs="Calibri"/>
          <w:i/>
          <w:iCs/>
        </w:rPr>
        <w:t xml:space="preserve"> t</w:t>
      </w:r>
      <w:r w:rsidRPr="00236DDA">
        <w:rPr>
          <w:rFonts w:cs="Calibri"/>
          <w:i/>
          <w:iCs/>
        </w:rPr>
        <w:t xml:space="preserve">o </w:t>
      </w:r>
      <w:r>
        <w:rPr>
          <w:rFonts w:cs="Calibri"/>
          <w:i/>
          <w:iCs/>
        </w:rPr>
        <w:t>t</w:t>
      </w:r>
      <w:r w:rsidRPr="00236DDA">
        <w:rPr>
          <w:rFonts w:cs="Calibri"/>
          <w:i/>
          <w:iCs/>
        </w:rPr>
        <w:t>he Bible</w:t>
      </w:r>
      <w:r>
        <w:rPr>
          <w:rFonts w:cs="Calibri"/>
          <w:i/>
          <w:iCs/>
        </w:rPr>
        <w:t xml:space="preserve"> </w:t>
      </w:r>
      <w:r>
        <w:rPr>
          <w:rFonts w:cs="Calibri"/>
        </w:rPr>
        <w:t>(Cambridge, MA: Harvard University Press, 1987), 122-45 (133).</w:t>
      </w:r>
    </w:p>
  </w:footnote>
  <w:footnote w:id="228">
    <w:p w14:paraId="67522057" w14:textId="10F128BF" w:rsidR="007B7018" w:rsidRPr="00046132" w:rsidRDefault="007B7018">
      <w:pPr>
        <w:pStyle w:val="FootnoteText"/>
        <w:rPr>
          <w:iCs/>
        </w:rPr>
      </w:pPr>
      <w:r>
        <w:rPr>
          <w:rStyle w:val="FootnoteReference"/>
        </w:rPr>
        <w:footnoteRef/>
      </w:r>
      <w:r>
        <w:t xml:space="preserve"> </w:t>
      </w:r>
      <w:r w:rsidRPr="00BA34A3">
        <w:rPr>
          <w:rFonts w:cs="Calibri"/>
        </w:rPr>
        <w:t xml:space="preserve">Peterson, </w:t>
      </w:r>
      <w:r w:rsidRPr="00BA34A3">
        <w:rPr>
          <w:rFonts w:cs="Calibri"/>
          <w:i/>
        </w:rPr>
        <w:t>First and Second Samuel</w:t>
      </w:r>
      <w:r>
        <w:rPr>
          <w:rFonts w:cs="Calibri"/>
          <w:iCs/>
        </w:rPr>
        <w:t>, 116.</w:t>
      </w:r>
    </w:p>
  </w:footnote>
  <w:footnote w:id="229">
    <w:p w14:paraId="6535FCD0" w14:textId="78229575" w:rsidR="007B7018" w:rsidRPr="00D245DF" w:rsidRDefault="007B7018" w:rsidP="007E5BD4">
      <w:pPr>
        <w:pStyle w:val="FootnoteText"/>
      </w:pPr>
      <w:r>
        <w:rPr>
          <w:rStyle w:val="FootnoteReference"/>
        </w:rPr>
        <w:footnoteRef/>
      </w:r>
      <w:r>
        <w:t xml:space="preserve"> Cf. Robert P. Gordon, “</w:t>
      </w:r>
      <w:r w:rsidRPr="00D245DF">
        <w:rPr>
          <w:rFonts w:ascii="Calibri" w:hAnsi="Calibri" w:cs="Calibri"/>
        </w:rPr>
        <w:t xml:space="preserve">David's Rise </w:t>
      </w:r>
      <w:r>
        <w:rPr>
          <w:rFonts w:ascii="Calibri" w:hAnsi="Calibri" w:cs="Calibri"/>
        </w:rPr>
        <w:t>a</w:t>
      </w:r>
      <w:r w:rsidRPr="00D245DF">
        <w:rPr>
          <w:rFonts w:ascii="Calibri" w:hAnsi="Calibri" w:cs="Calibri"/>
        </w:rPr>
        <w:t xml:space="preserve">nd Saul's Demise: Narrative Analogy </w:t>
      </w:r>
      <w:r>
        <w:rPr>
          <w:rFonts w:ascii="Calibri" w:hAnsi="Calibri" w:cs="Calibri"/>
        </w:rPr>
        <w:t>i</w:t>
      </w:r>
      <w:r w:rsidRPr="00D245DF">
        <w:rPr>
          <w:rFonts w:ascii="Calibri" w:hAnsi="Calibri" w:cs="Calibri"/>
        </w:rPr>
        <w:t>n 1 Samuel 24</w:t>
      </w:r>
      <w:r>
        <w:rPr>
          <w:rFonts w:ascii="Calibri" w:hAnsi="Calibri" w:cs="Calibri"/>
        </w:rPr>
        <w:t xml:space="preserve"> – </w:t>
      </w:r>
      <w:r w:rsidRPr="00D245DF">
        <w:rPr>
          <w:rFonts w:ascii="Calibri" w:hAnsi="Calibri" w:cs="Calibri"/>
        </w:rPr>
        <w:t>26</w:t>
      </w:r>
      <w:r>
        <w:rPr>
          <w:rFonts w:ascii="Calibri" w:hAnsi="Calibri" w:cs="Calibri"/>
        </w:rPr>
        <w:t xml:space="preserve">,” </w:t>
      </w:r>
      <w:r>
        <w:rPr>
          <w:i/>
          <w:iCs/>
        </w:rPr>
        <w:t xml:space="preserve">Tyndale Bulletin </w:t>
      </w:r>
      <w:r>
        <w:t xml:space="preserve">31 (1980): 37-64 (43), reprinted in Gary N. </w:t>
      </w:r>
      <w:r w:rsidRPr="001F52A8">
        <w:rPr>
          <w:rFonts w:cs="Calibri"/>
        </w:rPr>
        <w:t xml:space="preserve">Knoppers and J. Gordon McConville, eds. </w:t>
      </w:r>
      <w:r w:rsidRPr="001F52A8">
        <w:rPr>
          <w:rFonts w:cs="Calibri"/>
          <w:i/>
        </w:rPr>
        <w:t>Reconsidering Israel and Judah: Recent Studies on the Deuteronomistic History</w:t>
      </w:r>
      <w:r w:rsidRPr="001F52A8">
        <w:rPr>
          <w:rFonts w:cs="Calibri"/>
        </w:rPr>
        <w:t xml:space="preserve"> </w:t>
      </w:r>
      <w:r>
        <w:rPr>
          <w:rFonts w:cs="Calibri"/>
        </w:rPr>
        <w:t xml:space="preserve">(Sources for Biblical and Theological Study 8; </w:t>
      </w:r>
      <w:r w:rsidRPr="001F52A8">
        <w:rPr>
          <w:rFonts w:cs="Calibri"/>
        </w:rPr>
        <w:t>Winona Lake, IN: Eisenbrauns, 2000</w:t>
      </w:r>
      <w:r>
        <w:rPr>
          <w:rFonts w:cs="Calibri"/>
        </w:rPr>
        <w:t>), 319-39 (324)</w:t>
      </w:r>
      <w:r>
        <w:t xml:space="preserve">; he actually puts it the other way around. </w:t>
      </w:r>
    </w:p>
  </w:footnote>
  <w:footnote w:id="230">
    <w:p w14:paraId="29ED0A00" w14:textId="254148FB" w:rsidR="007B7018" w:rsidRPr="00636F71" w:rsidRDefault="007B7018" w:rsidP="00EE74EB">
      <w:pPr>
        <w:pStyle w:val="FootnoteText"/>
        <w:rPr>
          <w:rFonts w:cstheme="minorHAnsi"/>
        </w:rPr>
      </w:pPr>
      <w:r>
        <w:rPr>
          <w:rStyle w:val="FootnoteReference"/>
        </w:rPr>
        <w:footnoteRef/>
      </w:r>
      <w:r>
        <w:t xml:space="preserve"> </w:t>
      </w:r>
      <w:r w:rsidRPr="00636F71">
        <w:rPr>
          <w:rFonts w:cstheme="minorHAnsi"/>
        </w:rPr>
        <w:t>L. Juliana Claassens, " An Abigail Optic: Agency, Resistance, and Discernment in 1 Samuel</w:t>
      </w:r>
    </w:p>
    <w:p w14:paraId="34ADD5F0" w14:textId="72E68159" w:rsidR="007B7018" w:rsidRPr="00636F71" w:rsidRDefault="007B7018" w:rsidP="00636F71">
      <w:pPr>
        <w:autoSpaceDE w:val="0"/>
        <w:autoSpaceDN w:val="0"/>
        <w:adjustRightInd w:val="0"/>
        <w:spacing w:line="240" w:lineRule="auto"/>
        <w:ind w:firstLine="0"/>
        <w:rPr>
          <w:rFonts w:cstheme="minorHAnsi"/>
          <w:sz w:val="20"/>
          <w:szCs w:val="20"/>
        </w:rPr>
      </w:pPr>
      <w:r w:rsidRPr="00636F71">
        <w:rPr>
          <w:rFonts w:cstheme="minorHAnsi"/>
          <w:sz w:val="20"/>
          <w:szCs w:val="20"/>
        </w:rPr>
        <w:t xml:space="preserve">25," in </w:t>
      </w:r>
      <w:r w:rsidRPr="00636F71">
        <w:rPr>
          <w:rFonts w:cstheme="minorHAnsi"/>
          <w:i/>
          <w:iCs/>
          <w:sz w:val="20"/>
          <w:szCs w:val="20"/>
        </w:rPr>
        <w:t>Feminist Frameworks and The Bible: Power, Ambiguity, and Intersectionality</w:t>
      </w:r>
      <w:r w:rsidRPr="00636F71">
        <w:rPr>
          <w:rFonts w:cstheme="minorHAnsi"/>
          <w:sz w:val="20"/>
          <w:szCs w:val="20"/>
        </w:rPr>
        <w:t>, ed. L. Juliana</w:t>
      </w:r>
      <w:r>
        <w:rPr>
          <w:rFonts w:cstheme="minorHAnsi"/>
          <w:sz w:val="20"/>
          <w:szCs w:val="20"/>
        </w:rPr>
        <w:t xml:space="preserve"> </w:t>
      </w:r>
      <w:r w:rsidRPr="00636F71">
        <w:rPr>
          <w:rFonts w:cstheme="minorHAnsi"/>
          <w:sz w:val="20"/>
          <w:szCs w:val="20"/>
        </w:rPr>
        <w:t>Claassens and Carolyn J. Sharp (London: T &amp; T Clark, 2017), 21–38 (26).</w:t>
      </w:r>
    </w:p>
  </w:footnote>
  <w:footnote w:id="231">
    <w:p w14:paraId="465FA603" w14:textId="467562CE" w:rsidR="007B7018" w:rsidRPr="00B55469" w:rsidRDefault="007B7018">
      <w:pPr>
        <w:pStyle w:val="FootnoteText"/>
      </w:pPr>
      <w:r>
        <w:rPr>
          <w:rStyle w:val="FootnoteReference"/>
        </w:rPr>
        <w:footnoteRef/>
      </w:r>
      <w:r>
        <w:t xml:space="preserve"> See Marjorie O’Rourke Boyle, “The Law of the Heart: The Death of a Fool (1 Sam 25),” </w:t>
      </w:r>
      <w:r>
        <w:rPr>
          <w:i/>
          <w:iCs/>
        </w:rPr>
        <w:t xml:space="preserve">JBL </w:t>
      </w:r>
      <w:r>
        <w:t>120 (2001): 401-27.</w:t>
      </w:r>
    </w:p>
  </w:footnote>
  <w:footnote w:id="232">
    <w:p w14:paraId="18104CAF" w14:textId="77777777" w:rsidR="007B7018" w:rsidRPr="00AB4BF2" w:rsidRDefault="007B7018" w:rsidP="00C80685">
      <w:pPr>
        <w:pStyle w:val="FootnoteText"/>
      </w:pPr>
      <w:r>
        <w:rPr>
          <w:rStyle w:val="FootnoteReference"/>
        </w:rPr>
        <w:footnoteRef/>
      </w:r>
      <w:r>
        <w:t xml:space="preserve"> Edelman, </w:t>
      </w:r>
      <w:r>
        <w:rPr>
          <w:i/>
          <w:iCs/>
        </w:rPr>
        <w:t>King Saul</w:t>
      </w:r>
      <w:r>
        <w:t>, 232.</w:t>
      </w:r>
    </w:p>
  </w:footnote>
  <w:footnote w:id="233">
    <w:p w14:paraId="4936488C" w14:textId="292DBCE8" w:rsidR="007B7018" w:rsidRPr="00FF7F13" w:rsidRDefault="007B7018">
      <w:pPr>
        <w:pStyle w:val="FootnoteText"/>
      </w:pPr>
      <w:r>
        <w:rPr>
          <w:rStyle w:val="FootnoteReference"/>
        </w:rPr>
        <w:footnoteRef/>
      </w:r>
      <w:r>
        <w:t xml:space="preserve"> Murphy, </w:t>
      </w:r>
      <w:r>
        <w:rPr>
          <w:i/>
          <w:iCs/>
        </w:rPr>
        <w:t>1 Samuel</w:t>
      </w:r>
      <w:r>
        <w:t>, 249.</w:t>
      </w:r>
    </w:p>
  </w:footnote>
  <w:footnote w:id="234">
    <w:p w14:paraId="1F36475A" w14:textId="3EBB39A5" w:rsidR="007B7018" w:rsidRDefault="007B7018" w:rsidP="00C867A7">
      <w:pPr>
        <w:pStyle w:val="FootnoteText"/>
      </w:pPr>
      <w:r>
        <w:rPr>
          <w:rStyle w:val="FootnoteReference"/>
        </w:rPr>
        <w:footnoteRef/>
      </w:r>
      <w:r>
        <w:t xml:space="preserve"> Tony W. Cartledge,</w:t>
      </w:r>
      <w:r w:rsidRPr="00BA34A3">
        <w:rPr>
          <w:rFonts w:cs="Calibri"/>
        </w:rPr>
        <w:t xml:space="preserve"> </w:t>
      </w:r>
      <w:r w:rsidRPr="00BA34A3">
        <w:rPr>
          <w:rFonts w:cs="Calibri"/>
          <w:i/>
        </w:rPr>
        <w:t>1 &amp; 2 Samuel</w:t>
      </w:r>
      <w:r w:rsidRPr="00BA34A3">
        <w:rPr>
          <w:rFonts w:cs="Calibri"/>
        </w:rPr>
        <w:t xml:space="preserve"> </w:t>
      </w:r>
      <w:r>
        <w:rPr>
          <w:rFonts w:cs="Calibri"/>
        </w:rPr>
        <w:t>(</w:t>
      </w:r>
      <w:r w:rsidRPr="00BA34A3">
        <w:rPr>
          <w:rFonts w:cs="Calibri"/>
        </w:rPr>
        <w:t>Smyth &amp; Helwys</w:t>
      </w:r>
      <w:r>
        <w:rPr>
          <w:rFonts w:cs="Calibri"/>
        </w:rPr>
        <w:t xml:space="preserve"> Bible Commentary; </w:t>
      </w:r>
      <w:r w:rsidRPr="00BA34A3">
        <w:rPr>
          <w:rFonts w:cs="Calibri"/>
        </w:rPr>
        <w:t>Macon, GA: Smyth &amp; Helwys, 2001</w:t>
      </w:r>
      <w:r>
        <w:rPr>
          <w:rFonts w:cs="Calibri"/>
        </w:rPr>
        <w:t>)</w:t>
      </w:r>
      <w:r>
        <w:t>, 315.</w:t>
      </w:r>
    </w:p>
  </w:footnote>
  <w:footnote w:id="235">
    <w:p w14:paraId="00957288" w14:textId="77777777" w:rsidR="007B7018" w:rsidRDefault="007B7018" w:rsidP="005F081B">
      <w:pPr>
        <w:pStyle w:val="FootnoteText"/>
      </w:pPr>
      <w:r>
        <w:rPr>
          <w:rStyle w:val="FootnoteReference"/>
        </w:rPr>
        <w:footnoteRef/>
      </w:r>
      <w:r>
        <w:t xml:space="preserve"> Alter, </w:t>
      </w:r>
      <w:r w:rsidRPr="00BA34A3">
        <w:rPr>
          <w:rFonts w:cs="Calibri"/>
          <w:i/>
        </w:rPr>
        <w:t>The David Story</w:t>
      </w:r>
      <w:r>
        <w:rPr>
          <w:rFonts w:cs="Calibri"/>
          <w:iCs/>
        </w:rPr>
        <w:t>, 181.</w:t>
      </w:r>
    </w:p>
  </w:footnote>
  <w:footnote w:id="236">
    <w:p w14:paraId="4A230C79" w14:textId="77777777" w:rsidR="007B7018" w:rsidRDefault="007B7018" w:rsidP="000E7A44">
      <w:pPr>
        <w:pStyle w:val="FootnoteText"/>
      </w:pPr>
      <w:r>
        <w:rPr>
          <w:rStyle w:val="FootnoteReference"/>
        </w:rPr>
        <w:footnoteRef/>
      </w:r>
      <w:r>
        <w:t xml:space="preserve"> Paul Borgman, </w:t>
      </w:r>
      <w:r>
        <w:rPr>
          <w:i/>
          <w:iCs/>
        </w:rPr>
        <w:t xml:space="preserve">David, Saul, and God: Rediscovering an Ancient Story </w:t>
      </w:r>
      <w:r>
        <w:t>(New York: Oxford University Press, 2008), 79.</w:t>
      </w:r>
    </w:p>
  </w:footnote>
  <w:footnote w:id="237">
    <w:p w14:paraId="4ECEEEA3" w14:textId="6110DBD4" w:rsidR="007B7018" w:rsidRPr="00746E33" w:rsidRDefault="007B7018" w:rsidP="00534622">
      <w:pPr>
        <w:pStyle w:val="FootnoteText"/>
      </w:pPr>
      <w:r>
        <w:rPr>
          <w:rStyle w:val="FootnoteReference"/>
        </w:rPr>
        <w:footnoteRef/>
      </w:r>
      <w:r>
        <w:t xml:space="preserve"> P. Kyle McCarter,</w:t>
      </w:r>
      <w:r w:rsidRPr="00222246">
        <w:t xml:space="preserve"> </w:t>
      </w:r>
      <w:r>
        <w:rPr>
          <w:i/>
          <w:iCs/>
        </w:rPr>
        <w:t>I</w:t>
      </w:r>
      <w:r w:rsidRPr="00222246">
        <w:rPr>
          <w:i/>
          <w:iCs/>
        </w:rPr>
        <w:t xml:space="preserve"> Samuel</w:t>
      </w:r>
      <w:r>
        <w:t xml:space="preserve">, </w:t>
      </w:r>
      <w:r w:rsidRPr="00222246">
        <w:t>A</w:t>
      </w:r>
      <w:r>
        <w:t>B</w:t>
      </w:r>
      <w:r w:rsidRPr="00222246">
        <w:t xml:space="preserve"> </w:t>
      </w:r>
      <w:r>
        <w:t>8</w:t>
      </w:r>
      <w:r w:rsidRPr="00222246">
        <w:t xml:space="preserve"> </w:t>
      </w:r>
      <w:r>
        <w:t>(Garden City, NY</w:t>
      </w:r>
      <w:r w:rsidRPr="00222246">
        <w:t>: Doubleday, 1980</w:t>
      </w:r>
      <w:r>
        <w:t>), 365.</w:t>
      </w:r>
    </w:p>
  </w:footnote>
  <w:footnote w:id="238">
    <w:p w14:paraId="2668E275" w14:textId="6C623DAE" w:rsidR="007B7018" w:rsidRPr="0033778B" w:rsidRDefault="007B7018">
      <w:pPr>
        <w:pStyle w:val="FootnoteText"/>
      </w:pPr>
      <w:r>
        <w:rPr>
          <w:rStyle w:val="FootnoteReference"/>
        </w:rPr>
        <w:footnoteRef/>
      </w:r>
      <w:r>
        <w:t xml:space="preserve"> McCarter, </w:t>
      </w:r>
      <w:r>
        <w:rPr>
          <w:i/>
          <w:iCs/>
        </w:rPr>
        <w:t>I Samuel</w:t>
      </w:r>
      <w:r>
        <w:t>, 367.</w:t>
      </w:r>
    </w:p>
  </w:footnote>
  <w:footnote w:id="239">
    <w:p w14:paraId="34BD377F" w14:textId="30D8896A" w:rsidR="007B7018" w:rsidRPr="002E4085" w:rsidRDefault="007B7018">
      <w:pPr>
        <w:pStyle w:val="FootnoteText"/>
      </w:pPr>
      <w:r>
        <w:rPr>
          <w:rStyle w:val="FootnoteReference"/>
        </w:rPr>
        <w:footnoteRef/>
      </w:r>
      <w:r>
        <w:t xml:space="preserve"> Murphy, </w:t>
      </w:r>
      <w:r>
        <w:rPr>
          <w:i/>
          <w:iCs/>
        </w:rPr>
        <w:t>1 Samuel</w:t>
      </w:r>
      <w:r>
        <w:t>, 247.</w:t>
      </w:r>
    </w:p>
  </w:footnote>
  <w:footnote w:id="240">
    <w:p w14:paraId="7DE546D3" w14:textId="1F66F0A5" w:rsidR="007B7018" w:rsidRDefault="007B7018">
      <w:pPr>
        <w:pStyle w:val="FootnoteText"/>
      </w:pPr>
      <w:r>
        <w:rPr>
          <w:rStyle w:val="FootnoteReference"/>
        </w:rPr>
        <w:footnoteRef/>
      </w:r>
      <w:r>
        <w:t xml:space="preserve"> In a chapter titled “To Every Bad There Is a Worse,” Sarah Nicholson argues that when Samuel has two accounts of something, regularly the second is tougher on Saul: see </w:t>
      </w:r>
      <w:r>
        <w:rPr>
          <w:i/>
          <w:iCs/>
        </w:rPr>
        <w:t xml:space="preserve">The Three Faces of Saul: An Intertextual Approach to Biblical Tragedy </w:t>
      </w:r>
      <w:r>
        <w:t>(JSOTSup 339; London: Sheffield Academic, 2002), 53-74.</w:t>
      </w:r>
    </w:p>
  </w:footnote>
  <w:footnote w:id="241">
    <w:p w14:paraId="75450D81" w14:textId="77777777" w:rsidR="007B7018" w:rsidRPr="0091236A" w:rsidRDefault="007B7018" w:rsidP="00CB4693">
      <w:pPr>
        <w:autoSpaceDE w:val="0"/>
        <w:autoSpaceDN w:val="0"/>
        <w:adjustRightInd w:val="0"/>
        <w:spacing w:line="240" w:lineRule="auto"/>
        <w:rPr>
          <w:rFonts w:ascii="TimesNewRomanPSMT" w:hAnsi="TimesNewRomanPSMT" w:cs="TimesNewRomanPSMT"/>
          <w:lang w:bidi="he-IL"/>
        </w:rPr>
      </w:pPr>
      <w:r>
        <w:rPr>
          <w:rStyle w:val="FootnoteReference"/>
        </w:rPr>
        <w:footnoteRef/>
      </w:r>
      <w:r>
        <w:t xml:space="preserve"> </w:t>
      </w:r>
      <w:r w:rsidRPr="0091236A">
        <w:rPr>
          <w:rFonts w:ascii="Calibri" w:hAnsi="Calibri" w:cs="Calibri"/>
          <w:sz w:val="20"/>
          <w:szCs w:val="20"/>
        </w:rPr>
        <w:t xml:space="preserve">Ellen van Wolde, </w:t>
      </w:r>
      <w:r>
        <w:rPr>
          <w:rFonts w:ascii="Calibri" w:hAnsi="Calibri" w:cs="Calibri"/>
          <w:sz w:val="20"/>
          <w:szCs w:val="20"/>
        </w:rPr>
        <w:t>“</w:t>
      </w:r>
      <w:r w:rsidRPr="0091236A">
        <w:rPr>
          <w:rFonts w:ascii="Calibri" w:hAnsi="Calibri" w:cs="Calibri"/>
          <w:sz w:val="20"/>
          <w:szCs w:val="20"/>
          <w:lang w:bidi="he-IL"/>
        </w:rPr>
        <w:t xml:space="preserve">A Leader Led by a Lady: David and Abigail in I Samuel 25,” </w:t>
      </w:r>
      <w:r>
        <w:rPr>
          <w:rFonts w:ascii="Calibri" w:hAnsi="Calibri" w:cs="Calibri"/>
          <w:i/>
          <w:iCs/>
          <w:sz w:val="20"/>
          <w:szCs w:val="20"/>
          <w:lang w:bidi="he-IL"/>
        </w:rPr>
        <w:t xml:space="preserve">ZAW </w:t>
      </w:r>
      <w:r>
        <w:rPr>
          <w:rFonts w:ascii="Calibri" w:hAnsi="Calibri" w:cs="Calibri"/>
          <w:sz w:val="20"/>
          <w:szCs w:val="20"/>
          <w:lang w:bidi="he-IL"/>
        </w:rPr>
        <w:t xml:space="preserve">114 (2002): 355-75 </w:t>
      </w:r>
      <w:r w:rsidRPr="0091236A">
        <w:rPr>
          <w:rFonts w:ascii="Calibri" w:hAnsi="Calibri" w:cs="Calibri"/>
          <w:sz w:val="20"/>
          <w:szCs w:val="20"/>
          <w:lang w:bidi="he-IL"/>
        </w:rPr>
        <w:t>(</w:t>
      </w:r>
      <w:r w:rsidRPr="0091236A">
        <w:rPr>
          <w:rFonts w:ascii="Calibri" w:hAnsi="Calibri" w:cs="Calibri"/>
          <w:sz w:val="20"/>
          <w:szCs w:val="20"/>
        </w:rPr>
        <w:t>367-72).</w:t>
      </w:r>
    </w:p>
  </w:footnote>
  <w:footnote w:id="242">
    <w:p w14:paraId="7523FB7B" w14:textId="77777777" w:rsidR="007B7018" w:rsidRDefault="007B7018" w:rsidP="00CB4693">
      <w:pPr>
        <w:pStyle w:val="FootnoteText"/>
      </w:pPr>
      <w:r>
        <w:rPr>
          <w:rStyle w:val="FootnoteReference"/>
        </w:rPr>
        <w:footnoteRef/>
      </w:r>
      <w:r>
        <w:t xml:space="preserve"> </w:t>
      </w:r>
      <w:r w:rsidRPr="00AB6524">
        <w:rPr>
          <w:rFonts w:eastAsia="Times New Roman" w:cs="Calibri"/>
        </w:rPr>
        <w:t xml:space="preserve">Johanna W. H. van </w:t>
      </w:r>
      <w:r w:rsidRPr="00AB6524">
        <w:t xml:space="preserve">Wijk-bos, </w:t>
      </w:r>
      <w:r w:rsidRPr="00AB6524">
        <w:rPr>
          <w:rFonts w:eastAsia="Times New Roman" w:cs="Calibri"/>
          <w:i/>
          <w:iCs/>
        </w:rPr>
        <w:t>A People and a Land 2: The Road to Kingship</w:t>
      </w:r>
      <w:r w:rsidRPr="00AB6524">
        <w:rPr>
          <w:rFonts w:eastAsia="Times New Roman" w:cs="Calibri"/>
        </w:rPr>
        <w:t xml:space="preserve"> (Grand Rapids: Eerdmans, 2020)</w:t>
      </w:r>
      <w:r>
        <w:rPr>
          <w:rFonts w:eastAsia="Times New Roman" w:cs="Calibri"/>
          <w:color w:val="3A3A3A"/>
        </w:rPr>
        <w:t>, on the passage.</w:t>
      </w:r>
    </w:p>
  </w:footnote>
  <w:footnote w:id="243">
    <w:p w14:paraId="00739400" w14:textId="47E9DA24" w:rsidR="007B7018" w:rsidRPr="00F40083" w:rsidRDefault="007B7018" w:rsidP="00CB4693">
      <w:pPr>
        <w:pStyle w:val="FootnoteText"/>
        <w:rPr>
          <w:iCs/>
        </w:rPr>
      </w:pPr>
      <w:r>
        <w:rPr>
          <w:rStyle w:val="FootnoteReference"/>
        </w:rPr>
        <w:footnoteRef/>
      </w:r>
      <w:r>
        <w:t xml:space="preserve"> Philip F. Esler, </w:t>
      </w:r>
      <w:r>
        <w:rPr>
          <w:rFonts w:ascii="Calibri" w:hAnsi="Calibri" w:cs="Calibri"/>
        </w:rPr>
        <w:t xml:space="preserve">“Abigail: A Woman of Wisdom and Decisive Action,” in </w:t>
      </w:r>
      <w:r>
        <w:t xml:space="preserve">Keith </w:t>
      </w:r>
      <w:r w:rsidRPr="00BA34A3">
        <w:rPr>
          <w:rFonts w:cs="Calibri"/>
        </w:rPr>
        <w:t>Bodner and Benjamin J. M. Johnson, ed.</w:t>
      </w:r>
      <w:r>
        <w:rPr>
          <w:rFonts w:cs="Calibri"/>
        </w:rPr>
        <w:t>,</w:t>
      </w:r>
      <w:r w:rsidRPr="00BA34A3">
        <w:rPr>
          <w:rFonts w:cs="Calibri"/>
        </w:rPr>
        <w:t xml:space="preserve"> </w:t>
      </w:r>
      <w:r w:rsidRPr="00BA34A3">
        <w:rPr>
          <w:rFonts w:cs="Calibri"/>
          <w:i/>
        </w:rPr>
        <w:t>Characters and Characterization in the Book of Samuel</w:t>
      </w:r>
      <w:r>
        <w:rPr>
          <w:rFonts w:cs="Calibri"/>
        </w:rPr>
        <w:t>, LHBOTS 669 (</w:t>
      </w:r>
      <w:r w:rsidRPr="00BA34A3">
        <w:rPr>
          <w:rFonts w:cs="Calibri"/>
        </w:rPr>
        <w:t xml:space="preserve">London: </w:t>
      </w:r>
      <w:r>
        <w:rPr>
          <w:rFonts w:cs="Calibri"/>
        </w:rPr>
        <w:t xml:space="preserve">T &amp; T </w:t>
      </w:r>
      <w:r w:rsidRPr="00BA34A3">
        <w:rPr>
          <w:rFonts w:cs="Calibri"/>
        </w:rPr>
        <w:t>Clark, 2020</w:t>
      </w:r>
      <w:r>
        <w:rPr>
          <w:rFonts w:cs="Calibri"/>
        </w:rPr>
        <w:t>)</w:t>
      </w:r>
      <w:r>
        <w:rPr>
          <w:rFonts w:cs="Calibri"/>
          <w:iCs/>
        </w:rPr>
        <w:t>, 167-82.</w:t>
      </w:r>
    </w:p>
  </w:footnote>
  <w:footnote w:id="244">
    <w:p w14:paraId="6D017048" w14:textId="77777777" w:rsidR="007B7018" w:rsidRPr="00582289" w:rsidRDefault="007B7018" w:rsidP="00CB4693">
      <w:pPr>
        <w:pStyle w:val="FootnoteText"/>
      </w:pPr>
      <w:r>
        <w:rPr>
          <w:rStyle w:val="FootnoteReference"/>
        </w:rPr>
        <w:footnoteRef/>
      </w:r>
      <w:r>
        <w:t xml:space="preserve"> McCarter, </w:t>
      </w:r>
      <w:r>
        <w:rPr>
          <w:i/>
          <w:iCs/>
        </w:rPr>
        <w:t>I Samuel</w:t>
      </w:r>
      <w:r>
        <w:t xml:space="preserve">, 401. </w:t>
      </w:r>
    </w:p>
  </w:footnote>
  <w:footnote w:id="245">
    <w:p w14:paraId="33C04F62" w14:textId="50244F10" w:rsidR="007B7018" w:rsidRPr="00BA791F" w:rsidRDefault="007B7018" w:rsidP="00CB4693">
      <w:pPr>
        <w:pStyle w:val="FootnoteText"/>
        <w:rPr>
          <w:iCs/>
        </w:rPr>
      </w:pPr>
      <w:r>
        <w:rPr>
          <w:rStyle w:val="FootnoteReference"/>
        </w:rPr>
        <w:footnoteRef/>
      </w:r>
      <w:r>
        <w:t xml:space="preserve"> Cf. Robert Polzin, </w:t>
      </w:r>
      <w:r w:rsidRPr="00BA34A3">
        <w:rPr>
          <w:rFonts w:cs="Calibri"/>
          <w:i/>
        </w:rPr>
        <w:t>Samuel and the Deuteronomist: A Literary Study of the Deuteronomic History</w:t>
      </w:r>
      <w:r>
        <w:rPr>
          <w:rFonts w:cs="Calibri"/>
          <w:i/>
        </w:rPr>
        <w:t>. Part Two: 1 Samuel</w:t>
      </w:r>
      <w:r w:rsidRPr="00BA34A3">
        <w:rPr>
          <w:rFonts w:cs="Calibri"/>
        </w:rPr>
        <w:t xml:space="preserve"> </w:t>
      </w:r>
      <w:r>
        <w:rPr>
          <w:rFonts w:cs="Calibri"/>
        </w:rPr>
        <w:t xml:space="preserve">(reprinted </w:t>
      </w:r>
      <w:r w:rsidRPr="00BA34A3">
        <w:rPr>
          <w:rFonts w:cs="Calibri"/>
        </w:rPr>
        <w:t>Bloomington: Indiana University Press, 1993</w:t>
      </w:r>
      <w:r>
        <w:t>)</w:t>
      </w:r>
      <w:r>
        <w:rPr>
          <w:rFonts w:cs="Calibri"/>
          <w:iCs/>
        </w:rPr>
        <w:t>, 208.</w:t>
      </w:r>
    </w:p>
  </w:footnote>
  <w:footnote w:id="246">
    <w:p w14:paraId="76462227" w14:textId="77777777" w:rsidR="007B7018" w:rsidRDefault="007B7018" w:rsidP="00DF2B24">
      <w:pPr>
        <w:pStyle w:val="FootnoteText"/>
      </w:pPr>
      <w:r>
        <w:rPr>
          <w:rStyle w:val="FootnoteReference"/>
        </w:rPr>
        <w:footnoteRef/>
      </w:r>
      <w:r>
        <w:t xml:space="preserve"> Peter D. Miscall, </w:t>
      </w:r>
      <w:r>
        <w:rPr>
          <w:rFonts w:cs="Calibri"/>
          <w:i/>
          <w:iCs/>
        </w:rPr>
        <w:t>The Workings of Old Testament Narrative</w:t>
      </w:r>
      <w:r>
        <w:rPr>
          <w:rFonts w:cs="Calibri"/>
        </w:rPr>
        <w:t xml:space="preserve"> (Semeia Studies; Chico, CA: Scholars, 1983</w:t>
      </w:r>
      <w:r>
        <w:t>), 99.</w:t>
      </w:r>
    </w:p>
  </w:footnote>
  <w:footnote w:id="247">
    <w:p w14:paraId="24D70467" w14:textId="64CBA06B" w:rsidR="007B7018" w:rsidRPr="00A81381" w:rsidRDefault="007B7018" w:rsidP="003008DE">
      <w:pPr>
        <w:pStyle w:val="FootnoteText"/>
      </w:pPr>
      <w:r>
        <w:rPr>
          <w:rStyle w:val="FootnoteReference"/>
        </w:rPr>
        <w:footnoteRef/>
      </w:r>
      <w:r>
        <w:t xml:space="preserve"> </w:t>
      </w:r>
      <w:r w:rsidRPr="00BA34A3">
        <w:rPr>
          <w:rFonts w:cs="Calibri"/>
        </w:rPr>
        <w:t xml:space="preserve">Antony F. Campbell, </w:t>
      </w:r>
      <w:r w:rsidRPr="00BA34A3">
        <w:rPr>
          <w:rFonts w:cs="Calibri"/>
          <w:i/>
        </w:rPr>
        <w:t>1 Samuel</w:t>
      </w:r>
      <w:r>
        <w:rPr>
          <w:rFonts w:cs="Calibri"/>
        </w:rPr>
        <w:t xml:space="preserve">, </w:t>
      </w:r>
      <w:r w:rsidRPr="00BA34A3">
        <w:rPr>
          <w:rFonts w:cs="Calibri"/>
        </w:rPr>
        <w:t xml:space="preserve">FOTL </w:t>
      </w:r>
      <w:r>
        <w:rPr>
          <w:rFonts w:cs="Calibri"/>
        </w:rPr>
        <w:t>7</w:t>
      </w:r>
      <w:r w:rsidRPr="00BA34A3">
        <w:rPr>
          <w:rFonts w:cs="Calibri"/>
        </w:rPr>
        <w:t xml:space="preserve"> </w:t>
      </w:r>
      <w:r>
        <w:rPr>
          <w:rFonts w:cs="Calibri"/>
        </w:rPr>
        <w:t>(</w:t>
      </w:r>
      <w:r w:rsidRPr="00BA34A3">
        <w:rPr>
          <w:rFonts w:cs="Calibri"/>
        </w:rPr>
        <w:t>Grand Rapids: Eerdmans, 2003</w:t>
      </w:r>
      <w:r>
        <w:rPr>
          <w:rFonts w:cs="Calibri"/>
        </w:rPr>
        <w:t>)</w:t>
      </w:r>
      <w:r>
        <w:t>, 221.</w:t>
      </w:r>
    </w:p>
  </w:footnote>
  <w:footnote w:id="248">
    <w:p w14:paraId="73169BB1" w14:textId="77777777" w:rsidR="007B7018" w:rsidRPr="0032426E" w:rsidRDefault="007B7018" w:rsidP="00413D7A">
      <w:pPr>
        <w:pStyle w:val="FootnoteText"/>
      </w:pPr>
      <w:r>
        <w:rPr>
          <w:rStyle w:val="FootnoteReference"/>
        </w:rPr>
        <w:footnoteRef/>
      </w:r>
      <w:r>
        <w:t xml:space="preserve"> Murphy, </w:t>
      </w:r>
      <w:r>
        <w:rPr>
          <w:i/>
          <w:iCs/>
        </w:rPr>
        <w:t>1 Samuel</w:t>
      </w:r>
      <w:r>
        <w:t>, 209.</w:t>
      </w:r>
    </w:p>
  </w:footnote>
  <w:footnote w:id="249">
    <w:p w14:paraId="0E2F8255" w14:textId="098DBF87" w:rsidR="007B7018" w:rsidRPr="002E5351" w:rsidRDefault="007B7018" w:rsidP="00D52FCF">
      <w:pPr>
        <w:pStyle w:val="FootnoteText"/>
      </w:pPr>
      <w:r>
        <w:rPr>
          <w:rStyle w:val="FootnoteReference"/>
        </w:rPr>
        <w:footnoteRef/>
      </w:r>
      <w:r>
        <w:t xml:space="preserve"> Walter Brueggemann, </w:t>
      </w:r>
      <w:r>
        <w:rPr>
          <w:i/>
          <w:iCs/>
        </w:rPr>
        <w:t>First and Second Samuel</w:t>
      </w:r>
      <w:r>
        <w:t xml:space="preserve">, </w:t>
      </w:r>
      <w:r w:rsidRPr="00BA34A3">
        <w:rPr>
          <w:rFonts w:cs="Calibri"/>
        </w:rPr>
        <w:t>Interpretation</w:t>
      </w:r>
      <w:r>
        <w:rPr>
          <w:rFonts w:cs="Calibri"/>
        </w:rPr>
        <w:t>: A Bible Commentary for Teaching and Preaching</w:t>
      </w:r>
      <w:r w:rsidRPr="00BA34A3">
        <w:rPr>
          <w:rFonts w:cs="Calibri"/>
        </w:rPr>
        <w:t xml:space="preserve"> </w:t>
      </w:r>
      <w:r>
        <w:rPr>
          <w:rFonts w:cs="Calibri"/>
        </w:rPr>
        <w:t>(</w:t>
      </w:r>
      <w:r w:rsidRPr="00BA34A3">
        <w:rPr>
          <w:rFonts w:cs="Calibri"/>
        </w:rPr>
        <w:t>Louisville: John Knox, 1990</w:t>
      </w:r>
      <w:r>
        <w:rPr>
          <w:rFonts w:cs="Calibri"/>
        </w:rPr>
        <w:t>)</w:t>
      </w:r>
      <w:r>
        <w:t>, 163.</w:t>
      </w:r>
    </w:p>
  </w:footnote>
  <w:footnote w:id="250">
    <w:p w14:paraId="76484CA9" w14:textId="24373DB3" w:rsidR="007B7018" w:rsidRDefault="007B7018" w:rsidP="00245ED7">
      <w:pPr>
        <w:pStyle w:val="FootnoteText"/>
      </w:pPr>
      <w:r>
        <w:rPr>
          <w:rStyle w:val="FootnoteReference"/>
        </w:rPr>
        <w:footnoteRef/>
      </w:r>
      <w:r>
        <w:t xml:space="preserve"> Walter Brueggemann, “</w:t>
      </w:r>
      <w:r w:rsidRPr="00410D4A">
        <w:rPr>
          <w:rFonts w:cstheme="minorHAnsi"/>
        </w:rPr>
        <w:t>Narrative Coherence and Theological Intentionality in 1 Samuel 18</w:t>
      </w:r>
      <w:r>
        <w:rPr>
          <w:rFonts w:cstheme="minorHAnsi"/>
        </w:rPr>
        <w:t xml:space="preserve">,” </w:t>
      </w:r>
      <w:r>
        <w:rPr>
          <w:rFonts w:cstheme="minorHAnsi"/>
          <w:i/>
          <w:iCs/>
        </w:rPr>
        <w:t xml:space="preserve">CBQ </w:t>
      </w:r>
      <w:r>
        <w:rPr>
          <w:rFonts w:cstheme="minorHAnsi"/>
        </w:rPr>
        <w:t>55 (1993): 225-43 (239).</w:t>
      </w:r>
    </w:p>
  </w:footnote>
  <w:footnote w:id="251">
    <w:p w14:paraId="415A8C72" w14:textId="33496018" w:rsidR="007B7018" w:rsidRPr="00B20199" w:rsidRDefault="007B7018" w:rsidP="00B20199">
      <w:pPr>
        <w:pStyle w:val="FootnoteText"/>
      </w:pPr>
      <w:r>
        <w:rPr>
          <w:rStyle w:val="FootnoteReference"/>
        </w:rPr>
        <w:footnoteRef/>
      </w:r>
      <w:r>
        <w:t xml:space="preserve"> Barbara Green, “</w:t>
      </w:r>
      <w:r w:rsidRPr="00B20199">
        <w:rPr>
          <w:rFonts w:cstheme="minorHAnsi"/>
        </w:rPr>
        <w:t xml:space="preserve">Enacting Imaginatively </w:t>
      </w:r>
      <w:r>
        <w:rPr>
          <w:rFonts w:cstheme="minorHAnsi"/>
        </w:rPr>
        <w:t>t</w:t>
      </w:r>
      <w:r w:rsidRPr="00B20199">
        <w:rPr>
          <w:rFonts w:cstheme="minorHAnsi"/>
        </w:rPr>
        <w:t xml:space="preserve">he Unthinkable: 1 Samuel 25 </w:t>
      </w:r>
      <w:r>
        <w:rPr>
          <w:rFonts w:cstheme="minorHAnsi"/>
        </w:rPr>
        <w:t>a</w:t>
      </w:r>
      <w:r w:rsidRPr="00B20199">
        <w:rPr>
          <w:rFonts w:cstheme="minorHAnsi"/>
        </w:rPr>
        <w:t xml:space="preserve">nd </w:t>
      </w:r>
      <w:r>
        <w:rPr>
          <w:rFonts w:cstheme="minorHAnsi"/>
        </w:rPr>
        <w:t>t</w:t>
      </w:r>
      <w:r w:rsidRPr="00B20199">
        <w:rPr>
          <w:rFonts w:cstheme="minorHAnsi"/>
        </w:rPr>
        <w:t xml:space="preserve">he Story </w:t>
      </w:r>
      <w:r>
        <w:rPr>
          <w:rFonts w:cstheme="minorHAnsi"/>
        </w:rPr>
        <w:t>o</w:t>
      </w:r>
      <w:r w:rsidRPr="00B20199">
        <w:rPr>
          <w:rFonts w:cstheme="minorHAnsi"/>
        </w:rPr>
        <w:t>f Saul</w:t>
      </w:r>
      <w:r>
        <w:rPr>
          <w:rFonts w:cstheme="minorHAnsi"/>
        </w:rPr>
        <w:t xml:space="preserve">,” </w:t>
      </w:r>
      <w:r>
        <w:rPr>
          <w:rFonts w:cstheme="minorHAnsi"/>
          <w:i/>
          <w:iCs/>
        </w:rPr>
        <w:t xml:space="preserve">BibInt </w:t>
      </w:r>
      <w:r>
        <w:rPr>
          <w:rFonts w:cstheme="minorHAnsi"/>
        </w:rPr>
        <w:t>11 (2003): 1-23</w:t>
      </w:r>
      <w:r w:rsidRPr="00B20199">
        <w:rPr>
          <w:rFonts w:cstheme="minorHAnsi"/>
        </w:rPr>
        <w:t xml:space="preserve"> </w:t>
      </w:r>
      <w:r>
        <w:rPr>
          <w:rFonts w:cstheme="minorHAnsi"/>
        </w:rPr>
        <w:t>(</w:t>
      </w:r>
      <w:r w:rsidRPr="00B20199">
        <w:rPr>
          <w:rFonts w:cstheme="minorHAnsi"/>
        </w:rPr>
        <w:t>3</w:t>
      </w:r>
      <w:r>
        <w:rPr>
          <w:rFonts w:cstheme="minorHAnsi"/>
        </w:rPr>
        <w:t>).</w:t>
      </w:r>
    </w:p>
  </w:footnote>
  <w:footnote w:id="252">
    <w:p w14:paraId="4CB8C4EC" w14:textId="6D83CD8A" w:rsidR="007B7018" w:rsidRPr="00F140F4" w:rsidRDefault="007B7018" w:rsidP="00E35161">
      <w:pPr>
        <w:pStyle w:val="FootnoteText"/>
      </w:pPr>
      <w:r>
        <w:rPr>
          <w:rStyle w:val="FootnoteReference"/>
        </w:rPr>
        <w:footnoteRef/>
      </w:r>
      <w:r>
        <w:t xml:space="preserve"> Miscall, </w:t>
      </w:r>
      <w:r>
        <w:rPr>
          <w:i/>
          <w:iCs/>
        </w:rPr>
        <w:t>1 Samuel</w:t>
      </w:r>
      <w:r>
        <w:t>, 129, 123.</w:t>
      </w:r>
    </w:p>
  </w:footnote>
  <w:footnote w:id="253">
    <w:p w14:paraId="63601168" w14:textId="78324372" w:rsidR="007B7018" w:rsidRPr="00D37CB6" w:rsidRDefault="007B7018" w:rsidP="001F1297">
      <w:pPr>
        <w:pStyle w:val="FootnoteText"/>
        <w:rPr>
          <w:iCs/>
        </w:rPr>
      </w:pPr>
      <w:r>
        <w:rPr>
          <w:rStyle w:val="FootnoteReference"/>
        </w:rPr>
        <w:footnoteRef/>
      </w:r>
      <w:r>
        <w:t xml:space="preserve"> Polzin, </w:t>
      </w:r>
      <w:r w:rsidRPr="00BA34A3">
        <w:rPr>
          <w:rFonts w:cs="Calibri"/>
          <w:i/>
        </w:rPr>
        <w:t>Samuel</w:t>
      </w:r>
      <w:r>
        <w:rPr>
          <w:rFonts w:cs="Calibri"/>
          <w:iCs/>
        </w:rPr>
        <w:t>, 212-13, 214.</w:t>
      </w:r>
    </w:p>
  </w:footnote>
  <w:footnote w:id="254">
    <w:p w14:paraId="392EA8D8" w14:textId="52EFD5DA" w:rsidR="007B7018" w:rsidRDefault="007B7018" w:rsidP="00B92B62">
      <w:pPr>
        <w:pStyle w:val="FootnoteText"/>
      </w:pPr>
      <w:r>
        <w:rPr>
          <w:rStyle w:val="FootnoteReference"/>
        </w:rPr>
        <w:footnoteRef/>
      </w:r>
      <w:r>
        <w:t xml:space="preserve"> Cf. David G. Firth, </w:t>
      </w:r>
      <w:r>
        <w:rPr>
          <w:rFonts w:cstheme="minorHAnsi"/>
          <w:i/>
          <w:iCs/>
        </w:rPr>
        <w:t>1 &amp; 2 Samuel</w:t>
      </w:r>
      <w:r>
        <w:rPr>
          <w:rFonts w:cstheme="minorHAnsi"/>
        </w:rPr>
        <w:t>, Apollos Old Testament Commentary 8 (Nottingham: Apollos, 2009), 283.</w:t>
      </w:r>
    </w:p>
  </w:footnote>
  <w:footnote w:id="255">
    <w:p w14:paraId="57850E9D" w14:textId="77777777" w:rsidR="007B7018" w:rsidRDefault="007B7018" w:rsidP="00867CE6">
      <w:pPr>
        <w:pStyle w:val="FootnoteText"/>
      </w:pPr>
      <w:r>
        <w:rPr>
          <w:rStyle w:val="FootnoteReference"/>
        </w:rPr>
        <w:footnoteRef/>
      </w:r>
      <w:r>
        <w:t xml:space="preserve"> Green, </w:t>
      </w:r>
      <w:r>
        <w:rPr>
          <w:rFonts w:cs="Calibri"/>
          <w:i/>
          <w:iCs/>
        </w:rPr>
        <w:t>How Are the Mighty Fallen</w:t>
      </w:r>
      <w:r>
        <w:rPr>
          <w:rFonts w:cs="Calibri"/>
        </w:rPr>
        <w:t>, 55.</w:t>
      </w:r>
    </w:p>
  </w:footnote>
  <w:footnote w:id="256">
    <w:p w14:paraId="268E75D4" w14:textId="77777777" w:rsidR="007B7018" w:rsidRDefault="007B7018" w:rsidP="00867CE6">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i/>
          <w:iCs/>
        </w:rPr>
        <w:t xml:space="preserve"> </w:t>
      </w:r>
      <w:r>
        <w:rPr>
          <w:rFonts w:cs="Calibri"/>
        </w:rPr>
        <w:t>2:17.</w:t>
      </w:r>
    </w:p>
  </w:footnote>
  <w:footnote w:id="257">
    <w:p w14:paraId="424B02DC" w14:textId="77777777" w:rsidR="007B7018" w:rsidRPr="002001C0" w:rsidRDefault="007B7018" w:rsidP="00867CE6">
      <w:pPr>
        <w:autoSpaceDE w:val="0"/>
        <w:autoSpaceDN w:val="0"/>
        <w:adjustRightInd w:val="0"/>
        <w:spacing w:line="240" w:lineRule="auto"/>
        <w:rPr>
          <w:rFonts w:cstheme="minorHAnsi"/>
          <w:sz w:val="20"/>
          <w:szCs w:val="20"/>
        </w:rPr>
      </w:pPr>
      <w:r>
        <w:rPr>
          <w:rStyle w:val="FootnoteReference"/>
        </w:rPr>
        <w:footnoteRef/>
      </w:r>
      <w:r>
        <w:t xml:space="preserve"> </w:t>
      </w:r>
      <w:r w:rsidRPr="004B0808">
        <w:rPr>
          <w:rFonts w:ascii="Calibri" w:hAnsi="Calibri" w:cs="Calibri"/>
          <w:color w:val="080808"/>
          <w:sz w:val="20"/>
          <w:szCs w:val="20"/>
        </w:rPr>
        <w:t>Marcel V. Măcelaru</w:t>
      </w:r>
      <w:r>
        <w:rPr>
          <w:rFonts w:ascii="Calibri" w:hAnsi="Calibri" w:cs="Calibri"/>
          <w:color w:val="080808"/>
          <w:sz w:val="20"/>
          <w:szCs w:val="20"/>
        </w:rPr>
        <w:t>,</w:t>
      </w:r>
      <w:r>
        <w:t xml:space="preserve"> “</w:t>
      </w:r>
      <w:r w:rsidRPr="004B0808">
        <w:rPr>
          <w:rFonts w:asciiTheme="majorHAnsi" w:hAnsiTheme="majorHAnsi" w:cstheme="majorHAnsi"/>
          <w:color w:val="080808"/>
          <w:sz w:val="20"/>
          <w:szCs w:val="20"/>
        </w:rPr>
        <w:t xml:space="preserve">Saul </w:t>
      </w:r>
      <w:r>
        <w:rPr>
          <w:rFonts w:asciiTheme="majorHAnsi" w:hAnsiTheme="majorHAnsi" w:cstheme="majorHAnsi"/>
          <w:color w:val="080808"/>
          <w:sz w:val="20"/>
          <w:szCs w:val="20"/>
        </w:rPr>
        <w:t>i</w:t>
      </w:r>
      <w:r w:rsidRPr="004B0808">
        <w:rPr>
          <w:rFonts w:asciiTheme="majorHAnsi" w:hAnsiTheme="majorHAnsi" w:cstheme="majorHAnsi"/>
          <w:color w:val="080808"/>
          <w:sz w:val="20"/>
          <w:szCs w:val="20"/>
        </w:rPr>
        <w:t xml:space="preserve">n </w:t>
      </w:r>
      <w:r>
        <w:rPr>
          <w:rFonts w:asciiTheme="majorHAnsi" w:hAnsiTheme="majorHAnsi" w:cstheme="majorHAnsi"/>
          <w:color w:val="080808"/>
          <w:sz w:val="20"/>
          <w:szCs w:val="20"/>
        </w:rPr>
        <w:t>t</w:t>
      </w:r>
      <w:r w:rsidRPr="004B0808">
        <w:rPr>
          <w:rFonts w:asciiTheme="majorHAnsi" w:hAnsiTheme="majorHAnsi" w:cstheme="majorHAnsi"/>
          <w:color w:val="080808"/>
          <w:sz w:val="20"/>
          <w:szCs w:val="20"/>
        </w:rPr>
        <w:t xml:space="preserve">he Company </w:t>
      </w:r>
      <w:r>
        <w:rPr>
          <w:rFonts w:asciiTheme="majorHAnsi" w:hAnsiTheme="majorHAnsi" w:cstheme="majorHAnsi"/>
          <w:color w:val="080808"/>
          <w:sz w:val="20"/>
          <w:szCs w:val="20"/>
        </w:rPr>
        <w:t>o</w:t>
      </w:r>
      <w:r w:rsidRPr="004B0808">
        <w:rPr>
          <w:rFonts w:asciiTheme="majorHAnsi" w:hAnsiTheme="majorHAnsi" w:cstheme="majorHAnsi"/>
          <w:color w:val="080808"/>
          <w:sz w:val="20"/>
          <w:szCs w:val="20"/>
        </w:rPr>
        <w:t>f Men:</w:t>
      </w:r>
      <w:r>
        <w:t xml:space="preserve"> </w:t>
      </w:r>
      <w:r w:rsidRPr="004B0808">
        <w:rPr>
          <w:rFonts w:asciiTheme="majorHAnsi" w:hAnsiTheme="majorHAnsi" w:cstheme="majorHAnsi"/>
          <w:color w:val="080808"/>
          <w:sz w:val="20"/>
          <w:szCs w:val="20"/>
        </w:rPr>
        <w:t>(De)Constructing Masculinity In 1 Samuel 9-31</w:t>
      </w:r>
      <w:r>
        <w:rPr>
          <w:rFonts w:asciiTheme="majorHAnsi" w:hAnsiTheme="majorHAnsi" w:cstheme="majorHAnsi"/>
          <w:color w:val="080808"/>
          <w:sz w:val="20"/>
          <w:szCs w:val="20"/>
        </w:rPr>
        <w:t xml:space="preserve">,” in </w:t>
      </w:r>
      <w:r>
        <w:rPr>
          <w:rFonts w:asciiTheme="majorHAnsi" w:hAnsiTheme="majorHAnsi" w:cstheme="majorHAnsi"/>
          <w:i/>
          <w:iCs/>
          <w:color w:val="080808"/>
          <w:sz w:val="20"/>
          <w:szCs w:val="20"/>
        </w:rPr>
        <w:t>Biblical Masculinities Foregrounded</w:t>
      </w:r>
      <w:r>
        <w:rPr>
          <w:rFonts w:asciiTheme="majorHAnsi" w:hAnsiTheme="majorHAnsi" w:cstheme="majorHAnsi"/>
          <w:color w:val="080808"/>
          <w:sz w:val="20"/>
          <w:szCs w:val="20"/>
        </w:rPr>
        <w:t>, ed</w:t>
      </w:r>
      <w:r w:rsidRPr="00303992">
        <w:rPr>
          <w:rFonts w:cstheme="minorHAnsi"/>
          <w:color w:val="080808"/>
          <w:sz w:val="20"/>
          <w:szCs w:val="20"/>
        </w:rPr>
        <w:t xml:space="preserve">. </w:t>
      </w:r>
      <w:r w:rsidRPr="00303992">
        <w:rPr>
          <w:rFonts w:cstheme="minorHAnsi"/>
          <w:color w:val="030303"/>
          <w:sz w:val="20"/>
          <w:szCs w:val="20"/>
        </w:rPr>
        <w:t xml:space="preserve">Ovidiu </w:t>
      </w:r>
      <w:r w:rsidRPr="002001C0">
        <w:rPr>
          <w:rFonts w:cstheme="minorHAnsi"/>
          <w:color w:val="030303"/>
          <w:sz w:val="20"/>
          <w:szCs w:val="20"/>
        </w:rPr>
        <w:t xml:space="preserve">Creanga and Peter-Ben Smit (Hebrew Bible Monographs 62; Sheffield: Sheffield Phoenix, 2014), 51-68; cf. </w:t>
      </w:r>
      <w:r w:rsidRPr="002001C0">
        <w:rPr>
          <w:rFonts w:cs="Calibri"/>
          <w:sz w:val="20"/>
          <w:szCs w:val="20"/>
        </w:rPr>
        <w:t xml:space="preserve">Rowe, </w:t>
      </w:r>
      <w:r w:rsidRPr="002001C0">
        <w:rPr>
          <w:rFonts w:cs="Calibri"/>
          <w:i/>
          <w:iCs/>
          <w:sz w:val="20"/>
          <w:szCs w:val="20"/>
        </w:rPr>
        <w:t>Sons or Lovers:</w:t>
      </w:r>
      <w:r w:rsidRPr="002001C0">
        <w:rPr>
          <w:rFonts w:cs="Calibri"/>
          <w:sz w:val="20"/>
          <w:szCs w:val="20"/>
        </w:rPr>
        <w:t>, 32-53.</w:t>
      </w:r>
    </w:p>
  </w:footnote>
  <w:footnote w:id="258">
    <w:p w14:paraId="52B97847" w14:textId="77777777" w:rsidR="007B7018" w:rsidRDefault="007B7018" w:rsidP="00867CE6">
      <w:pPr>
        <w:pStyle w:val="FootnoteText"/>
      </w:pPr>
      <w:r>
        <w:rPr>
          <w:rStyle w:val="FootnoteReference"/>
        </w:rPr>
        <w:footnoteRef/>
      </w:r>
      <w:r>
        <w:t xml:space="preserve"> Campbell, </w:t>
      </w:r>
      <w:r>
        <w:rPr>
          <w:i/>
          <w:iCs/>
        </w:rPr>
        <w:t>1 Samuel</w:t>
      </w:r>
      <w:r>
        <w:t>, 251.</w:t>
      </w:r>
    </w:p>
  </w:footnote>
  <w:footnote w:id="259">
    <w:p w14:paraId="30482B23" w14:textId="77777777" w:rsidR="007B7018" w:rsidRDefault="007B7018" w:rsidP="00867CE6">
      <w:pPr>
        <w:pStyle w:val="FootnoteText"/>
      </w:pPr>
      <w:r>
        <w:rPr>
          <w:rStyle w:val="FootnoteReference"/>
        </w:rPr>
        <w:footnoteRef/>
      </w:r>
      <w:r>
        <w:t xml:space="preserve"> See Siegfried Kreuzer, “Saul – Not Always – At War: A New Perspective on the Rise of Kingship in Israel,” in Carl S. </w:t>
      </w:r>
      <w:r>
        <w:rPr>
          <w:rFonts w:cs="Calibri"/>
        </w:rPr>
        <w:t xml:space="preserve">Ehrlich with Marsha C. White, ed. </w:t>
      </w:r>
      <w:r>
        <w:rPr>
          <w:rFonts w:cs="Calibri"/>
          <w:i/>
          <w:iCs/>
        </w:rPr>
        <w:t>Saul in Story and Tradition</w:t>
      </w:r>
      <w:r>
        <w:rPr>
          <w:rFonts w:cs="Calibri"/>
        </w:rPr>
        <w:t xml:space="preserve"> (Forschungen zum Alten Testament 47; Tübingen: Mohr, 2006), 39-58.</w:t>
      </w:r>
    </w:p>
  </w:footnote>
  <w:footnote w:id="260">
    <w:p w14:paraId="5BABB468" w14:textId="77777777" w:rsidR="007B7018" w:rsidRPr="00A45C49" w:rsidRDefault="007B7018" w:rsidP="00867CE6">
      <w:pPr>
        <w:pStyle w:val="FootnoteText"/>
      </w:pPr>
      <w:r>
        <w:rPr>
          <w:rStyle w:val="FootnoteReference"/>
        </w:rPr>
        <w:footnoteRef/>
      </w:r>
      <w:r>
        <w:t xml:space="preserve"> Cf. Campbell, </w:t>
      </w:r>
      <w:r>
        <w:rPr>
          <w:i/>
          <w:iCs/>
        </w:rPr>
        <w:t>1 Samuel</w:t>
      </w:r>
      <w:r>
        <w:t>, 226.</w:t>
      </w:r>
    </w:p>
  </w:footnote>
  <w:footnote w:id="261">
    <w:p w14:paraId="6534D9B0" w14:textId="77777777" w:rsidR="007B7018" w:rsidRDefault="007B7018" w:rsidP="00867CE6">
      <w:pPr>
        <w:pStyle w:val="FootnoteText"/>
      </w:pPr>
      <w:r>
        <w:rPr>
          <w:rStyle w:val="FootnoteReference"/>
        </w:rPr>
        <w:footnoteRef/>
      </w:r>
      <w:r>
        <w:t xml:space="preserve"> Fokkelman, </w:t>
      </w:r>
      <w:r>
        <w:rPr>
          <w:rFonts w:cs="Calibri"/>
          <w:i/>
          <w:iCs/>
        </w:rPr>
        <w:t xml:space="preserve">Narrative Art and </w:t>
      </w:r>
      <w:r w:rsidRPr="00C22251">
        <w:rPr>
          <w:rFonts w:cs="Calibri"/>
          <w:i/>
          <w:iCs/>
        </w:rPr>
        <w:t>Poetry</w:t>
      </w:r>
      <w:r>
        <w:rPr>
          <w:rFonts w:cs="Calibri"/>
          <w:i/>
          <w:iCs/>
        </w:rPr>
        <w:t xml:space="preserve"> </w:t>
      </w:r>
      <w:r>
        <w:rPr>
          <w:rFonts w:cs="Calibri"/>
        </w:rPr>
        <w:t>2:353-54.</w:t>
      </w:r>
    </w:p>
  </w:footnote>
  <w:footnote w:id="262">
    <w:p w14:paraId="379021F6" w14:textId="77777777" w:rsidR="007B7018" w:rsidRPr="00662CE7" w:rsidRDefault="007B7018" w:rsidP="00867CE6">
      <w:pPr>
        <w:pStyle w:val="FootnoteText"/>
      </w:pPr>
      <w:r>
        <w:rPr>
          <w:rStyle w:val="FootnoteReference"/>
        </w:rPr>
        <w:footnoteRef/>
      </w:r>
      <w:r>
        <w:t xml:space="preserve"> McCarter, </w:t>
      </w:r>
      <w:r>
        <w:rPr>
          <w:i/>
          <w:iCs/>
        </w:rPr>
        <w:t>I Samuel</w:t>
      </w:r>
      <w:r>
        <w:t>, 349.</w:t>
      </w:r>
    </w:p>
  </w:footnote>
  <w:footnote w:id="263">
    <w:p w14:paraId="2F7398DC" w14:textId="77777777" w:rsidR="007B7018" w:rsidRDefault="007B7018" w:rsidP="00867CE6">
      <w:pPr>
        <w:pStyle w:val="FootnoteText"/>
      </w:pPr>
      <w:r>
        <w:rPr>
          <w:rStyle w:val="FootnoteReference"/>
        </w:rPr>
        <w:footnoteRef/>
      </w:r>
      <w:r>
        <w:t xml:space="preserve"> Moshe Halbertal and Stephen Holmes, </w:t>
      </w:r>
      <w:r>
        <w:rPr>
          <w:i/>
          <w:iCs/>
        </w:rPr>
        <w:t xml:space="preserve">The Beginning of Politics: </w:t>
      </w:r>
      <w:r w:rsidRPr="007A0557">
        <w:rPr>
          <w:rFonts w:cs="Calibri"/>
          <w:i/>
          <w:iCs/>
        </w:rPr>
        <w:t>Power in the Biblical Book of Samuel</w:t>
      </w:r>
      <w:r>
        <w:rPr>
          <w:rFonts w:cs="Calibri"/>
        </w:rPr>
        <w:t xml:space="preserve"> (Princeton: Princeton University Press, 2017) use the words paranoid and paranoia twenty-four times of Saul.</w:t>
      </w:r>
    </w:p>
  </w:footnote>
  <w:footnote w:id="264">
    <w:p w14:paraId="00BBF622" w14:textId="77777777" w:rsidR="007B7018" w:rsidRPr="007347F7" w:rsidRDefault="007B7018" w:rsidP="00867CE6">
      <w:pPr>
        <w:pStyle w:val="FootnoteText"/>
      </w:pPr>
      <w:r>
        <w:rPr>
          <w:rStyle w:val="FootnoteReference"/>
        </w:rPr>
        <w:footnoteRef/>
      </w:r>
      <w:r>
        <w:t xml:space="preserve"> Peter D. Miscall, </w:t>
      </w:r>
      <w:r w:rsidRPr="00BA34A3">
        <w:rPr>
          <w:rFonts w:cs="Calibri"/>
          <w:i/>
        </w:rPr>
        <w:t>1 Samuel: A Literary Reading</w:t>
      </w:r>
      <w:r w:rsidRPr="00BA34A3">
        <w:rPr>
          <w:rFonts w:cs="Calibri"/>
        </w:rPr>
        <w:t xml:space="preserve"> </w:t>
      </w:r>
      <w:r>
        <w:rPr>
          <w:rFonts w:cs="Calibri"/>
        </w:rPr>
        <w:t>(</w:t>
      </w:r>
      <w:r w:rsidRPr="00BA34A3">
        <w:rPr>
          <w:rFonts w:cs="Calibri"/>
        </w:rPr>
        <w:t>Bloomington: Indiana University Press, 1986</w:t>
      </w:r>
      <w:r>
        <w:rPr>
          <w:rFonts w:cs="Calibri"/>
        </w:rPr>
        <w:t>)</w:t>
      </w:r>
      <w:r>
        <w:t>, 136.</w:t>
      </w:r>
    </w:p>
  </w:footnote>
  <w:footnote w:id="265">
    <w:p w14:paraId="45DE3165" w14:textId="77777777" w:rsidR="007B7018" w:rsidRPr="00253FED" w:rsidRDefault="007B7018" w:rsidP="00867CE6">
      <w:pPr>
        <w:pStyle w:val="FootnoteText"/>
      </w:pPr>
      <w:r>
        <w:rPr>
          <w:rStyle w:val="FootnoteReference"/>
        </w:rPr>
        <w:footnoteRef/>
      </w:r>
      <w:r>
        <w:t xml:space="preserve"> Green, </w:t>
      </w:r>
      <w:r>
        <w:rPr>
          <w:rFonts w:cs="Calibri"/>
          <w:i/>
          <w:iCs/>
        </w:rPr>
        <w:t>How Are the Mighty Fallen</w:t>
      </w:r>
      <w:r>
        <w:rPr>
          <w:rFonts w:cs="Calibri"/>
        </w:rPr>
        <w:t>, 352.</w:t>
      </w:r>
    </w:p>
  </w:footnote>
  <w:footnote w:id="266">
    <w:p w14:paraId="7819CEA0" w14:textId="77777777" w:rsidR="007B7018" w:rsidRPr="00E00BDF" w:rsidRDefault="007B7018" w:rsidP="00867CE6">
      <w:pPr>
        <w:pStyle w:val="FootnoteText"/>
      </w:pPr>
      <w:r w:rsidRPr="00E00BDF">
        <w:rPr>
          <w:rStyle w:val="FootnoteReference"/>
        </w:rPr>
        <w:footnoteRef/>
      </w:r>
      <w:r w:rsidRPr="00E00BDF">
        <w:t xml:space="preserve"> Brad E. </w:t>
      </w:r>
      <w:r w:rsidRPr="00E00BDF">
        <w:rPr>
          <w:rFonts w:ascii="Calibri" w:hAnsi="Calibri" w:cs="Calibri"/>
        </w:rPr>
        <w:t>Kelle, “</w:t>
      </w:r>
      <w:r w:rsidRPr="00E00BDF">
        <w:rPr>
          <w:rFonts w:ascii="Calibri" w:hAnsi="Calibri" w:cs="Calibri"/>
          <w:color w:val="000000"/>
        </w:rPr>
        <w:t>Moral Injury and the Interdisciplinary Study of Biblical War Texts: The Case of King Saul</w:t>
      </w:r>
      <w:r>
        <w:rPr>
          <w:rFonts w:ascii="Calibri" w:hAnsi="Calibri" w:cs="Calibri"/>
          <w:color w:val="000000"/>
        </w:rPr>
        <w:t>,</w:t>
      </w:r>
      <w:r w:rsidRPr="00E00BDF">
        <w:rPr>
          <w:rFonts w:ascii="Calibri" w:hAnsi="Calibri" w:cs="Calibri"/>
          <w:color w:val="000000"/>
        </w:rPr>
        <w:t xml:space="preserve">” </w:t>
      </w:r>
      <w:r>
        <w:rPr>
          <w:rFonts w:ascii="Calibri" w:hAnsi="Calibri" w:cs="Calibri"/>
          <w:color w:val="000000"/>
        </w:rPr>
        <w:t>i</w:t>
      </w:r>
      <w:r w:rsidRPr="00E00BDF">
        <w:rPr>
          <w:rFonts w:ascii="Calibri" w:hAnsi="Calibri" w:cs="Calibri"/>
          <w:color w:val="000000"/>
        </w:rPr>
        <w:t xml:space="preserve">n John J. Collins et al., ed. </w:t>
      </w:r>
      <w:r w:rsidRPr="00E00BDF">
        <w:rPr>
          <w:rFonts w:ascii="Calibri" w:hAnsi="Calibri" w:cs="Calibri"/>
          <w:i/>
          <w:iCs/>
          <w:color w:val="000000"/>
        </w:rPr>
        <w:t>Worship, Women and War: Essays in Honor of Susan Niditch</w:t>
      </w:r>
      <w:r w:rsidRPr="00E00BDF">
        <w:rPr>
          <w:rFonts w:cs="Calibri"/>
          <w:i/>
          <w:iCs/>
          <w:color w:val="000000"/>
        </w:rPr>
        <w:t xml:space="preserve"> </w:t>
      </w:r>
      <w:r>
        <w:rPr>
          <w:rFonts w:cs="Calibri"/>
          <w:color w:val="000000"/>
        </w:rPr>
        <w:t>(</w:t>
      </w:r>
      <w:r w:rsidRPr="00E00BDF">
        <w:rPr>
          <w:rFonts w:ascii="Calibri" w:hAnsi="Calibri" w:cs="Calibri"/>
          <w:color w:val="000000"/>
        </w:rPr>
        <w:t>Brown Judaic Studies</w:t>
      </w:r>
      <w:r w:rsidRPr="00E00BDF">
        <w:rPr>
          <w:rFonts w:ascii="Calibri" w:hAnsi="Calibri" w:cs="Calibri"/>
        </w:rPr>
        <w:t xml:space="preserve"> 357</w:t>
      </w:r>
      <w:r>
        <w:rPr>
          <w:rFonts w:ascii="Calibri" w:hAnsi="Calibri" w:cs="Calibri"/>
        </w:rPr>
        <w:t xml:space="preserve">; </w:t>
      </w:r>
      <w:r w:rsidRPr="00E00BDF">
        <w:rPr>
          <w:rFonts w:ascii="Calibri" w:hAnsi="Calibri" w:cs="Calibri"/>
        </w:rPr>
        <w:t>Providence, RI: Brown University, 2015</w:t>
      </w:r>
      <w:r>
        <w:rPr>
          <w:rFonts w:ascii="Calibri" w:hAnsi="Calibri" w:cs="Calibri"/>
        </w:rPr>
        <w:t>), 147-71.</w:t>
      </w:r>
    </w:p>
  </w:footnote>
  <w:footnote w:id="267">
    <w:p w14:paraId="1118BAC0" w14:textId="77777777" w:rsidR="007B7018" w:rsidRDefault="007B7018" w:rsidP="00867CE6">
      <w:pPr>
        <w:pStyle w:val="FootnoteText"/>
      </w:pPr>
      <w:r>
        <w:rPr>
          <w:rStyle w:val="FootnoteReference"/>
        </w:rPr>
        <w:footnoteRef/>
      </w:r>
      <w:r>
        <w:t xml:space="preserve"> Miscall, </w:t>
      </w:r>
      <w:r>
        <w:rPr>
          <w:i/>
          <w:iCs/>
        </w:rPr>
        <w:t>1 Samuel</w:t>
      </w:r>
      <w:r>
        <w:t>, 144.</w:t>
      </w:r>
    </w:p>
  </w:footnote>
  <w:footnote w:id="268">
    <w:p w14:paraId="7CC11D81" w14:textId="77777777" w:rsidR="007B7018" w:rsidRDefault="007B7018" w:rsidP="00867CE6">
      <w:pPr>
        <w:pStyle w:val="FootnoteText"/>
      </w:pPr>
      <w:r>
        <w:rPr>
          <w:rStyle w:val="FootnoteReference"/>
        </w:rPr>
        <w:footnoteRef/>
      </w:r>
      <w:r>
        <w:t xml:space="preserve"> Auld, </w:t>
      </w:r>
      <w:r>
        <w:rPr>
          <w:i/>
          <w:iCs/>
        </w:rPr>
        <w:t>I &amp; II Samuel</w:t>
      </w:r>
      <w:r>
        <w:t>, 294.</w:t>
      </w:r>
    </w:p>
  </w:footnote>
  <w:footnote w:id="269">
    <w:p w14:paraId="1795E230" w14:textId="77777777" w:rsidR="007B7018" w:rsidRPr="00E431AC" w:rsidRDefault="007B7018" w:rsidP="00867CE6">
      <w:pPr>
        <w:pStyle w:val="FootnoteText"/>
        <w:rPr>
          <w:rFonts w:cstheme="minorHAnsi"/>
        </w:rPr>
      </w:pPr>
      <w:r>
        <w:rPr>
          <w:rStyle w:val="FootnoteReference"/>
        </w:rPr>
        <w:footnoteRef/>
      </w:r>
      <w:r>
        <w:t xml:space="preserve"> </w:t>
      </w:r>
      <w:r w:rsidRPr="00FB737E">
        <w:rPr>
          <w:rFonts w:cstheme="minorHAnsi"/>
        </w:rPr>
        <w:t xml:space="preserve">Klaus-Peter Adam, </w:t>
      </w:r>
      <w:r>
        <w:rPr>
          <w:rFonts w:cstheme="minorHAnsi"/>
        </w:rPr>
        <w:t>“</w:t>
      </w:r>
      <w:r w:rsidRPr="00FB737E">
        <w:rPr>
          <w:rFonts w:cstheme="minorHAnsi"/>
        </w:rPr>
        <w:t>Nocturnal Intrusions and Divine Interventions</w:t>
      </w:r>
      <w:r>
        <w:rPr>
          <w:rFonts w:cstheme="minorHAnsi"/>
        </w:rPr>
        <w:t xml:space="preserve"> </w:t>
      </w:r>
      <w:r w:rsidRPr="00FB737E">
        <w:rPr>
          <w:rFonts w:cstheme="minorHAnsi"/>
        </w:rPr>
        <w:t>on Behalf of Judah</w:t>
      </w:r>
      <w:r>
        <w:rPr>
          <w:rFonts w:cstheme="minorHAnsi"/>
        </w:rPr>
        <w:t>:</w:t>
      </w:r>
      <w:r w:rsidRPr="00FB737E">
        <w:rPr>
          <w:rFonts w:cstheme="minorHAnsi"/>
        </w:rPr>
        <w:t xml:space="preserve"> David’s Wisdom and</w:t>
      </w:r>
      <w:r>
        <w:rPr>
          <w:rFonts w:cstheme="minorHAnsi"/>
        </w:rPr>
        <w:t xml:space="preserve"> </w:t>
      </w:r>
      <w:r w:rsidRPr="00FB737E">
        <w:rPr>
          <w:rFonts w:cstheme="minorHAnsi"/>
        </w:rPr>
        <w:t>Saul’s Tragedy in 1 Samuel 26</w:t>
      </w:r>
      <w:r>
        <w:rPr>
          <w:rFonts w:cstheme="minorHAnsi"/>
        </w:rPr>
        <w:t xml:space="preserve">,” </w:t>
      </w:r>
      <w:r>
        <w:rPr>
          <w:rFonts w:cstheme="minorHAnsi"/>
          <w:i/>
          <w:iCs/>
        </w:rPr>
        <w:t xml:space="preserve">VT </w:t>
      </w:r>
      <w:r>
        <w:rPr>
          <w:rFonts w:cstheme="minorHAnsi"/>
        </w:rPr>
        <w:t>59 (2009): 1-33 (31).</w:t>
      </w:r>
    </w:p>
  </w:footnote>
  <w:footnote w:id="270">
    <w:p w14:paraId="6C131CE2" w14:textId="77777777" w:rsidR="007B7018" w:rsidRPr="003371A4" w:rsidRDefault="007B7018" w:rsidP="00867CE6">
      <w:pPr>
        <w:pStyle w:val="FootnoteText"/>
      </w:pPr>
      <w:r>
        <w:rPr>
          <w:rStyle w:val="FootnoteReference"/>
        </w:rPr>
        <w:footnoteRef/>
      </w:r>
      <w:r>
        <w:t xml:space="preserve"> </w:t>
      </w:r>
      <w:r w:rsidRPr="00BA34A3">
        <w:rPr>
          <w:rFonts w:eastAsia="Times New Roman" w:cs="Calibri"/>
          <w:color w:val="3A3A3A"/>
        </w:rPr>
        <w:t>Johanna W. H. van</w:t>
      </w:r>
      <w:r>
        <w:rPr>
          <w:rFonts w:eastAsia="Times New Roman" w:cs="Calibri"/>
          <w:color w:val="3A3A3A"/>
        </w:rPr>
        <w:t xml:space="preserve"> </w:t>
      </w:r>
      <w:r w:rsidRPr="00BA34A3">
        <w:rPr>
          <w:rFonts w:eastAsia="Times New Roman" w:cs="Calibri"/>
          <w:color w:val="3A3A3A"/>
        </w:rPr>
        <w:t>Wijk-</w:t>
      </w:r>
      <w:r>
        <w:rPr>
          <w:rFonts w:eastAsia="Times New Roman" w:cs="Calibri"/>
          <w:color w:val="3A3A3A"/>
        </w:rPr>
        <w:t xml:space="preserve">bos, </w:t>
      </w:r>
      <w:r w:rsidRPr="00972463">
        <w:rPr>
          <w:rFonts w:eastAsia="Times New Roman" w:cs="Calibri"/>
          <w:i/>
          <w:iCs/>
          <w:color w:val="3A3A3A"/>
        </w:rPr>
        <w:t>Reading Samuel</w:t>
      </w:r>
      <w:r w:rsidRPr="00EB7A48">
        <w:rPr>
          <w:rFonts w:ascii="Calibri" w:eastAsia="Times New Roman" w:hAnsi="Calibri" w:cs="Calibri"/>
          <w:i/>
          <w:iCs/>
          <w:color w:val="3A3A3A"/>
        </w:rPr>
        <w:t xml:space="preserve">: </w:t>
      </w:r>
      <w:r w:rsidRPr="00EB7A48">
        <w:rPr>
          <w:rFonts w:ascii="Calibri" w:hAnsi="Calibri" w:cs="Calibri"/>
          <w:i/>
          <w:iCs/>
        </w:rPr>
        <w:t>A Literary and Theological Commentary</w:t>
      </w:r>
      <w:r w:rsidRPr="00972463">
        <w:rPr>
          <w:rFonts w:eastAsia="Times New Roman" w:cs="Calibri"/>
          <w:color w:val="3A3A3A"/>
        </w:rPr>
        <w:t xml:space="preserve"> </w:t>
      </w:r>
      <w:r>
        <w:rPr>
          <w:rFonts w:eastAsia="Times New Roman" w:cs="Calibri"/>
          <w:color w:val="3A3A3A"/>
        </w:rPr>
        <w:t>(Macon, GA: Smith and Helwys</w:t>
      </w:r>
      <w:r w:rsidRPr="00972463">
        <w:rPr>
          <w:rFonts w:eastAsia="Times New Roman" w:cs="Calibri"/>
          <w:color w:val="3A3A3A"/>
        </w:rPr>
        <w:t>, 2011</w:t>
      </w:r>
      <w:r>
        <w:rPr>
          <w:rFonts w:eastAsia="Times New Roman" w:cs="Calibri"/>
          <w:color w:val="3A3A3A"/>
        </w:rPr>
        <w:t>), 124.</w:t>
      </w:r>
    </w:p>
  </w:footnote>
  <w:footnote w:id="271">
    <w:p w14:paraId="7833EC25" w14:textId="54F55BBD" w:rsidR="007B7018" w:rsidRPr="00354150" w:rsidRDefault="007B7018">
      <w:pPr>
        <w:pStyle w:val="FootnoteText"/>
      </w:pPr>
      <w:r>
        <w:rPr>
          <w:rStyle w:val="FootnoteReference"/>
        </w:rPr>
        <w:footnoteRef/>
      </w:r>
      <w:r>
        <w:t xml:space="preserve"> Auld, </w:t>
      </w:r>
      <w:r>
        <w:rPr>
          <w:i/>
          <w:iCs/>
        </w:rPr>
        <w:t>I &amp; II Samuel</w:t>
      </w:r>
      <w:r>
        <w:t>, 327.</w:t>
      </w:r>
    </w:p>
  </w:footnote>
  <w:footnote w:id="272">
    <w:p w14:paraId="39EAAE1D" w14:textId="730BF4C5" w:rsidR="007B7018" w:rsidRPr="00B976DB" w:rsidRDefault="007B7018" w:rsidP="00861689">
      <w:pPr>
        <w:pStyle w:val="FootnoteText"/>
        <w:rPr>
          <w:rFonts w:cstheme="minorHAnsi"/>
        </w:rPr>
      </w:pPr>
      <w:r>
        <w:rPr>
          <w:rStyle w:val="FootnoteReference"/>
        </w:rPr>
        <w:footnoteRef/>
      </w:r>
      <w:r>
        <w:t xml:space="preserve"> Matthew Michael, “</w:t>
      </w:r>
      <w:r w:rsidRPr="00B55897">
        <w:rPr>
          <w:rFonts w:cstheme="minorHAnsi"/>
        </w:rPr>
        <w:t>The Prophet, the Witch and the Ghost:</w:t>
      </w:r>
      <w:r>
        <w:rPr>
          <w:rFonts w:cstheme="minorHAnsi"/>
        </w:rPr>
        <w:t xml:space="preserve"> </w:t>
      </w:r>
      <w:r w:rsidRPr="00B55897">
        <w:rPr>
          <w:rFonts w:cstheme="minorHAnsi"/>
        </w:rPr>
        <w:t>Understanding the Parody of Saul</w:t>
      </w:r>
      <w:r>
        <w:rPr>
          <w:rFonts w:cstheme="minorHAnsi"/>
        </w:rPr>
        <w:t xml:space="preserve"> </w:t>
      </w:r>
      <w:r w:rsidRPr="00B55897">
        <w:rPr>
          <w:rFonts w:cstheme="minorHAnsi"/>
        </w:rPr>
        <w:t>as a ‘Prophet’ and the Purpose</w:t>
      </w:r>
      <w:r>
        <w:t xml:space="preserve"> </w:t>
      </w:r>
      <w:r w:rsidRPr="00B55897">
        <w:rPr>
          <w:rFonts w:cstheme="minorHAnsi"/>
        </w:rPr>
        <w:t>of Endor in the Deuteronomistic History</w:t>
      </w:r>
      <w:r>
        <w:rPr>
          <w:rFonts w:cstheme="minorHAnsi"/>
        </w:rPr>
        <w:t xml:space="preserve">,” </w:t>
      </w:r>
      <w:r>
        <w:rPr>
          <w:rFonts w:cstheme="minorHAnsi"/>
          <w:i/>
          <w:iCs/>
        </w:rPr>
        <w:t>JSOT</w:t>
      </w:r>
      <w:r>
        <w:rPr>
          <w:rFonts w:cstheme="minorHAnsi"/>
        </w:rPr>
        <w:t xml:space="preserve"> 38 (2014): 315-46; </w:t>
      </w:r>
      <w:r w:rsidRPr="00B976DB">
        <w:rPr>
          <w:rFonts w:cstheme="minorHAnsi"/>
        </w:rPr>
        <w:t xml:space="preserve">cf. also Dolores </w:t>
      </w:r>
      <w:r>
        <w:rPr>
          <w:rFonts w:cstheme="minorHAnsi"/>
        </w:rPr>
        <w:t xml:space="preserve">G. </w:t>
      </w:r>
      <w:r w:rsidRPr="00B976DB">
        <w:rPr>
          <w:rFonts w:cstheme="minorHAnsi"/>
        </w:rPr>
        <w:t xml:space="preserve">Kamrada, </w:t>
      </w:r>
      <w:r w:rsidRPr="00B976DB">
        <w:rPr>
          <w:rFonts w:cstheme="minorHAnsi"/>
          <w:i/>
          <w:iCs/>
          <w:color w:val="333333"/>
        </w:rPr>
        <w:t>Heroines, Heroes and Deity: Three Narratives of the Biblical Heroic Tradition</w:t>
      </w:r>
      <w:r>
        <w:rPr>
          <w:rFonts w:cstheme="minorHAnsi"/>
        </w:rPr>
        <w:t xml:space="preserve">, </w:t>
      </w:r>
      <w:r w:rsidRPr="00B976DB">
        <w:rPr>
          <w:rFonts w:cstheme="minorHAnsi"/>
        </w:rPr>
        <w:t xml:space="preserve">LHBOTS 621 </w:t>
      </w:r>
      <w:r>
        <w:rPr>
          <w:rFonts w:cstheme="minorHAnsi"/>
        </w:rPr>
        <w:t>(</w:t>
      </w:r>
      <w:r w:rsidRPr="00B976DB">
        <w:rPr>
          <w:rFonts w:cstheme="minorHAnsi"/>
          <w:color w:val="000000"/>
        </w:rPr>
        <w:t>London: T &amp; T Clark, 2016</w:t>
      </w:r>
      <w:r>
        <w:rPr>
          <w:rFonts w:cstheme="minorHAnsi"/>
          <w:color w:val="000000"/>
        </w:rPr>
        <w:t>),</w:t>
      </w:r>
      <w:r w:rsidRPr="00B976DB">
        <w:rPr>
          <w:rFonts w:cstheme="minorHAnsi"/>
          <w:color w:val="000000"/>
        </w:rPr>
        <w:t xml:space="preserve"> 105-73.</w:t>
      </w:r>
    </w:p>
  </w:footnote>
  <w:footnote w:id="273">
    <w:p w14:paraId="21DE24B8" w14:textId="77777777" w:rsidR="007B7018" w:rsidRPr="00A1715A" w:rsidRDefault="007B7018" w:rsidP="0012254E">
      <w:pPr>
        <w:pStyle w:val="FootnoteText"/>
      </w:pPr>
      <w:r>
        <w:rPr>
          <w:rStyle w:val="FootnoteReference"/>
        </w:rPr>
        <w:footnoteRef/>
      </w:r>
      <w:r>
        <w:t xml:space="preserve"> See </w:t>
      </w:r>
      <w:r w:rsidRPr="00A1715A">
        <w:t xml:space="preserve">Ora </w:t>
      </w:r>
      <w:r w:rsidRPr="00A1715A">
        <w:rPr>
          <w:rFonts w:cstheme="minorHAnsi"/>
        </w:rPr>
        <w:t xml:space="preserve">Brison, "The Medium of En-Dor and the Phenomenon of Divination in Twenty-First Century Israel," in </w:t>
      </w:r>
      <w:r w:rsidRPr="00A1715A">
        <w:rPr>
          <w:rFonts w:cstheme="minorHAnsi"/>
          <w:i/>
          <w:iCs/>
        </w:rPr>
        <w:t>Samuel, Kings and Chronicles I: Texts@Contexts</w:t>
      </w:r>
      <w:r w:rsidRPr="00A1715A">
        <w:rPr>
          <w:rFonts w:cstheme="minorHAnsi"/>
        </w:rPr>
        <w:t>, ed. Athalya Brenner-Idan and Archie C.C. Lee (London: T</w:t>
      </w:r>
      <w:r>
        <w:rPr>
          <w:rFonts w:cstheme="minorHAnsi"/>
        </w:rPr>
        <w:t xml:space="preserve"> </w:t>
      </w:r>
      <w:r w:rsidRPr="00A1715A">
        <w:rPr>
          <w:rFonts w:cstheme="minorHAnsi"/>
        </w:rPr>
        <w:t>&amp;</w:t>
      </w:r>
      <w:r>
        <w:rPr>
          <w:rFonts w:cstheme="minorHAnsi"/>
        </w:rPr>
        <w:t xml:space="preserve"> </w:t>
      </w:r>
      <w:r w:rsidRPr="00A1715A">
        <w:rPr>
          <w:rFonts w:cstheme="minorHAnsi"/>
        </w:rPr>
        <w:t xml:space="preserve">T Clark, 2017, 124-47. </w:t>
      </w:r>
    </w:p>
  </w:footnote>
  <w:footnote w:id="274">
    <w:p w14:paraId="62337897" w14:textId="77777777" w:rsidR="007B7018" w:rsidRPr="00B95E86" w:rsidRDefault="007B7018" w:rsidP="0012254E">
      <w:pPr>
        <w:pStyle w:val="FootnoteText"/>
      </w:pPr>
      <w:r>
        <w:rPr>
          <w:rStyle w:val="FootnoteReference"/>
        </w:rPr>
        <w:footnoteRef/>
      </w:r>
      <w:r>
        <w:t xml:space="preserve"> See Tali Stolovy et al., “Dissociation and the Experience of Channeling: Narratives of Israeli Women Who Practice Channeling,”</w:t>
      </w:r>
      <w:r w:rsidRPr="00CD1424">
        <w:rPr>
          <w:i/>
          <w:iCs/>
        </w:rPr>
        <w:t xml:space="preserve"> International Journal of Clinical and Experimental Hypnosis</w:t>
      </w:r>
      <w:r>
        <w:t xml:space="preserve"> 63 (2015): 346-64. Suzie </w:t>
      </w:r>
      <w:r w:rsidRPr="00B95E86">
        <w:rPr>
          <w:rFonts w:ascii="Calibri" w:hAnsi="Calibri" w:cs="Calibri"/>
        </w:rPr>
        <w:t>Park</w:t>
      </w:r>
      <w:r>
        <w:rPr>
          <w:rFonts w:ascii="Calibri" w:hAnsi="Calibri" w:cs="Calibri"/>
        </w:rPr>
        <w:t xml:space="preserve"> also looks at the story against a Korean background in</w:t>
      </w:r>
      <w:r w:rsidRPr="00B95E86">
        <w:rPr>
          <w:rFonts w:ascii="Calibri" w:hAnsi="Calibri" w:cs="Calibri"/>
        </w:rPr>
        <w:t xml:space="preserve"> </w:t>
      </w:r>
      <w:r>
        <w:rPr>
          <w:rFonts w:ascii="Calibri" w:hAnsi="Calibri" w:cs="Calibri"/>
        </w:rPr>
        <w:t>“</w:t>
      </w:r>
      <w:r w:rsidRPr="00B95E86">
        <w:rPr>
          <w:rFonts w:ascii="Calibri" w:hAnsi="Calibri" w:cs="Calibri"/>
        </w:rPr>
        <w:t>Saul’s Question and the Question of Saul: A Deconstructive Reading of the Story of Endor in 1 Sam. 28:3-25</w:t>
      </w:r>
      <w:r>
        <w:rPr>
          <w:rFonts w:ascii="Calibri" w:hAnsi="Calibri" w:cs="Calibri"/>
        </w:rPr>
        <w:t>,</w:t>
      </w:r>
      <w:r w:rsidRPr="00B95E86">
        <w:rPr>
          <w:rFonts w:ascii="Calibri" w:hAnsi="Calibri" w:cs="Calibri"/>
        </w:rPr>
        <w:t xml:space="preserve">” In </w:t>
      </w:r>
      <w:r w:rsidRPr="00B95E86">
        <w:rPr>
          <w:rFonts w:ascii="Calibri" w:hAnsi="Calibri" w:cs="Calibri"/>
          <w:i/>
          <w:iCs/>
        </w:rPr>
        <w:t>T &amp; T Clark Handbook of Asian American Biblical Hermeneutics</w:t>
      </w:r>
      <w:r w:rsidRPr="00B95E86">
        <w:rPr>
          <w:rFonts w:ascii="Calibri" w:hAnsi="Calibri" w:cs="Calibri"/>
        </w:rPr>
        <w:t>, ed. Uriah Y. Kim and Seung Ai Yang</w:t>
      </w:r>
      <w:r>
        <w:rPr>
          <w:rFonts w:ascii="Calibri" w:hAnsi="Calibri" w:cs="Calibri"/>
        </w:rPr>
        <w:t xml:space="preserve"> (</w:t>
      </w:r>
      <w:r w:rsidRPr="00B95E86">
        <w:rPr>
          <w:rFonts w:ascii="Calibri" w:hAnsi="Calibri" w:cs="Calibri"/>
        </w:rPr>
        <w:t>London: T &amp; T Clark, 2019</w:t>
      </w:r>
      <w:r>
        <w:rPr>
          <w:rFonts w:ascii="Calibri" w:hAnsi="Calibri" w:cs="Calibri"/>
        </w:rPr>
        <w:t>)</w:t>
      </w:r>
      <w:r w:rsidRPr="00B95E86">
        <w:rPr>
          <w:rFonts w:ascii="Calibri" w:hAnsi="Calibri" w:cs="Calibri"/>
        </w:rPr>
        <w:t xml:space="preserve">, 241-51. </w:t>
      </w:r>
    </w:p>
  </w:footnote>
  <w:footnote w:id="275">
    <w:p w14:paraId="7D15C0AE" w14:textId="6DF1668F" w:rsidR="007B7018" w:rsidRPr="00671022" w:rsidRDefault="007B7018">
      <w:pPr>
        <w:pStyle w:val="FootnoteText"/>
      </w:pPr>
      <w:r>
        <w:rPr>
          <w:rStyle w:val="FootnoteReference"/>
        </w:rPr>
        <w:footnoteRef/>
      </w:r>
      <w:r>
        <w:t xml:space="preserve"> See David Toshio Tsumura’s comment, </w:t>
      </w:r>
      <w:r>
        <w:rPr>
          <w:i/>
          <w:iCs/>
        </w:rPr>
        <w:t>The First Book of Samuel</w:t>
      </w:r>
      <w:r>
        <w:t>, NICOT (Grand Rapids: Eerdmans, 2007), on 28:13.</w:t>
      </w:r>
    </w:p>
  </w:footnote>
  <w:footnote w:id="276">
    <w:p w14:paraId="27A51FB9" w14:textId="10A5BC81" w:rsidR="007B7018" w:rsidRPr="00B91093" w:rsidRDefault="007B7018">
      <w:pPr>
        <w:pStyle w:val="FootnoteText"/>
      </w:pPr>
      <w:r>
        <w:rPr>
          <w:rStyle w:val="FootnoteReference"/>
        </w:rPr>
        <w:footnoteRef/>
      </w:r>
      <w:r>
        <w:t xml:space="preserve"> Auld, </w:t>
      </w:r>
      <w:r>
        <w:rPr>
          <w:i/>
          <w:iCs/>
        </w:rPr>
        <w:t>I &amp; II Samuel</w:t>
      </w:r>
      <w:r>
        <w:t>, 328.</w:t>
      </w:r>
    </w:p>
  </w:footnote>
  <w:footnote w:id="277">
    <w:p w14:paraId="514409AF" w14:textId="2A48481D" w:rsidR="007B7018" w:rsidRPr="003A6366" w:rsidRDefault="007B7018">
      <w:pPr>
        <w:pStyle w:val="FootnoteText"/>
      </w:pPr>
      <w:r>
        <w:rPr>
          <w:rStyle w:val="FootnoteReference"/>
        </w:rPr>
        <w:footnoteRef/>
      </w:r>
      <w:r>
        <w:t xml:space="preserve"> Green, </w:t>
      </w:r>
      <w:r>
        <w:rPr>
          <w:i/>
          <w:iCs/>
        </w:rPr>
        <w:t>How Are the Mighty Fallen</w:t>
      </w:r>
      <w:r>
        <w:t>, 429.</w:t>
      </w:r>
    </w:p>
  </w:footnote>
  <w:footnote w:id="278">
    <w:p w14:paraId="4630AE86" w14:textId="18CC19D8" w:rsidR="007B7018" w:rsidRPr="00560CBD" w:rsidRDefault="007B7018">
      <w:pPr>
        <w:pStyle w:val="FootnoteText"/>
      </w:pPr>
      <w:r>
        <w:rPr>
          <w:rStyle w:val="FootnoteReference"/>
        </w:rPr>
        <w:footnoteRef/>
      </w:r>
      <w:r>
        <w:t xml:space="preserve"> Brueggemann, </w:t>
      </w:r>
      <w:r>
        <w:rPr>
          <w:i/>
          <w:iCs/>
        </w:rPr>
        <w:t>First and Second Samuel</w:t>
      </w:r>
      <w:r>
        <w:t>, 194.</w:t>
      </w:r>
    </w:p>
  </w:footnote>
  <w:footnote w:id="279">
    <w:p w14:paraId="4EA11200" w14:textId="1E50A80F" w:rsidR="007B7018" w:rsidRDefault="007B7018">
      <w:pPr>
        <w:pStyle w:val="FootnoteText"/>
      </w:pPr>
      <w:r>
        <w:rPr>
          <w:rStyle w:val="FootnoteReference"/>
        </w:rPr>
        <w:footnoteRef/>
      </w:r>
      <w:r>
        <w:t xml:space="preserve"> Auld, </w:t>
      </w:r>
      <w:r>
        <w:rPr>
          <w:i/>
          <w:iCs/>
        </w:rPr>
        <w:t>I &amp; II Samuel</w:t>
      </w:r>
      <w:r>
        <w:t>, 328, 329.</w:t>
      </w:r>
    </w:p>
  </w:footnote>
  <w:footnote w:id="280">
    <w:p w14:paraId="449CCC9E" w14:textId="7A0E2C09" w:rsidR="007B7018" w:rsidRPr="009B75AC" w:rsidRDefault="007B7018">
      <w:pPr>
        <w:pStyle w:val="FootnoteText"/>
      </w:pPr>
      <w:r>
        <w:rPr>
          <w:rStyle w:val="FootnoteReference"/>
        </w:rPr>
        <w:footnoteRef/>
      </w:r>
      <w:r>
        <w:t xml:space="preserve"> Miscall, </w:t>
      </w:r>
      <w:r>
        <w:rPr>
          <w:i/>
          <w:iCs/>
        </w:rPr>
        <w:t>1 Samuel</w:t>
      </w:r>
      <w:r>
        <w:t>, 172.</w:t>
      </w:r>
    </w:p>
  </w:footnote>
  <w:footnote w:id="281">
    <w:p w14:paraId="07A664A1" w14:textId="0ECEE611" w:rsidR="007B7018" w:rsidRPr="007C79F9" w:rsidRDefault="007B7018" w:rsidP="000C78FE">
      <w:pPr>
        <w:pStyle w:val="FootnoteText"/>
      </w:pPr>
      <w:r>
        <w:rPr>
          <w:rStyle w:val="FootnoteReference"/>
        </w:rPr>
        <w:footnoteRef/>
      </w:r>
      <w:r>
        <w:t xml:space="preserve"> Murphy, </w:t>
      </w:r>
      <w:r>
        <w:rPr>
          <w:i/>
          <w:iCs/>
        </w:rPr>
        <w:t>1 Samuel</w:t>
      </w:r>
      <w:r>
        <w:t xml:space="preserve">, 268, 257. The first internal quotation is from Edwin R. Good, </w:t>
      </w:r>
      <w:r>
        <w:rPr>
          <w:i/>
          <w:iCs/>
        </w:rPr>
        <w:t>Irony in the Old Testament</w:t>
      </w:r>
      <w:r>
        <w:t xml:space="preserve"> (London: SPCK, 1965), 77-78. On the notion of an inverted version of the first meeting, see Grenville J. R. </w:t>
      </w:r>
      <w:r w:rsidRPr="001F52A8">
        <w:rPr>
          <w:rFonts w:cstheme="minorHAnsi"/>
        </w:rPr>
        <w:t>Kent,</w:t>
      </w:r>
      <w:r>
        <w:rPr>
          <w:rFonts w:cstheme="minorHAnsi"/>
        </w:rPr>
        <w:t xml:space="preserve"> </w:t>
      </w:r>
      <w:r w:rsidRPr="003D0ADD">
        <w:rPr>
          <w:rFonts w:cs="Calibri"/>
          <w:i/>
          <w:iCs/>
        </w:rPr>
        <w:t xml:space="preserve">Say It Again Sam: A Literary and </w:t>
      </w:r>
      <w:r>
        <w:rPr>
          <w:rFonts w:cs="Calibri"/>
          <w:i/>
          <w:iCs/>
        </w:rPr>
        <w:t>F</w:t>
      </w:r>
      <w:r w:rsidRPr="003D0ADD">
        <w:rPr>
          <w:rFonts w:cs="Calibri"/>
          <w:i/>
          <w:iCs/>
        </w:rPr>
        <w:t>ilmic Study of Repetition in 1 Samuel</w:t>
      </w:r>
      <w:r>
        <w:rPr>
          <w:rFonts w:cs="Calibri"/>
          <w:i/>
          <w:iCs/>
        </w:rPr>
        <w:t xml:space="preserve"> </w:t>
      </w:r>
      <w:r w:rsidRPr="003D0ADD">
        <w:rPr>
          <w:rFonts w:cs="Calibri"/>
          <w:i/>
          <w:iCs/>
        </w:rPr>
        <w:t>28</w:t>
      </w:r>
      <w:r>
        <w:rPr>
          <w:rFonts w:cs="Calibri"/>
          <w:i/>
          <w:iCs/>
        </w:rPr>
        <w:t xml:space="preserve"> </w:t>
      </w:r>
      <w:r>
        <w:rPr>
          <w:rFonts w:cs="Calibri"/>
        </w:rPr>
        <w:t>(</w:t>
      </w:r>
      <w:r w:rsidRPr="003D0ADD">
        <w:rPr>
          <w:rFonts w:cs="Calibri"/>
        </w:rPr>
        <w:t>Cambridge:</w:t>
      </w:r>
      <w:r>
        <w:rPr>
          <w:rFonts w:cs="Calibri"/>
        </w:rPr>
        <w:t xml:space="preserve"> </w:t>
      </w:r>
      <w:r w:rsidRPr="003D0ADD">
        <w:rPr>
          <w:rFonts w:cs="Calibri"/>
        </w:rPr>
        <w:t>Lutterworth, 201</w:t>
      </w:r>
      <w:r>
        <w:rPr>
          <w:rFonts w:cs="Calibri"/>
        </w:rPr>
        <w:t>2), 148-51.</w:t>
      </w:r>
    </w:p>
  </w:footnote>
  <w:footnote w:id="282">
    <w:p w14:paraId="513D5563" w14:textId="5985CE04" w:rsidR="007B7018" w:rsidRPr="00341615" w:rsidRDefault="007B7018" w:rsidP="00341615">
      <w:pPr>
        <w:pStyle w:val="FootnoteText"/>
      </w:pPr>
      <w:r w:rsidRPr="008643C0">
        <w:rPr>
          <w:rStyle w:val="FootnoteReference"/>
          <w:rFonts w:ascii="Calibri" w:hAnsi="Calibri" w:cs="Calibri"/>
        </w:rPr>
        <w:footnoteRef/>
      </w:r>
      <w:r w:rsidRPr="008643C0">
        <w:rPr>
          <w:rFonts w:ascii="Calibri" w:hAnsi="Calibri" w:cs="Calibri"/>
        </w:rPr>
        <w:t xml:space="preserve"> </w:t>
      </w:r>
      <w:r>
        <w:rPr>
          <w:rFonts w:ascii="Calibri" w:hAnsi="Calibri" w:cs="Calibri"/>
        </w:rPr>
        <w:t>See E</w:t>
      </w:r>
      <w:r w:rsidRPr="001202D3">
        <w:rPr>
          <w:rFonts w:ascii="Calibri" w:hAnsi="Calibri" w:cs="Calibri"/>
        </w:rPr>
        <w:t>sther J. Hamori</w:t>
      </w:r>
      <w:r>
        <w:rPr>
          <w:rFonts w:ascii="Calibri" w:hAnsi="Calibri" w:cs="Calibri"/>
        </w:rPr>
        <w:t>,</w:t>
      </w:r>
      <w:r w:rsidRPr="001202D3">
        <w:rPr>
          <w:rFonts w:ascii="Calibri" w:hAnsi="Calibri" w:cs="Calibri"/>
        </w:rPr>
        <w:t xml:space="preserve"> “The Prophet and the Necromancer:</w:t>
      </w:r>
      <w:r>
        <w:rPr>
          <w:rFonts w:ascii="Calibri" w:hAnsi="Calibri" w:cs="Calibri"/>
        </w:rPr>
        <w:t xml:space="preserve"> </w:t>
      </w:r>
      <w:r w:rsidRPr="001202D3">
        <w:rPr>
          <w:rFonts w:ascii="Calibri" w:hAnsi="Calibri" w:cs="Calibri"/>
        </w:rPr>
        <w:t>Women’s Divination for Kings,”</w:t>
      </w:r>
      <w:r>
        <w:rPr>
          <w:rFonts w:ascii="Calibri" w:hAnsi="Calibri" w:cs="Calibri"/>
        </w:rPr>
        <w:t xml:space="preserve"> </w:t>
      </w:r>
      <w:r>
        <w:rPr>
          <w:rFonts w:ascii="Calibri" w:hAnsi="Calibri" w:cs="Calibri"/>
          <w:i/>
          <w:iCs/>
        </w:rPr>
        <w:t xml:space="preserve">JBL </w:t>
      </w:r>
      <w:r>
        <w:rPr>
          <w:rFonts w:ascii="Calibri" w:hAnsi="Calibri" w:cs="Calibri"/>
        </w:rPr>
        <w:t xml:space="preserve">132 (2013): 827-43; </w:t>
      </w:r>
      <w:r>
        <w:rPr>
          <w:rFonts w:cs="Calibri"/>
        </w:rPr>
        <w:t>Daewook Kim, “</w:t>
      </w:r>
      <w:r w:rsidRPr="00A27CED">
        <w:rPr>
          <w:rFonts w:cstheme="minorHAnsi"/>
          <w:lang w:bidi="he-IL"/>
        </w:rPr>
        <w:t>Saul, the Dead Samuel and the Woman (1 Sam 28,3-25)</w:t>
      </w:r>
      <w:r>
        <w:rPr>
          <w:rFonts w:cstheme="minorHAnsi"/>
          <w:lang w:bidi="he-IL"/>
        </w:rPr>
        <w:t xml:space="preserve">,” </w:t>
      </w:r>
      <w:r>
        <w:rPr>
          <w:rFonts w:cstheme="minorHAnsi"/>
          <w:i/>
          <w:iCs/>
          <w:lang w:bidi="he-IL"/>
        </w:rPr>
        <w:t xml:space="preserve">Biblische Notizen </w:t>
      </w:r>
      <w:r>
        <w:rPr>
          <w:rFonts w:cstheme="minorHAnsi"/>
          <w:lang w:bidi="he-IL"/>
        </w:rPr>
        <w:t>178 (2018): 21-34.</w:t>
      </w:r>
      <w:r>
        <w:t xml:space="preserve"> </w:t>
      </w:r>
      <w:r w:rsidRPr="008643C0">
        <w:rPr>
          <w:rFonts w:ascii="Calibri" w:hAnsi="Calibri" w:cs="Calibri"/>
        </w:rPr>
        <w:t xml:space="preserve">J. Kabamba Kiboko, </w:t>
      </w:r>
      <w:r w:rsidRPr="008643C0">
        <w:rPr>
          <w:rFonts w:ascii="Calibri" w:hAnsi="Calibri" w:cs="Calibri"/>
          <w:i/>
          <w:iCs/>
          <w:color w:val="000000"/>
        </w:rPr>
        <w:t>Divining the Woman of Endor: African Culture, Postcolonial Hermeneutics, and the Politics of Biblical Translation</w:t>
      </w:r>
      <w:r>
        <w:rPr>
          <w:rFonts w:ascii="Calibri" w:hAnsi="Calibri" w:cs="Calibri"/>
          <w:color w:val="000000"/>
        </w:rPr>
        <w:t xml:space="preserve">, </w:t>
      </w:r>
      <w:r w:rsidRPr="008643C0">
        <w:rPr>
          <w:rFonts w:ascii="Calibri" w:hAnsi="Calibri" w:cs="Calibri"/>
          <w:color w:val="000000"/>
        </w:rPr>
        <w:t xml:space="preserve">LHBOTS 644 </w:t>
      </w:r>
      <w:r>
        <w:rPr>
          <w:rFonts w:ascii="Calibri" w:hAnsi="Calibri" w:cs="Calibri"/>
          <w:color w:val="000000"/>
        </w:rPr>
        <w:t>(</w:t>
      </w:r>
      <w:r w:rsidRPr="008643C0">
        <w:rPr>
          <w:rFonts w:ascii="Calibri" w:hAnsi="Calibri" w:cs="Calibri"/>
          <w:color w:val="000000"/>
        </w:rPr>
        <w:t xml:space="preserve">London: T &amp; T Clark, 2017), </w:t>
      </w:r>
      <w:r w:rsidRPr="008643C0">
        <w:rPr>
          <w:rFonts w:ascii="Calibri" w:hAnsi="Calibri" w:cs="Calibri"/>
        </w:rPr>
        <w:t>191–216.</w:t>
      </w:r>
    </w:p>
  </w:footnote>
  <w:footnote w:id="283">
    <w:p w14:paraId="7D267F1A" w14:textId="4CCB1EF3" w:rsidR="007B7018" w:rsidRDefault="007B7018">
      <w:pPr>
        <w:pStyle w:val="FootnoteText"/>
      </w:pPr>
      <w:r>
        <w:rPr>
          <w:rStyle w:val="FootnoteReference"/>
        </w:rPr>
        <w:footnoteRef/>
      </w:r>
      <w:r>
        <w:t xml:space="preserve"> But for selections from early </w:t>
      </w:r>
      <w:r w:rsidRPr="00790981">
        <w:t xml:space="preserve">Christian and Reformation writers, see </w:t>
      </w:r>
      <w:r>
        <w:t xml:space="preserve">Derek </w:t>
      </w:r>
      <w:r w:rsidRPr="00BF32DE">
        <w:rPr>
          <w:rFonts w:cs="Calibri"/>
        </w:rPr>
        <w:t>Cooper and Martin J. Loh</w:t>
      </w:r>
      <w:r>
        <w:rPr>
          <w:rFonts w:cs="Calibri"/>
        </w:rPr>
        <w:t>r</w:t>
      </w:r>
      <w:r w:rsidRPr="00BF32DE">
        <w:rPr>
          <w:rFonts w:cs="Calibri"/>
        </w:rPr>
        <w:t xml:space="preserve">mann, </w:t>
      </w:r>
      <w:r w:rsidRPr="00BF32DE">
        <w:rPr>
          <w:rFonts w:ascii="Calibri" w:hAnsi="Calibri" w:cs="Calibri"/>
        </w:rPr>
        <w:t>ed.</w:t>
      </w:r>
      <w:r>
        <w:rPr>
          <w:rFonts w:ascii="Calibri" w:hAnsi="Calibri" w:cs="Calibri"/>
        </w:rPr>
        <w:t>,</w:t>
      </w:r>
      <w:r w:rsidRPr="00BF32DE">
        <w:rPr>
          <w:rFonts w:ascii="Calibri" w:hAnsi="Calibri" w:cs="Calibri"/>
        </w:rPr>
        <w:t xml:space="preserve"> </w:t>
      </w:r>
      <w:r w:rsidRPr="00BF32DE">
        <w:rPr>
          <w:rFonts w:ascii="Calibri" w:hAnsi="Calibri" w:cs="Calibri"/>
          <w:i/>
          <w:iCs/>
          <w:shd w:val="clear" w:color="auto" w:fill="FFFFFF"/>
        </w:rPr>
        <w:t>1 – 2 Samuel, 1 – 2 Kings, 1 – 2 Chronicles</w:t>
      </w:r>
      <w:r>
        <w:rPr>
          <w:rFonts w:ascii="Calibri" w:hAnsi="Calibri" w:cs="Calibri"/>
          <w:shd w:val="clear" w:color="auto" w:fill="FFFFFF"/>
        </w:rPr>
        <w:t xml:space="preserve">, </w:t>
      </w:r>
      <w:r w:rsidRPr="00BF32DE">
        <w:rPr>
          <w:rFonts w:ascii="Calibri" w:hAnsi="Calibri" w:cs="Calibri"/>
          <w:shd w:val="clear" w:color="auto" w:fill="FFFFFF"/>
        </w:rPr>
        <w:t>Reformation Commentary on Scripture</w:t>
      </w:r>
      <w:r w:rsidRPr="00BF32DE">
        <w:rPr>
          <w:rFonts w:cstheme="minorHAnsi"/>
          <w:shd w:val="clear" w:color="auto" w:fill="FFFFFF"/>
        </w:rPr>
        <w:t>: Old Testament 5</w:t>
      </w:r>
      <w:r w:rsidRPr="00BF32DE">
        <w:rPr>
          <w:rFonts w:ascii="Calibri" w:hAnsi="Calibri" w:cs="Calibri"/>
          <w:shd w:val="clear" w:color="auto" w:fill="FFFFFF"/>
        </w:rPr>
        <w:t xml:space="preserve"> </w:t>
      </w:r>
      <w:r>
        <w:rPr>
          <w:rFonts w:ascii="Calibri" w:hAnsi="Calibri" w:cs="Calibri"/>
          <w:shd w:val="clear" w:color="auto" w:fill="FFFFFF"/>
        </w:rPr>
        <w:t>(</w:t>
      </w:r>
      <w:r w:rsidRPr="00BF32DE">
        <w:rPr>
          <w:rFonts w:ascii="Calibri" w:hAnsi="Calibri" w:cs="Calibri"/>
          <w:shd w:val="clear" w:color="auto" w:fill="FFFFFF"/>
        </w:rPr>
        <w:t>Downers Grove, IL: InterVarsity, 2016</w:t>
      </w:r>
      <w:r>
        <w:rPr>
          <w:rFonts w:ascii="Calibri" w:hAnsi="Calibri" w:cs="Calibri"/>
          <w:shd w:val="clear" w:color="auto" w:fill="FFFFFF"/>
        </w:rPr>
        <w:t>)</w:t>
      </w:r>
      <w:r>
        <w:t>.</w:t>
      </w:r>
    </w:p>
  </w:footnote>
  <w:footnote w:id="284">
    <w:p w14:paraId="7F62567B" w14:textId="5E700BF2" w:rsidR="007B7018" w:rsidRPr="0061292E" w:rsidRDefault="007B7018" w:rsidP="00CC2717">
      <w:pPr>
        <w:pStyle w:val="FootnoteText"/>
        <w:rPr>
          <w:rFonts w:ascii="Calibri" w:hAnsi="Calibri" w:cs="Calibri"/>
          <w:color w:val="000000"/>
        </w:rPr>
      </w:pPr>
      <w:r>
        <w:rPr>
          <w:rStyle w:val="FootnoteReference"/>
        </w:rPr>
        <w:footnoteRef/>
      </w:r>
      <w:r>
        <w:t xml:space="preserve"> The texts from Tertullian and Origen, the substantial treatise of Eustathius, and works of other writers appear in Rowan A. Greer and Margaret Mary Mitchell (ed.), </w:t>
      </w:r>
      <w:r w:rsidRPr="00B84003">
        <w:rPr>
          <w:rFonts w:ascii="Calibri" w:hAnsi="Calibri" w:cs="Calibri"/>
          <w:i/>
          <w:iCs/>
          <w:color w:val="000000"/>
        </w:rPr>
        <w:t>The “Belly-Myther” of Endor: Interpretations of 1 Kingdoms</w:t>
      </w:r>
      <w:r>
        <w:rPr>
          <w:rFonts w:ascii="Calibri" w:hAnsi="Calibri" w:cs="Calibri"/>
          <w:i/>
          <w:iCs/>
          <w:color w:val="000000"/>
        </w:rPr>
        <w:t xml:space="preserve"> </w:t>
      </w:r>
      <w:r w:rsidRPr="00B84003">
        <w:rPr>
          <w:rFonts w:ascii="Calibri" w:hAnsi="Calibri" w:cs="Calibri"/>
          <w:i/>
          <w:iCs/>
          <w:color w:val="000000"/>
        </w:rPr>
        <w:t>28 in the Early Church</w:t>
      </w:r>
      <w:r>
        <w:rPr>
          <w:rFonts w:ascii="Calibri" w:hAnsi="Calibri" w:cs="Calibri"/>
          <w:i/>
          <w:iCs/>
          <w:color w:val="000000"/>
        </w:rPr>
        <w:t xml:space="preserve">, </w:t>
      </w:r>
      <w:r w:rsidRPr="00104F2B">
        <w:rPr>
          <w:rFonts w:ascii="Calibri" w:hAnsi="Calibri" w:cs="Calibri"/>
          <w:color w:val="000000"/>
        </w:rPr>
        <w:t xml:space="preserve">Writings from the Greco-Roman World 16 </w:t>
      </w:r>
      <w:r>
        <w:rPr>
          <w:rFonts w:ascii="Calibri" w:hAnsi="Calibri" w:cs="Calibri"/>
          <w:color w:val="000000"/>
        </w:rPr>
        <w:t>(</w:t>
      </w:r>
      <w:r w:rsidRPr="00104F2B">
        <w:rPr>
          <w:rFonts w:ascii="Calibri" w:hAnsi="Calibri" w:cs="Calibri"/>
          <w:color w:val="000000"/>
        </w:rPr>
        <w:t>Atlanta: SBL, 2007</w:t>
      </w:r>
      <w:r>
        <w:rPr>
          <w:rFonts w:ascii="Calibri" w:hAnsi="Calibri" w:cs="Calibri"/>
          <w:color w:val="000000"/>
        </w:rPr>
        <w:t xml:space="preserve">); </w:t>
      </w:r>
      <w:r>
        <w:rPr>
          <w:rFonts w:ascii="Calibri" w:hAnsi="Calibri" w:cs="Calibri"/>
        </w:rPr>
        <w:t xml:space="preserve">cf. the quotations in </w:t>
      </w:r>
      <w:r>
        <w:t>John R. Franke,</w:t>
      </w:r>
      <w:r>
        <w:rPr>
          <w:rFonts w:cs="Calibri"/>
        </w:rPr>
        <w:t xml:space="preserve"> </w:t>
      </w:r>
      <w:r>
        <w:rPr>
          <w:rFonts w:cs="Calibri"/>
          <w:i/>
          <w:iCs/>
        </w:rPr>
        <w:t>Joshua, Judges, Ruth, 1 – 2 Samuel</w:t>
      </w:r>
      <w:r>
        <w:rPr>
          <w:rFonts w:cs="Calibri"/>
        </w:rPr>
        <w:t>, Ancient Christian Commentary on Scripture 4 (Downers Grove, IL: InterVarsity, 2005),</w:t>
      </w:r>
      <w:r>
        <w:rPr>
          <w:rFonts w:ascii="Calibri" w:hAnsi="Calibri" w:cs="Calibri"/>
          <w:color w:val="000000"/>
        </w:rPr>
        <w:t xml:space="preserve"> 320-23; also</w:t>
      </w:r>
      <w:r>
        <w:t xml:space="preserve"> K. A. D. Smelik, “</w:t>
      </w:r>
      <w:r w:rsidRPr="009C158A">
        <w:rPr>
          <w:rFonts w:cstheme="minorHAnsi"/>
        </w:rPr>
        <w:t xml:space="preserve">The Witch </w:t>
      </w:r>
      <w:r>
        <w:rPr>
          <w:rFonts w:cstheme="minorHAnsi"/>
        </w:rPr>
        <w:t>o</w:t>
      </w:r>
      <w:r w:rsidRPr="009C158A">
        <w:rPr>
          <w:rFonts w:cstheme="minorHAnsi"/>
        </w:rPr>
        <w:t>f Endor</w:t>
      </w:r>
      <w:r>
        <w:t xml:space="preserve">: </w:t>
      </w:r>
      <w:r w:rsidRPr="009C158A">
        <w:rPr>
          <w:rFonts w:cstheme="minorHAnsi"/>
        </w:rPr>
        <w:t xml:space="preserve">I Samuel 28 </w:t>
      </w:r>
      <w:r>
        <w:rPr>
          <w:rFonts w:cstheme="minorHAnsi"/>
        </w:rPr>
        <w:t>i</w:t>
      </w:r>
      <w:r w:rsidRPr="009C158A">
        <w:rPr>
          <w:rFonts w:cstheme="minorHAnsi"/>
        </w:rPr>
        <w:t xml:space="preserve">n Rabbinic </w:t>
      </w:r>
      <w:r>
        <w:rPr>
          <w:rFonts w:cstheme="minorHAnsi"/>
        </w:rPr>
        <w:t>a</w:t>
      </w:r>
      <w:r w:rsidRPr="009C158A">
        <w:rPr>
          <w:rFonts w:cstheme="minorHAnsi"/>
        </w:rPr>
        <w:t xml:space="preserve">nd Christian Exegesis </w:t>
      </w:r>
      <w:r>
        <w:rPr>
          <w:rFonts w:cstheme="minorHAnsi"/>
        </w:rPr>
        <w:t>t</w:t>
      </w:r>
      <w:r w:rsidRPr="009C158A">
        <w:rPr>
          <w:rFonts w:cstheme="minorHAnsi"/>
        </w:rPr>
        <w:t>ill 800 A.D.</w:t>
      </w:r>
      <w:r>
        <w:rPr>
          <w:rFonts w:cstheme="minorHAnsi"/>
        </w:rPr>
        <w:t xml:space="preserve">,” </w:t>
      </w:r>
      <w:r w:rsidRPr="00F82D77">
        <w:rPr>
          <w:rFonts w:ascii="Calibri" w:hAnsi="Calibri" w:cs="Calibri"/>
          <w:i/>
          <w:iCs/>
        </w:rPr>
        <w:t xml:space="preserve">Vigiliae Christianae </w:t>
      </w:r>
      <w:r w:rsidRPr="00F82D77">
        <w:rPr>
          <w:rFonts w:ascii="Calibri" w:hAnsi="Calibri" w:cs="Calibri"/>
        </w:rPr>
        <w:t>33</w:t>
      </w:r>
      <w:r>
        <w:rPr>
          <w:rFonts w:ascii="Calibri" w:hAnsi="Calibri" w:cs="Calibri"/>
        </w:rPr>
        <w:t xml:space="preserve"> (1977):</w:t>
      </w:r>
      <w:r w:rsidRPr="00F82D77">
        <w:rPr>
          <w:rFonts w:ascii="Calibri" w:hAnsi="Calibri" w:cs="Calibri"/>
        </w:rPr>
        <w:t xml:space="preserve"> 160-79</w:t>
      </w:r>
      <w:r>
        <w:rPr>
          <w:rFonts w:ascii="Calibri" w:hAnsi="Calibri" w:cs="Calibri"/>
        </w:rPr>
        <w:t>;</w:t>
      </w:r>
      <w:r>
        <w:rPr>
          <w:rFonts w:ascii="Calibri" w:hAnsi="Calibri" w:cs="Calibri"/>
          <w:color w:val="000000"/>
        </w:rPr>
        <w:t xml:space="preserve"> </w:t>
      </w:r>
      <w:r>
        <w:rPr>
          <w:rFonts w:cs="Calibri"/>
          <w:color w:val="191919"/>
        </w:rPr>
        <w:t>Patricia Cox, “</w:t>
      </w:r>
      <w:r w:rsidRPr="00771088">
        <w:rPr>
          <w:rFonts w:cs="Calibri"/>
        </w:rPr>
        <w:t>Origen and the Witch of Endor: Toward an Iconoclastic Typolog</w:t>
      </w:r>
      <w:r>
        <w:rPr>
          <w:rFonts w:cs="Calibri"/>
        </w:rPr>
        <w:t xml:space="preserve">y,” </w:t>
      </w:r>
      <w:r>
        <w:rPr>
          <w:rFonts w:cs="Calibri"/>
          <w:i/>
          <w:iCs/>
        </w:rPr>
        <w:t>Anglican Theological Review</w:t>
      </w:r>
      <w:r>
        <w:rPr>
          <w:rFonts w:cs="Calibri"/>
        </w:rPr>
        <w:t xml:space="preserve"> 66 (1984): 137-47; </w:t>
      </w:r>
      <w:r>
        <w:rPr>
          <w:rFonts w:ascii="Calibri" w:hAnsi="Calibri" w:cs="Calibri"/>
          <w:color w:val="000000"/>
        </w:rPr>
        <w:t xml:space="preserve">and for the view that the Samuel figure was actually a demon, </w:t>
      </w:r>
      <w:r w:rsidRPr="00C9711E">
        <w:rPr>
          <w:rFonts w:ascii="Calibri" w:hAnsi="Calibri" w:cs="Calibri"/>
        </w:rPr>
        <w:t xml:space="preserve">Johannes Bugenhagen, </w:t>
      </w:r>
      <w:r w:rsidRPr="00C9711E">
        <w:rPr>
          <w:rFonts w:ascii="Calibri" w:hAnsi="Calibri" w:cs="Calibri"/>
          <w:i/>
          <w:iCs/>
          <w:color w:val="000000"/>
          <w:shd w:val="clear" w:color="auto" w:fill="FFFFFF"/>
        </w:rPr>
        <w:t>Annotationes</w:t>
      </w:r>
      <w:r>
        <w:rPr>
          <w:rFonts w:ascii="Calibri" w:hAnsi="Calibri" w:cs="Calibri"/>
          <w:i/>
          <w:iCs/>
          <w:color w:val="000000"/>
          <w:shd w:val="clear" w:color="auto" w:fill="FFFFFF"/>
        </w:rPr>
        <w:t xml:space="preserve"> . . .</w:t>
      </w:r>
      <w:r w:rsidRPr="00C9711E">
        <w:rPr>
          <w:rFonts w:ascii="Calibri" w:hAnsi="Calibri" w:cs="Calibri"/>
          <w:i/>
          <w:iCs/>
          <w:color w:val="000000"/>
          <w:shd w:val="clear" w:color="auto" w:fill="FFFFFF"/>
        </w:rPr>
        <w:t xml:space="preserve"> in Deuteronomium</w:t>
      </w:r>
      <w:r>
        <w:rPr>
          <w:rFonts w:ascii="Calibri" w:hAnsi="Calibri" w:cs="Calibri"/>
          <w:i/>
          <w:iCs/>
          <w:color w:val="000000"/>
          <w:shd w:val="clear" w:color="auto" w:fill="FFFFFF"/>
        </w:rPr>
        <w:t>. I</w:t>
      </w:r>
      <w:r w:rsidRPr="00C9711E">
        <w:rPr>
          <w:rFonts w:ascii="Calibri" w:hAnsi="Calibri" w:cs="Calibri"/>
          <w:i/>
          <w:iCs/>
          <w:color w:val="000000"/>
          <w:shd w:val="clear" w:color="auto" w:fill="FFFFFF"/>
        </w:rPr>
        <w:t>n Samuelem prophetam, id est, duos libros Regum</w:t>
      </w:r>
      <w:r>
        <w:rPr>
          <w:rFonts w:cs="Calibri"/>
          <w:color w:val="000000"/>
          <w:shd w:val="clear" w:color="auto" w:fill="FFFFFF"/>
        </w:rPr>
        <w:t xml:space="preserve"> (Nuremberg: Petri, 1524)</w:t>
      </w:r>
      <w:r>
        <w:rPr>
          <w:rFonts w:ascii="Calibri" w:hAnsi="Calibri" w:cs="Calibri"/>
          <w:color w:val="000000"/>
          <w:shd w:val="clear" w:color="auto" w:fill="FFFFFF"/>
        </w:rPr>
        <w:t>,</w:t>
      </w:r>
      <w:r>
        <w:rPr>
          <w:rFonts w:ascii="Calibri" w:hAnsi="Calibri" w:cs="Calibri"/>
          <w:i/>
          <w:iCs/>
          <w:color w:val="000000"/>
          <w:shd w:val="clear" w:color="auto" w:fill="FFFFFF"/>
        </w:rPr>
        <w:t xml:space="preserve"> </w:t>
      </w:r>
      <w:r>
        <w:rPr>
          <w:rFonts w:ascii="Calibri" w:hAnsi="Calibri" w:cs="Calibri"/>
          <w:color w:val="000000"/>
        </w:rPr>
        <w:t xml:space="preserve">276-77 (cf. Cooper </w:t>
      </w:r>
      <w:r w:rsidRPr="00790981">
        <w:rPr>
          <w:rFonts w:cs="Calibri"/>
        </w:rPr>
        <w:t>and Loh</w:t>
      </w:r>
      <w:r>
        <w:rPr>
          <w:rFonts w:cs="Calibri"/>
        </w:rPr>
        <w:t>r</w:t>
      </w:r>
      <w:r w:rsidRPr="00790981">
        <w:rPr>
          <w:rFonts w:cs="Calibri"/>
        </w:rPr>
        <w:t>mann,</w:t>
      </w:r>
      <w:r w:rsidRPr="00790981">
        <w:rPr>
          <w:rFonts w:ascii="Calibri" w:hAnsi="Calibri" w:cs="Calibri"/>
        </w:rPr>
        <w:t xml:space="preserve"> </w:t>
      </w:r>
      <w:r w:rsidRPr="00790981">
        <w:rPr>
          <w:rFonts w:ascii="Calibri" w:hAnsi="Calibri" w:cs="Calibri"/>
          <w:i/>
          <w:iCs/>
          <w:shd w:val="clear" w:color="auto" w:fill="FFFFFF"/>
        </w:rPr>
        <w:t>1 – 2 Samuel</w:t>
      </w:r>
      <w:r>
        <w:rPr>
          <w:rFonts w:ascii="Calibri" w:hAnsi="Calibri" w:cs="Calibri"/>
          <w:shd w:val="clear" w:color="auto" w:fill="FFFFFF"/>
        </w:rPr>
        <w:t>,</w:t>
      </w:r>
      <w:r>
        <w:rPr>
          <w:rFonts w:ascii="Calibri" w:hAnsi="Calibri" w:cs="Calibri"/>
          <w:color w:val="000000"/>
        </w:rPr>
        <w:t xml:space="preserve"> 129); Andrew </w:t>
      </w:r>
      <w:r>
        <w:rPr>
          <w:rFonts w:cs="Calibri"/>
        </w:rPr>
        <w:t xml:space="preserve">Willet, </w:t>
      </w:r>
      <w:r>
        <w:rPr>
          <w:rFonts w:cs="Calibri"/>
          <w:i/>
          <w:iCs/>
        </w:rPr>
        <w:t>An Harmonie upon the First Booke of Samuel . . . .</w:t>
      </w:r>
      <w:r>
        <w:rPr>
          <w:rFonts w:cs="Calibri"/>
        </w:rPr>
        <w:t xml:space="preserve"> (Cambridge: Greene, 1607</w:t>
      </w:r>
      <w:r>
        <w:rPr>
          <w:rFonts w:ascii="Calibri" w:hAnsi="Calibri" w:cs="Calibri"/>
          <w:color w:val="000000"/>
        </w:rPr>
        <w:t xml:space="preserve">), 313-14 (cf. Cooper </w:t>
      </w:r>
      <w:r w:rsidRPr="00790981">
        <w:rPr>
          <w:rFonts w:cs="Calibri"/>
        </w:rPr>
        <w:t>and Loh</w:t>
      </w:r>
      <w:r>
        <w:rPr>
          <w:rFonts w:cs="Calibri"/>
        </w:rPr>
        <w:t>r</w:t>
      </w:r>
      <w:r w:rsidRPr="00790981">
        <w:rPr>
          <w:rFonts w:cs="Calibri"/>
        </w:rPr>
        <w:t>mann,</w:t>
      </w:r>
      <w:r w:rsidRPr="00790981">
        <w:rPr>
          <w:rFonts w:ascii="Calibri" w:hAnsi="Calibri" w:cs="Calibri"/>
        </w:rPr>
        <w:t xml:space="preserve"> </w:t>
      </w:r>
      <w:r w:rsidRPr="00790981">
        <w:rPr>
          <w:rFonts w:ascii="Calibri" w:hAnsi="Calibri" w:cs="Calibri"/>
          <w:i/>
          <w:iCs/>
          <w:shd w:val="clear" w:color="auto" w:fill="FFFFFF"/>
        </w:rPr>
        <w:t>1 – 2 Samuel</w:t>
      </w:r>
      <w:r>
        <w:rPr>
          <w:rFonts w:ascii="Calibri" w:hAnsi="Calibri" w:cs="Calibri"/>
          <w:color w:val="000000"/>
        </w:rPr>
        <w:t xml:space="preserve">, 130); Grenville J. R. </w:t>
      </w:r>
      <w:r w:rsidRPr="00CC2717">
        <w:rPr>
          <w:rFonts w:cstheme="minorHAnsi"/>
        </w:rPr>
        <w:t>Kent, “‘Call up Samuel’: Who Appeared to the Witch at En-dor? (1 Samuel 28:3-25</w:t>
      </w:r>
      <w:r>
        <w:rPr>
          <w:rFonts w:cstheme="minorHAnsi"/>
        </w:rPr>
        <w:t>),</w:t>
      </w:r>
      <w:r w:rsidRPr="00CC2717">
        <w:rPr>
          <w:rFonts w:cstheme="minorHAnsi"/>
        </w:rPr>
        <w:t xml:space="preserve">” </w:t>
      </w:r>
      <w:r w:rsidRPr="00CC2717">
        <w:rPr>
          <w:rFonts w:cstheme="minorHAnsi"/>
          <w:i/>
          <w:iCs/>
        </w:rPr>
        <w:t>Andrew</w:t>
      </w:r>
      <w:r>
        <w:rPr>
          <w:rFonts w:cstheme="minorHAnsi"/>
          <w:i/>
          <w:iCs/>
        </w:rPr>
        <w:t>s</w:t>
      </w:r>
      <w:r w:rsidRPr="00CC2717">
        <w:rPr>
          <w:rFonts w:cstheme="minorHAnsi"/>
          <w:i/>
          <w:iCs/>
        </w:rPr>
        <w:t xml:space="preserve"> University Seminary Studies</w:t>
      </w:r>
      <w:r w:rsidRPr="00CC2717">
        <w:rPr>
          <w:rFonts w:cstheme="minorHAnsi"/>
        </w:rPr>
        <w:t xml:space="preserve"> 52 (2014): 141-60</w:t>
      </w:r>
      <w:r>
        <w:rPr>
          <w:rFonts w:cstheme="minorHAnsi"/>
        </w:rPr>
        <w:t xml:space="preserve">; Murphy, </w:t>
      </w:r>
      <w:r>
        <w:rPr>
          <w:rFonts w:cstheme="minorHAnsi"/>
          <w:i/>
          <w:iCs/>
        </w:rPr>
        <w:t>1 Samuel</w:t>
      </w:r>
      <w:r>
        <w:rPr>
          <w:rFonts w:cstheme="minorHAnsi"/>
        </w:rPr>
        <w:t>, 261-71.</w:t>
      </w:r>
    </w:p>
  </w:footnote>
  <w:footnote w:id="285">
    <w:p w14:paraId="17E8655A" w14:textId="3D9F2B34" w:rsidR="007B7018" w:rsidRDefault="007B7018" w:rsidP="004D46E3">
      <w:pPr>
        <w:pStyle w:val="FootnoteText"/>
      </w:pPr>
      <w:r w:rsidRPr="004D46E3">
        <w:rPr>
          <w:rStyle w:val="FootnoteReference"/>
        </w:rPr>
        <w:footnoteRef/>
      </w:r>
      <w:r w:rsidRPr="004D46E3">
        <w:t xml:space="preserve"> </w:t>
      </w:r>
      <w:r w:rsidRPr="004D46E3">
        <w:rPr>
          <w:rFonts w:ascii="Calibri" w:hAnsi="Calibri" w:cs="Calibri"/>
          <w:lang w:bidi="he-IL"/>
        </w:rPr>
        <w:t>Christopher James Blythe, “The Prophetess of Endor: Reception of 1 Samuel 28 in Nineteenth Century Mormon History</w:t>
      </w:r>
      <w:r w:rsidRPr="004D46E3">
        <w:rPr>
          <w:rFonts w:cs="Calibri"/>
          <w:lang w:bidi="he-IL"/>
        </w:rPr>
        <w:t xml:space="preserve">.” </w:t>
      </w:r>
      <w:r w:rsidRPr="004D46E3">
        <w:rPr>
          <w:rFonts w:cs="Calibri"/>
          <w:i/>
          <w:iCs/>
          <w:lang w:bidi="he-IL"/>
        </w:rPr>
        <w:t>Journal</w:t>
      </w:r>
      <w:r>
        <w:rPr>
          <w:rFonts w:cs="Calibri"/>
          <w:i/>
          <w:iCs/>
          <w:lang w:bidi="he-IL"/>
        </w:rPr>
        <w:t xml:space="preserve"> of the Bible and Its Reception</w:t>
      </w:r>
      <w:r>
        <w:rPr>
          <w:rFonts w:cs="Calibri"/>
          <w:lang w:bidi="he-IL"/>
        </w:rPr>
        <w:t xml:space="preserve"> 4 (2017): 43-70</w:t>
      </w:r>
    </w:p>
  </w:footnote>
  <w:footnote w:id="286">
    <w:p w14:paraId="1066B016" w14:textId="040B243F" w:rsidR="007B7018" w:rsidRDefault="007B7018" w:rsidP="002708FA">
      <w:pPr>
        <w:pStyle w:val="FootnoteText"/>
      </w:pPr>
      <w:r>
        <w:rPr>
          <w:rStyle w:val="FootnoteReference"/>
        </w:rPr>
        <w:footnoteRef/>
      </w:r>
      <w:r>
        <w:t xml:space="preserve"> Ralph W. </w:t>
      </w:r>
      <w:r w:rsidRPr="001F52A8">
        <w:rPr>
          <w:rFonts w:cstheme="minorHAnsi"/>
        </w:rPr>
        <w:t xml:space="preserve">Klein, </w:t>
      </w:r>
      <w:r w:rsidRPr="001F52A8">
        <w:rPr>
          <w:rFonts w:cstheme="minorHAnsi"/>
          <w:i/>
          <w:iCs/>
        </w:rPr>
        <w:t>1 Samuel</w:t>
      </w:r>
      <w:r>
        <w:rPr>
          <w:rFonts w:cstheme="minorHAnsi"/>
        </w:rPr>
        <w:t>,</w:t>
      </w:r>
      <w:r w:rsidRPr="001F52A8">
        <w:rPr>
          <w:rFonts w:cstheme="minorHAnsi"/>
        </w:rPr>
        <w:t xml:space="preserve"> WBC 10 </w:t>
      </w:r>
      <w:r>
        <w:rPr>
          <w:rFonts w:cstheme="minorHAnsi"/>
        </w:rPr>
        <w:t>(second ed., Nashville: Nelson, 2008), 290.</w:t>
      </w:r>
    </w:p>
  </w:footnote>
  <w:footnote w:id="287">
    <w:p w14:paraId="273A257F" w14:textId="77777777" w:rsidR="007B7018" w:rsidRPr="005F0F71" w:rsidRDefault="007B7018" w:rsidP="00332379">
      <w:pPr>
        <w:pStyle w:val="FootnoteText"/>
      </w:pPr>
      <w:r>
        <w:rPr>
          <w:rStyle w:val="FootnoteReference"/>
        </w:rPr>
        <w:footnoteRef/>
      </w:r>
      <w:r>
        <w:t xml:space="preserve"> Hertzberg, </w:t>
      </w:r>
      <w:r>
        <w:rPr>
          <w:i/>
          <w:iCs/>
        </w:rPr>
        <w:t>I &amp; II Samuel</w:t>
      </w:r>
      <w:r>
        <w:t>, 234.</w:t>
      </w:r>
    </w:p>
  </w:footnote>
  <w:footnote w:id="288">
    <w:p w14:paraId="48E56336" w14:textId="37DD24A3" w:rsidR="007B7018" w:rsidRPr="000216E3" w:rsidRDefault="007B7018">
      <w:pPr>
        <w:pStyle w:val="FootnoteText"/>
      </w:pPr>
      <w:r>
        <w:rPr>
          <w:rStyle w:val="FootnoteReference"/>
        </w:rPr>
        <w:footnoteRef/>
      </w:r>
      <w:r>
        <w:t xml:space="preserve"> Green, </w:t>
      </w:r>
      <w:r w:rsidRPr="00FF4E92">
        <w:rPr>
          <w:rFonts w:cstheme="minorHAnsi"/>
          <w:i/>
          <w:iCs/>
        </w:rPr>
        <w:t xml:space="preserve">David’s Capacity </w:t>
      </w:r>
      <w:r>
        <w:rPr>
          <w:rFonts w:cstheme="minorHAnsi"/>
          <w:i/>
          <w:iCs/>
        </w:rPr>
        <w:t>f</w:t>
      </w:r>
      <w:r w:rsidRPr="00FF4E92">
        <w:rPr>
          <w:rFonts w:cstheme="minorHAnsi"/>
          <w:i/>
          <w:iCs/>
        </w:rPr>
        <w:t>or Compassion</w:t>
      </w:r>
      <w:r>
        <w:rPr>
          <w:rFonts w:cstheme="minorHAnsi"/>
        </w:rPr>
        <w:t>, 131.</w:t>
      </w:r>
    </w:p>
  </w:footnote>
  <w:footnote w:id="289">
    <w:p w14:paraId="557D830C" w14:textId="3439021C" w:rsidR="007B7018" w:rsidRPr="00E54F99" w:rsidRDefault="007B7018">
      <w:pPr>
        <w:pStyle w:val="FootnoteText"/>
      </w:pPr>
      <w:r>
        <w:rPr>
          <w:rStyle w:val="FootnoteReference"/>
        </w:rPr>
        <w:footnoteRef/>
      </w:r>
      <w:r>
        <w:t xml:space="preserve"> Murphy, </w:t>
      </w:r>
      <w:r>
        <w:rPr>
          <w:i/>
          <w:iCs/>
        </w:rPr>
        <w:t>1 Samuel</w:t>
      </w:r>
      <w:r>
        <w:t>, 286, adapting thinking from Karl Barth, Hans Urs von Balthasar, and Joseph Ratzinger.</w:t>
      </w:r>
    </w:p>
  </w:footnote>
  <w:footnote w:id="290">
    <w:p w14:paraId="7BCF3B01" w14:textId="3BC0855A" w:rsidR="007B7018" w:rsidRPr="00D847AB" w:rsidRDefault="007B7018">
      <w:pPr>
        <w:pStyle w:val="FootnoteText"/>
        <w:rPr>
          <w:iCs/>
        </w:rPr>
      </w:pPr>
      <w:r>
        <w:rPr>
          <w:rStyle w:val="FootnoteReference"/>
        </w:rPr>
        <w:footnoteRef/>
      </w:r>
      <w:r>
        <w:t xml:space="preserve"> Cf. Alter, </w:t>
      </w:r>
      <w:r w:rsidRPr="00BA34A3">
        <w:rPr>
          <w:rFonts w:cs="Calibri"/>
          <w:i/>
        </w:rPr>
        <w:t>The David Story</w:t>
      </w:r>
      <w:r>
        <w:rPr>
          <w:rFonts w:cs="Calibri"/>
          <w:iCs/>
        </w:rPr>
        <w:t>, 197.</w:t>
      </w:r>
    </w:p>
  </w:footnote>
  <w:footnote w:id="291">
    <w:p w14:paraId="3ACD6EFC" w14:textId="6739695D" w:rsidR="007B7018" w:rsidRDefault="007B7018" w:rsidP="00396D69">
      <w:pPr>
        <w:pStyle w:val="FootnoteText"/>
      </w:pPr>
      <w:r>
        <w:rPr>
          <w:rStyle w:val="FootnoteReference"/>
        </w:rPr>
        <w:footnoteRef/>
      </w:r>
      <w:r>
        <w:t xml:space="preserve"> Cf. Robert </w:t>
      </w:r>
      <w:r w:rsidRPr="00BA34A3">
        <w:rPr>
          <w:rFonts w:cs="Calibri"/>
        </w:rPr>
        <w:t xml:space="preserve">Polzin, </w:t>
      </w:r>
      <w:r>
        <w:rPr>
          <w:rFonts w:cs="Calibri"/>
          <w:i/>
        </w:rPr>
        <w:t>David</w:t>
      </w:r>
      <w:r w:rsidRPr="00BA34A3">
        <w:rPr>
          <w:rFonts w:cs="Calibri"/>
          <w:i/>
        </w:rPr>
        <w:t xml:space="preserve"> and the Deuteronomist: A Literary Study of the Deuteronomic History</w:t>
      </w:r>
      <w:r>
        <w:rPr>
          <w:rFonts w:cs="Calibri"/>
          <w:i/>
        </w:rPr>
        <w:t>.</w:t>
      </w:r>
      <w:r>
        <w:rPr>
          <w:rFonts w:cs="Calibri"/>
          <w:iCs/>
        </w:rPr>
        <w:t xml:space="preserve"> Part Three: 2 Samuel (</w:t>
      </w:r>
      <w:r w:rsidRPr="00BA34A3">
        <w:rPr>
          <w:rFonts w:cs="Calibri"/>
        </w:rPr>
        <w:t xml:space="preserve">Bloomington: Indiana University Press, </w:t>
      </w:r>
      <w:r>
        <w:rPr>
          <w:rFonts w:cs="Calibri"/>
          <w:iCs/>
        </w:rPr>
        <w:t>1993), 5-8.</w:t>
      </w:r>
    </w:p>
  </w:footnote>
  <w:footnote w:id="292">
    <w:p w14:paraId="46AB5FD3" w14:textId="77777777" w:rsidR="007B7018" w:rsidRPr="00765D3E" w:rsidRDefault="007B7018" w:rsidP="00C129AF">
      <w:pPr>
        <w:pStyle w:val="FootnoteText"/>
        <w:rPr>
          <w:rFonts w:cs="Calibri"/>
        </w:rPr>
      </w:pPr>
      <w:r>
        <w:rPr>
          <w:rStyle w:val="FootnoteReference"/>
        </w:rPr>
        <w:footnoteRef/>
      </w:r>
      <w:r>
        <w:t xml:space="preserve"> Craig E. </w:t>
      </w:r>
      <w:r w:rsidRPr="00BA34A3">
        <w:rPr>
          <w:rFonts w:cs="Calibri"/>
        </w:rPr>
        <w:t xml:space="preserve">Morrison, </w:t>
      </w:r>
      <w:r w:rsidRPr="00BA34A3">
        <w:rPr>
          <w:rFonts w:cs="Calibri"/>
          <w:i/>
        </w:rPr>
        <w:t>2 Samuel</w:t>
      </w:r>
      <w:r>
        <w:rPr>
          <w:rFonts w:cs="Calibri"/>
        </w:rPr>
        <w:t xml:space="preserve">, </w:t>
      </w:r>
      <w:r w:rsidRPr="00BA34A3">
        <w:rPr>
          <w:rFonts w:cs="Calibri"/>
        </w:rPr>
        <w:t>Berit Olam</w:t>
      </w:r>
      <w:r>
        <w:rPr>
          <w:rFonts w:cs="Calibri"/>
        </w:rPr>
        <w:t xml:space="preserve">: </w:t>
      </w:r>
      <w:r w:rsidRPr="001F52A8">
        <w:rPr>
          <w:rFonts w:cs="Calibri"/>
        </w:rPr>
        <w:t>Studies in Hebrew Narrative and Poetry</w:t>
      </w:r>
      <w:r w:rsidRPr="00BA34A3">
        <w:rPr>
          <w:rFonts w:cs="Calibri"/>
        </w:rPr>
        <w:t xml:space="preserve"> </w:t>
      </w:r>
      <w:r>
        <w:rPr>
          <w:rFonts w:cs="Calibri"/>
        </w:rPr>
        <w:t>(</w:t>
      </w:r>
      <w:r w:rsidRPr="00BA34A3">
        <w:rPr>
          <w:rFonts w:cs="Calibri"/>
        </w:rPr>
        <w:t>Collegeville, MN: Liturgical, 2013</w:t>
      </w:r>
      <w:r>
        <w:rPr>
          <w:rFonts w:cs="Calibri"/>
        </w:rPr>
        <w:t>), 24.</w:t>
      </w:r>
    </w:p>
  </w:footnote>
  <w:footnote w:id="293">
    <w:p w14:paraId="34C5223E" w14:textId="485836BE" w:rsidR="007B7018" w:rsidRPr="00F615CA" w:rsidRDefault="007B7018">
      <w:pPr>
        <w:pStyle w:val="FootnoteText"/>
        <w:rPr>
          <w:iCs/>
        </w:rPr>
      </w:pPr>
      <w:r>
        <w:rPr>
          <w:rStyle w:val="FootnoteReference"/>
        </w:rPr>
        <w:footnoteRef/>
      </w:r>
      <w:r>
        <w:t xml:space="preserve"> Auld, </w:t>
      </w:r>
      <w:r w:rsidRPr="00BA34A3">
        <w:rPr>
          <w:rFonts w:cs="Calibri"/>
          <w:i/>
        </w:rPr>
        <w:t>I &amp; II Samuel</w:t>
      </w:r>
      <w:r>
        <w:rPr>
          <w:rFonts w:cs="Calibri"/>
          <w:iCs/>
        </w:rPr>
        <w:t>, 359.</w:t>
      </w:r>
    </w:p>
  </w:footnote>
  <w:footnote w:id="294">
    <w:p w14:paraId="23600DFB" w14:textId="77777777" w:rsidR="007B7018" w:rsidRPr="00F61E47" w:rsidRDefault="007B7018" w:rsidP="007D79C7">
      <w:pPr>
        <w:pStyle w:val="FootnoteText"/>
      </w:pPr>
      <w:r>
        <w:rPr>
          <w:rStyle w:val="FootnoteReference"/>
        </w:rPr>
        <w:footnoteRef/>
      </w:r>
      <w:r>
        <w:t xml:space="preserve"> Edelman, </w:t>
      </w:r>
      <w:r>
        <w:rPr>
          <w:i/>
          <w:iCs/>
        </w:rPr>
        <w:t>King Saul</w:t>
      </w:r>
      <w:r>
        <w:t>, 288.</w:t>
      </w:r>
    </w:p>
  </w:footnote>
  <w:footnote w:id="295">
    <w:p w14:paraId="5403C9E7" w14:textId="55794AC2" w:rsidR="007B7018" w:rsidRDefault="007B7018">
      <w:pPr>
        <w:pStyle w:val="FootnoteText"/>
      </w:pPr>
      <w:r>
        <w:rPr>
          <w:rStyle w:val="FootnoteReference"/>
        </w:rPr>
        <w:footnoteRef/>
      </w:r>
      <w:r>
        <w:t xml:space="preserve"> </w:t>
      </w:r>
      <w:r w:rsidRPr="00BA34A3">
        <w:rPr>
          <w:rFonts w:cs="Calibri"/>
        </w:rPr>
        <w:t xml:space="preserve">Bruce C. </w:t>
      </w:r>
      <w:r>
        <w:t>Birch</w:t>
      </w:r>
      <w:r>
        <w:rPr>
          <w:rFonts w:cs="Calibri"/>
        </w:rPr>
        <w:t xml:space="preserve">, </w:t>
      </w:r>
      <w:r w:rsidRPr="00BA34A3">
        <w:rPr>
          <w:rFonts w:cs="Calibri"/>
        </w:rPr>
        <w:t>“The First and Second Books of Samuel: Introduction, Commentary and Reflections</w:t>
      </w:r>
      <w:r>
        <w:rPr>
          <w:rFonts w:cs="Calibri"/>
        </w:rPr>
        <w:t>,</w:t>
      </w:r>
      <w:r w:rsidRPr="00BA34A3">
        <w:rPr>
          <w:rFonts w:cs="Calibri"/>
        </w:rPr>
        <w:t xml:space="preserve">” </w:t>
      </w:r>
      <w:r>
        <w:rPr>
          <w:rFonts w:cs="Calibri"/>
        </w:rPr>
        <w:t>i</w:t>
      </w:r>
      <w:r w:rsidRPr="00BA34A3">
        <w:rPr>
          <w:rFonts w:cs="Calibri"/>
        </w:rPr>
        <w:t xml:space="preserve">n </w:t>
      </w:r>
      <w:r w:rsidRPr="00BA34A3">
        <w:rPr>
          <w:rFonts w:cs="Calibri"/>
          <w:i/>
        </w:rPr>
        <w:t xml:space="preserve">The New Interpreter’s Bible </w:t>
      </w:r>
      <w:r>
        <w:rPr>
          <w:rFonts w:cs="Calibri"/>
          <w:iCs/>
        </w:rPr>
        <w:t>(</w:t>
      </w:r>
      <w:r w:rsidRPr="00BA34A3">
        <w:rPr>
          <w:rFonts w:cs="Calibri"/>
        </w:rPr>
        <w:t>Nashville: Abingdon, 199</w:t>
      </w:r>
      <w:r>
        <w:rPr>
          <w:rFonts w:cs="Calibri"/>
        </w:rPr>
        <w:t>8)</w:t>
      </w:r>
      <w:r>
        <w:t xml:space="preserve"> </w:t>
      </w:r>
      <w:r w:rsidRPr="00BA34A3">
        <w:rPr>
          <w:rFonts w:cs="Calibri"/>
        </w:rPr>
        <w:t>2:947-1383</w:t>
      </w:r>
      <w:r>
        <w:rPr>
          <w:rFonts w:cs="Calibri"/>
        </w:rPr>
        <w:t>,</w:t>
      </w:r>
      <w:r>
        <w:t xml:space="preserve"> in his comments on 1:20.</w:t>
      </w:r>
    </w:p>
  </w:footnote>
  <w:footnote w:id="296">
    <w:p w14:paraId="33E5B1A3" w14:textId="35E452A9" w:rsidR="007B7018" w:rsidRDefault="007B7018">
      <w:pPr>
        <w:pStyle w:val="FootnoteText"/>
      </w:pPr>
      <w:r>
        <w:rPr>
          <w:rStyle w:val="FootnoteReference"/>
        </w:rPr>
        <w:footnoteRef/>
      </w:r>
      <w:r>
        <w:t xml:space="preserve"> Anthony F. Campbell, </w:t>
      </w:r>
      <w:r>
        <w:rPr>
          <w:rFonts w:cs="Calibri"/>
          <w:i/>
        </w:rPr>
        <w:t>2</w:t>
      </w:r>
      <w:r w:rsidRPr="00BA34A3">
        <w:rPr>
          <w:rFonts w:cs="Calibri"/>
          <w:i/>
        </w:rPr>
        <w:t xml:space="preserve"> Samuel</w:t>
      </w:r>
      <w:r>
        <w:rPr>
          <w:rFonts w:cs="Calibri"/>
        </w:rPr>
        <w:t xml:space="preserve">, </w:t>
      </w:r>
      <w:r w:rsidRPr="00BA34A3">
        <w:rPr>
          <w:rFonts w:cs="Calibri"/>
        </w:rPr>
        <w:t>FOTL</w:t>
      </w:r>
      <w:r>
        <w:rPr>
          <w:rFonts w:cs="Calibri"/>
        </w:rPr>
        <w:t xml:space="preserve"> 8</w:t>
      </w:r>
      <w:r w:rsidRPr="00BA34A3">
        <w:rPr>
          <w:rFonts w:cs="Calibri"/>
        </w:rPr>
        <w:t xml:space="preserve"> </w:t>
      </w:r>
      <w:r>
        <w:rPr>
          <w:rFonts w:cs="Calibri"/>
        </w:rPr>
        <w:t>(</w:t>
      </w:r>
      <w:r w:rsidRPr="00BA34A3">
        <w:rPr>
          <w:rFonts w:cs="Calibri"/>
        </w:rPr>
        <w:t>Grand Rapids: Eerdmans, 200</w:t>
      </w:r>
      <w:r>
        <w:rPr>
          <w:rFonts w:cs="Calibri"/>
        </w:rPr>
        <w:t>5), 23.</w:t>
      </w:r>
    </w:p>
  </w:footnote>
  <w:footnote w:id="297">
    <w:p w14:paraId="2FAB49F0" w14:textId="01C16DCE" w:rsidR="007B7018" w:rsidRDefault="007B7018">
      <w:pPr>
        <w:pStyle w:val="FootnoteText"/>
      </w:pPr>
      <w:r>
        <w:rPr>
          <w:rStyle w:val="FootnoteReference"/>
        </w:rPr>
        <w:footnoteRef/>
      </w:r>
      <w:r>
        <w:t xml:space="preserve"> J. Cheryl Exum, </w:t>
      </w:r>
      <w:r w:rsidRPr="001F52A8">
        <w:rPr>
          <w:rFonts w:cs="Calibri"/>
          <w:i/>
          <w:iCs/>
        </w:rPr>
        <w:t>Tragedy</w:t>
      </w:r>
      <w:r>
        <w:rPr>
          <w:rFonts w:cs="Calibri"/>
          <w:i/>
          <w:iCs/>
        </w:rPr>
        <w:t xml:space="preserve"> and Biblical Narrative</w:t>
      </w:r>
      <w:r>
        <w:rPr>
          <w:rFonts w:cs="Calibri"/>
        </w:rPr>
        <w:t xml:space="preserve"> (Cambridge: Cambridge University Press, 1992), 93.</w:t>
      </w:r>
    </w:p>
  </w:footnote>
  <w:footnote w:id="298">
    <w:p w14:paraId="0795C4A2" w14:textId="57C1A64D" w:rsidR="007B7018" w:rsidRDefault="007B7018">
      <w:pPr>
        <w:pStyle w:val="FootnoteText"/>
      </w:pPr>
      <w:r>
        <w:rPr>
          <w:rStyle w:val="FootnoteReference"/>
        </w:rPr>
        <w:footnoteRef/>
      </w:r>
      <w:r>
        <w:t xml:space="preserve"> P. Kyle McCarter,</w:t>
      </w:r>
      <w:r w:rsidRPr="00222246">
        <w:t xml:space="preserve"> </w:t>
      </w:r>
      <w:r>
        <w:rPr>
          <w:i/>
          <w:iCs/>
        </w:rPr>
        <w:t>II</w:t>
      </w:r>
      <w:r w:rsidRPr="00222246">
        <w:rPr>
          <w:i/>
          <w:iCs/>
        </w:rPr>
        <w:t xml:space="preserve"> Samuel</w:t>
      </w:r>
      <w:r>
        <w:rPr>
          <w:i/>
          <w:iCs/>
        </w:rPr>
        <w:t>: A New Translation with Introduction, Notes and Commentary</w:t>
      </w:r>
      <w:r>
        <w:t>, AB</w:t>
      </w:r>
      <w:r w:rsidRPr="00222246">
        <w:t xml:space="preserve"> </w:t>
      </w:r>
      <w:r>
        <w:t>9</w:t>
      </w:r>
      <w:r w:rsidRPr="00222246">
        <w:t xml:space="preserve"> </w:t>
      </w:r>
      <w:r>
        <w:t>(Garden City, NY</w:t>
      </w:r>
      <w:r w:rsidRPr="00222246">
        <w:t>: Doubleday, 198</w:t>
      </w:r>
      <w:r>
        <w:t>4), 76.</w:t>
      </w:r>
    </w:p>
  </w:footnote>
  <w:footnote w:id="299">
    <w:p w14:paraId="02FB4527" w14:textId="225C47F2" w:rsidR="007B7018" w:rsidRPr="00F4621D" w:rsidRDefault="007B7018">
      <w:pPr>
        <w:pStyle w:val="FootnoteText"/>
        <w:rPr>
          <w:iCs/>
        </w:rPr>
      </w:pPr>
      <w:r>
        <w:rPr>
          <w:rStyle w:val="FootnoteReference"/>
        </w:rPr>
        <w:footnoteRef/>
      </w:r>
      <w:r>
        <w:t xml:space="preserve"> Polzin, </w:t>
      </w:r>
      <w:r>
        <w:rPr>
          <w:rFonts w:cs="Calibri"/>
          <w:i/>
        </w:rPr>
        <w:t>David</w:t>
      </w:r>
      <w:r>
        <w:rPr>
          <w:rFonts w:cs="Calibri"/>
          <w:iCs/>
        </w:rPr>
        <w:t>, 13.</w:t>
      </w:r>
    </w:p>
  </w:footnote>
  <w:footnote w:id="300">
    <w:p w14:paraId="6A1CA471" w14:textId="2FC34719" w:rsidR="007B7018" w:rsidRDefault="007B7018" w:rsidP="0069176C">
      <w:pPr>
        <w:pStyle w:val="FootnoteText"/>
      </w:pPr>
      <w:r>
        <w:rPr>
          <w:rStyle w:val="FootnoteReference"/>
        </w:rPr>
        <w:footnoteRef/>
      </w:r>
      <w:r>
        <w:t xml:space="preserve"> Tod </w:t>
      </w:r>
      <w:r w:rsidRPr="004A7879">
        <w:rPr>
          <w:rFonts w:ascii="Calibri" w:eastAsia="LiberationSerif" w:hAnsi="Calibri" w:cs="Calibri"/>
        </w:rPr>
        <w:t>Linafelt,</w:t>
      </w:r>
      <w:r>
        <w:rPr>
          <w:rFonts w:ascii="Calibri" w:eastAsia="LiberationSerif" w:hAnsi="Calibri" w:cs="Calibri"/>
        </w:rPr>
        <w:t xml:space="preserve"> </w:t>
      </w:r>
      <w:r w:rsidRPr="004A7879">
        <w:rPr>
          <w:rFonts w:ascii="Calibri" w:eastAsia="LiberationSerif" w:hAnsi="Calibri" w:cs="Calibri"/>
        </w:rPr>
        <w:t>“Private Poetry and Public Eloquence in 2 Samuel 1:17–27: Hearing and Overhearing David’s Lament</w:t>
      </w:r>
      <w:r>
        <w:rPr>
          <w:rFonts w:ascii="Calibri" w:eastAsia="LiberationSerif" w:hAnsi="Calibri" w:cs="Calibri"/>
        </w:rPr>
        <w:t xml:space="preserve"> </w:t>
      </w:r>
      <w:r w:rsidRPr="004A7879">
        <w:rPr>
          <w:rFonts w:eastAsia="LiberationSerif" w:cs="Calibri"/>
        </w:rPr>
        <w:t>for Jonathan and Saul</w:t>
      </w:r>
      <w:r>
        <w:rPr>
          <w:rFonts w:eastAsia="LiberationSerif" w:cs="Calibri"/>
        </w:rPr>
        <w:t>,</w:t>
      </w:r>
      <w:r w:rsidRPr="004A7879">
        <w:rPr>
          <w:rFonts w:eastAsia="LiberationSerif" w:cs="Calibri"/>
        </w:rPr>
        <w:t xml:space="preserve">” </w:t>
      </w:r>
      <w:r w:rsidRPr="004A7879">
        <w:rPr>
          <w:rFonts w:eastAsia="LiberationSerif" w:cs="Calibri"/>
          <w:i/>
          <w:iCs/>
        </w:rPr>
        <w:t>J</w:t>
      </w:r>
      <w:r>
        <w:rPr>
          <w:rFonts w:eastAsia="LiberationSerif" w:cs="Calibri"/>
          <w:i/>
          <w:iCs/>
        </w:rPr>
        <w:t>ournal of Religion</w:t>
      </w:r>
      <w:r w:rsidRPr="004A7879">
        <w:rPr>
          <w:rFonts w:eastAsia="LiberationSerif" w:cs="Calibri"/>
          <w:i/>
          <w:iCs/>
        </w:rPr>
        <w:t xml:space="preserve"> </w:t>
      </w:r>
      <w:r w:rsidRPr="004A7879">
        <w:rPr>
          <w:rFonts w:eastAsia="LiberationSerif" w:cs="Calibri"/>
        </w:rPr>
        <w:t xml:space="preserve">88 (2008): </w:t>
      </w:r>
      <w:r>
        <w:rPr>
          <w:rFonts w:eastAsia="LiberationSerif" w:cs="Calibri"/>
        </w:rPr>
        <w:t>497-526 (500).</w:t>
      </w:r>
    </w:p>
  </w:footnote>
  <w:footnote w:id="301">
    <w:p w14:paraId="6AFACE7E" w14:textId="3E4933EF" w:rsidR="007B7018" w:rsidRDefault="007B7018" w:rsidP="00AD5282">
      <w:pPr>
        <w:pStyle w:val="FootnoteText"/>
      </w:pPr>
      <w:r w:rsidRPr="007B706D">
        <w:rPr>
          <w:rStyle w:val="FootnoteReference"/>
        </w:rPr>
        <w:footnoteRef/>
      </w:r>
      <w:r w:rsidRPr="007B706D">
        <w:t xml:space="preserve"> K. L. </w:t>
      </w:r>
      <w:r w:rsidRPr="007B706D">
        <w:rPr>
          <w:rFonts w:cs="Calibri"/>
        </w:rPr>
        <w:t xml:space="preserve">Noll, </w:t>
      </w:r>
      <w:r w:rsidRPr="007B706D">
        <w:rPr>
          <w:rFonts w:cs="Calibri"/>
          <w:i/>
        </w:rPr>
        <w:t>The Faces of David</w:t>
      </w:r>
      <w:r>
        <w:rPr>
          <w:rFonts w:cs="Calibri"/>
        </w:rPr>
        <w:t xml:space="preserve">, </w:t>
      </w:r>
      <w:r w:rsidRPr="007B706D">
        <w:rPr>
          <w:rFonts w:cs="Calibri"/>
        </w:rPr>
        <w:t xml:space="preserve">JSOTSup 242 </w:t>
      </w:r>
      <w:r>
        <w:rPr>
          <w:rFonts w:cs="Calibri"/>
        </w:rPr>
        <w:t>(</w:t>
      </w:r>
      <w:r w:rsidRPr="007B706D">
        <w:rPr>
          <w:rFonts w:cs="Calibri"/>
        </w:rPr>
        <w:t>Sheffield: Sheffield Academic, 1997</w:t>
      </w:r>
      <w:r>
        <w:rPr>
          <w:rFonts w:cs="Calibri"/>
        </w:rPr>
        <w:t>), 116.</w:t>
      </w:r>
    </w:p>
  </w:footnote>
  <w:footnote w:id="302">
    <w:p w14:paraId="5413B557" w14:textId="43022120" w:rsidR="007B7018" w:rsidRDefault="007B7018" w:rsidP="005F3E94">
      <w:pPr>
        <w:pStyle w:val="FootnoteText"/>
      </w:pPr>
      <w:r>
        <w:rPr>
          <w:rStyle w:val="FootnoteReference"/>
        </w:rPr>
        <w:footnoteRef/>
      </w:r>
      <w:r>
        <w:t xml:space="preserve"> Arnold A. </w:t>
      </w:r>
      <w:r>
        <w:rPr>
          <w:rFonts w:cs="Calibri"/>
        </w:rPr>
        <w:t xml:space="preserve">Anderson,. </w:t>
      </w:r>
      <w:r>
        <w:rPr>
          <w:rFonts w:cs="Calibri"/>
          <w:i/>
          <w:iCs/>
        </w:rPr>
        <w:t>2 Samuel</w:t>
      </w:r>
      <w:r>
        <w:rPr>
          <w:rFonts w:cs="Calibri"/>
        </w:rPr>
        <w:t>, WBC 11 (Dallas: Word, 1989), 23.</w:t>
      </w:r>
    </w:p>
  </w:footnote>
  <w:footnote w:id="303">
    <w:p w14:paraId="55A2FD09" w14:textId="41289332" w:rsidR="007B7018" w:rsidRPr="00CB4EC2" w:rsidRDefault="007B7018" w:rsidP="0049520B">
      <w:pPr>
        <w:pStyle w:val="FootnoteText"/>
      </w:pPr>
      <w:r>
        <w:rPr>
          <w:rStyle w:val="FootnoteReference"/>
        </w:rPr>
        <w:footnoteRef/>
      </w:r>
      <w:r>
        <w:t xml:space="preserve"> 1 Chr 8:33; 9:39 have Esh-baal; here, </w:t>
      </w:r>
      <w:r>
        <w:rPr>
          <w:i/>
          <w:iCs/>
        </w:rPr>
        <w:t>b</w:t>
      </w:r>
      <w:r>
        <w:rPr>
          <w:rFonts w:cstheme="minorHAnsi"/>
          <w:i/>
          <w:iCs/>
        </w:rPr>
        <w:t>ōš</w:t>
      </w:r>
      <w:r>
        <w:rPr>
          <w:i/>
          <w:iCs/>
        </w:rPr>
        <w:t xml:space="preserve">et </w:t>
      </w:r>
      <w:r>
        <w:t xml:space="preserve">(shame) replaces </w:t>
      </w:r>
      <w:r>
        <w:rPr>
          <w:i/>
          <w:iCs/>
        </w:rPr>
        <w:t>ba‘al</w:t>
      </w:r>
      <w:r>
        <w:t xml:space="preserve">, which in later usage would sound like a reference to Baal, but in origin will refer to Yahweh as Master. Either </w:t>
      </w:r>
      <w:r>
        <w:rPr>
          <w:i/>
          <w:iCs/>
        </w:rPr>
        <w:t>’</w:t>
      </w:r>
      <w:r>
        <w:rPr>
          <w:rFonts w:cstheme="minorHAnsi"/>
          <w:i/>
          <w:iCs/>
        </w:rPr>
        <w:t>îš ba‘al</w:t>
      </w:r>
      <w:r>
        <w:rPr>
          <w:rFonts w:cstheme="minorHAnsi"/>
        </w:rPr>
        <w:t>, “Man of the Master”</w:t>
      </w:r>
      <w:r>
        <w:t xml:space="preserve"> or </w:t>
      </w:r>
      <w:r>
        <w:rPr>
          <w:i/>
          <w:iCs/>
        </w:rPr>
        <w:t>’</w:t>
      </w:r>
      <w:r>
        <w:rPr>
          <w:rFonts w:cstheme="minorHAnsi"/>
          <w:i/>
          <w:iCs/>
        </w:rPr>
        <w:t>ēš ba‘al</w:t>
      </w:r>
      <w:r>
        <w:rPr>
          <w:rFonts w:cstheme="minorHAnsi"/>
        </w:rPr>
        <w:t xml:space="preserve"> “The Master Exists” might be the original form.</w:t>
      </w:r>
    </w:p>
  </w:footnote>
  <w:footnote w:id="304">
    <w:p w14:paraId="6ECA27A0" w14:textId="7D1DA927" w:rsidR="007B7018" w:rsidRPr="00AA62E5" w:rsidRDefault="007B7018" w:rsidP="00A650E6">
      <w:pPr>
        <w:pStyle w:val="FootnoteText"/>
      </w:pPr>
      <w:r>
        <w:rPr>
          <w:rStyle w:val="FootnoteReference"/>
        </w:rPr>
        <w:footnoteRef/>
      </w:r>
      <w:r>
        <w:t xml:space="preserve"> </w:t>
      </w:r>
      <w:r>
        <w:rPr>
          <w:rFonts w:cs="Calibri"/>
        </w:rPr>
        <w:t xml:space="preserve">Anderson, </w:t>
      </w:r>
      <w:r>
        <w:rPr>
          <w:rFonts w:cs="Calibri"/>
          <w:i/>
          <w:iCs/>
        </w:rPr>
        <w:t>2 Samuel</w:t>
      </w:r>
      <w:r>
        <w:rPr>
          <w:rFonts w:cs="Calibri"/>
        </w:rPr>
        <w:t>, 57-58.</w:t>
      </w:r>
    </w:p>
  </w:footnote>
  <w:footnote w:id="305">
    <w:p w14:paraId="49A99C1F" w14:textId="77777777" w:rsidR="007B7018" w:rsidRDefault="007B7018" w:rsidP="00C345F0">
      <w:pPr>
        <w:pStyle w:val="FootnoteText"/>
      </w:pPr>
      <w:r>
        <w:rPr>
          <w:rStyle w:val="FootnoteReference"/>
        </w:rPr>
        <w:footnoteRef/>
      </w:r>
      <w:r>
        <w:t xml:space="preserve"> J. Cheryl Exum, </w:t>
      </w:r>
      <w:r w:rsidRPr="001F52A8">
        <w:rPr>
          <w:rFonts w:cs="Calibri"/>
          <w:i/>
          <w:iCs/>
        </w:rPr>
        <w:t>Tragedy</w:t>
      </w:r>
      <w:r>
        <w:rPr>
          <w:rFonts w:cs="Calibri"/>
          <w:i/>
          <w:iCs/>
        </w:rPr>
        <w:t xml:space="preserve"> and Biblical Narrative</w:t>
      </w:r>
      <w:r>
        <w:rPr>
          <w:rFonts w:cs="Calibri"/>
        </w:rPr>
        <w:t xml:space="preserve"> (Cambridge: Cambridge University Press, 1992), 106, 107.</w:t>
      </w:r>
    </w:p>
  </w:footnote>
  <w:footnote w:id="306">
    <w:p w14:paraId="1F752D69" w14:textId="35D274EF" w:rsidR="007B7018" w:rsidRDefault="007B7018">
      <w:pPr>
        <w:pStyle w:val="FootnoteText"/>
      </w:pPr>
      <w:r>
        <w:rPr>
          <w:rStyle w:val="FootnoteReference"/>
        </w:rPr>
        <w:footnoteRef/>
      </w:r>
      <w:r>
        <w:t xml:space="preserve"> Anthony F. Campbell, </w:t>
      </w:r>
      <w:r>
        <w:rPr>
          <w:rFonts w:cs="Calibri"/>
          <w:i/>
        </w:rPr>
        <w:t>2</w:t>
      </w:r>
      <w:r w:rsidRPr="00BA34A3">
        <w:rPr>
          <w:rFonts w:cs="Calibri"/>
          <w:i/>
        </w:rPr>
        <w:t xml:space="preserve"> Samuel</w:t>
      </w:r>
      <w:r>
        <w:rPr>
          <w:rFonts w:cs="Calibri"/>
        </w:rPr>
        <w:t xml:space="preserve">, </w:t>
      </w:r>
      <w:r w:rsidRPr="00BA34A3">
        <w:rPr>
          <w:rFonts w:cs="Calibri"/>
        </w:rPr>
        <w:t>FOTL</w:t>
      </w:r>
      <w:r>
        <w:rPr>
          <w:rFonts w:cs="Calibri"/>
        </w:rPr>
        <w:t xml:space="preserve"> 8</w:t>
      </w:r>
      <w:r w:rsidRPr="00BA34A3">
        <w:rPr>
          <w:rFonts w:cs="Calibri"/>
        </w:rPr>
        <w:t xml:space="preserve"> </w:t>
      </w:r>
      <w:r>
        <w:rPr>
          <w:rFonts w:cs="Calibri"/>
        </w:rPr>
        <w:t>(</w:t>
      </w:r>
      <w:r w:rsidRPr="00BA34A3">
        <w:rPr>
          <w:rFonts w:cs="Calibri"/>
        </w:rPr>
        <w:t>Grand Rapids: Eerdmans, 200</w:t>
      </w:r>
      <w:r>
        <w:rPr>
          <w:rFonts w:cs="Calibri"/>
        </w:rPr>
        <w:t>5), 43.</w:t>
      </w:r>
    </w:p>
  </w:footnote>
  <w:footnote w:id="307">
    <w:p w14:paraId="3A2A8D7E" w14:textId="62743930" w:rsidR="007B7018" w:rsidRDefault="007B7018" w:rsidP="002577B4">
      <w:pPr>
        <w:pStyle w:val="FootnoteText"/>
      </w:pPr>
      <w:r>
        <w:rPr>
          <w:rStyle w:val="FootnoteReference"/>
        </w:rPr>
        <w:footnoteRef/>
      </w:r>
      <w:r>
        <w:t xml:space="preserve"> </w:t>
      </w:r>
      <w:r w:rsidRPr="00BA34A3">
        <w:rPr>
          <w:rFonts w:eastAsia="Times New Roman" w:cs="Calibri"/>
          <w:color w:val="3A3A3A"/>
        </w:rPr>
        <w:t>Johanna W. H. van</w:t>
      </w:r>
      <w:r>
        <w:rPr>
          <w:rFonts w:eastAsia="Times New Roman" w:cs="Calibri"/>
          <w:color w:val="3A3A3A"/>
        </w:rPr>
        <w:t xml:space="preserve"> </w:t>
      </w:r>
      <w:r w:rsidRPr="00BA34A3">
        <w:rPr>
          <w:rFonts w:eastAsia="Times New Roman" w:cs="Calibri"/>
          <w:color w:val="3A3A3A"/>
        </w:rPr>
        <w:t>Wijk-</w:t>
      </w:r>
      <w:r>
        <w:rPr>
          <w:rFonts w:eastAsia="Times New Roman" w:cs="Calibri"/>
          <w:color w:val="3A3A3A"/>
        </w:rPr>
        <w:t xml:space="preserve">bos, </w:t>
      </w:r>
      <w:r w:rsidRPr="00972463">
        <w:rPr>
          <w:rFonts w:eastAsia="Times New Roman" w:cs="Calibri"/>
          <w:i/>
          <w:iCs/>
          <w:color w:val="3A3A3A"/>
        </w:rPr>
        <w:t>Reading Samuel</w:t>
      </w:r>
      <w:r w:rsidRPr="00EB7A48">
        <w:rPr>
          <w:rFonts w:ascii="Calibri" w:eastAsia="Times New Roman" w:hAnsi="Calibri" w:cs="Calibri"/>
          <w:i/>
          <w:iCs/>
          <w:color w:val="3A3A3A"/>
        </w:rPr>
        <w:t xml:space="preserve">: </w:t>
      </w:r>
      <w:r w:rsidRPr="00EB7A48">
        <w:rPr>
          <w:rFonts w:ascii="Calibri" w:hAnsi="Calibri" w:cs="Calibri"/>
          <w:i/>
          <w:iCs/>
        </w:rPr>
        <w:t>A Literary and Theological Commentary</w:t>
      </w:r>
      <w:r w:rsidRPr="00972463">
        <w:rPr>
          <w:rFonts w:eastAsia="Times New Roman" w:cs="Calibri"/>
          <w:color w:val="3A3A3A"/>
        </w:rPr>
        <w:t xml:space="preserve"> </w:t>
      </w:r>
      <w:r>
        <w:rPr>
          <w:rFonts w:eastAsia="Times New Roman" w:cs="Calibri"/>
          <w:color w:val="3A3A3A"/>
        </w:rPr>
        <w:t>(Macon, GA: Smith and Helwys</w:t>
      </w:r>
      <w:r w:rsidRPr="00972463">
        <w:rPr>
          <w:rFonts w:eastAsia="Times New Roman" w:cs="Calibri"/>
          <w:color w:val="3A3A3A"/>
        </w:rPr>
        <w:t>, 2011</w:t>
      </w:r>
      <w:r>
        <w:rPr>
          <w:rFonts w:eastAsia="Times New Roman" w:cs="Calibri"/>
          <w:color w:val="3A3A3A"/>
        </w:rPr>
        <w:t>), 155.</w:t>
      </w:r>
    </w:p>
  </w:footnote>
  <w:footnote w:id="308">
    <w:p w14:paraId="22C0AEC2" w14:textId="77777777" w:rsidR="007B7018" w:rsidRDefault="007B7018" w:rsidP="00290DD1">
      <w:pPr>
        <w:pStyle w:val="FootnoteText"/>
      </w:pPr>
      <w:r>
        <w:rPr>
          <w:rStyle w:val="FootnoteReference"/>
        </w:rPr>
        <w:footnoteRef/>
      </w:r>
      <w:r>
        <w:t xml:space="preserve"> Barbara Green, “Joab’s Coherence and Incoherence: Character and Characterization,” in Keith </w:t>
      </w:r>
      <w:r w:rsidRPr="00BA34A3">
        <w:rPr>
          <w:rFonts w:cs="Calibri"/>
        </w:rPr>
        <w:t>Bodner and Benjamin J. M. Johnson, eds.</w:t>
      </w:r>
      <w:r>
        <w:rPr>
          <w:rFonts w:cs="Calibri"/>
        </w:rPr>
        <w:t>,</w:t>
      </w:r>
      <w:r w:rsidRPr="00BA34A3">
        <w:rPr>
          <w:rFonts w:cs="Calibri"/>
        </w:rPr>
        <w:t xml:space="preserve"> </w:t>
      </w:r>
      <w:r w:rsidRPr="00BA34A3">
        <w:rPr>
          <w:rFonts w:cs="Calibri"/>
          <w:i/>
        </w:rPr>
        <w:t>Characters and Characterization in the Book of Samuel</w:t>
      </w:r>
      <w:r w:rsidRPr="00BA34A3">
        <w:rPr>
          <w:rFonts w:cs="Calibri"/>
        </w:rPr>
        <w:t xml:space="preserve"> </w:t>
      </w:r>
      <w:r>
        <w:rPr>
          <w:rFonts w:cs="Calibri"/>
        </w:rPr>
        <w:t xml:space="preserve">(LHBOTS 669; </w:t>
      </w:r>
      <w:r w:rsidRPr="00BA34A3">
        <w:rPr>
          <w:rFonts w:cs="Calibri"/>
        </w:rPr>
        <w:t xml:space="preserve">London: </w:t>
      </w:r>
      <w:r>
        <w:rPr>
          <w:rFonts w:cs="Calibri"/>
        </w:rPr>
        <w:t xml:space="preserve">T &amp; T </w:t>
      </w:r>
      <w:r w:rsidRPr="00BA34A3">
        <w:rPr>
          <w:rFonts w:cs="Calibri"/>
        </w:rPr>
        <w:t>Clark, 2020</w:t>
      </w:r>
      <w:r>
        <w:rPr>
          <w:rFonts w:cs="Calibri"/>
        </w:rPr>
        <w:t>),</w:t>
      </w:r>
      <w:r>
        <w:t xml:space="preserve"> 183-204 (186).</w:t>
      </w:r>
    </w:p>
  </w:footnote>
  <w:footnote w:id="309">
    <w:p w14:paraId="2025E852" w14:textId="30145E5B" w:rsidR="007B7018" w:rsidRPr="002C1598" w:rsidRDefault="007B7018" w:rsidP="002C1598">
      <w:pPr>
        <w:pStyle w:val="FootnoteText"/>
        <w:rPr>
          <w:rFonts w:cs="Calibri"/>
        </w:rPr>
      </w:pPr>
      <w:r>
        <w:rPr>
          <w:rStyle w:val="FootnoteReference"/>
        </w:rPr>
        <w:footnoteRef/>
      </w:r>
      <w:r>
        <w:t xml:space="preserve"> Walter Brueggemann, </w:t>
      </w:r>
      <w:r>
        <w:rPr>
          <w:i/>
          <w:iCs/>
        </w:rPr>
        <w:t>First and Second Samuel</w:t>
      </w:r>
      <w:r>
        <w:t xml:space="preserve">, </w:t>
      </w:r>
      <w:r w:rsidRPr="00BA34A3">
        <w:rPr>
          <w:rFonts w:cs="Calibri"/>
        </w:rPr>
        <w:t>Interpretation</w:t>
      </w:r>
      <w:r>
        <w:rPr>
          <w:rFonts w:cs="Calibri"/>
        </w:rPr>
        <w:t>: A Bible Commentary for Teaching and Preaching</w:t>
      </w:r>
      <w:r w:rsidRPr="00BA34A3">
        <w:rPr>
          <w:rFonts w:cs="Calibri"/>
        </w:rPr>
        <w:t xml:space="preserve"> </w:t>
      </w:r>
      <w:r>
        <w:rPr>
          <w:rFonts w:cs="Calibri"/>
        </w:rPr>
        <w:t>(</w:t>
      </w:r>
      <w:r w:rsidRPr="00BA34A3">
        <w:rPr>
          <w:rFonts w:cs="Calibri"/>
        </w:rPr>
        <w:t>Louisville: John Knox, 1990</w:t>
      </w:r>
      <w:r>
        <w:rPr>
          <w:rFonts w:cs="Calibri"/>
        </w:rPr>
        <w:t>), 232.</w:t>
      </w:r>
    </w:p>
  </w:footnote>
  <w:footnote w:id="310">
    <w:p w14:paraId="6DD18CFA" w14:textId="47D5EC66" w:rsidR="007B7018" w:rsidRPr="00260D0F" w:rsidRDefault="007B7018" w:rsidP="00290DD1">
      <w:pPr>
        <w:pStyle w:val="FootnoteText"/>
        <w:rPr>
          <w:iCs/>
        </w:rPr>
      </w:pPr>
      <w:r>
        <w:rPr>
          <w:rStyle w:val="FootnoteReference"/>
        </w:rPr>
        <w:footnoteRef/>
      </w:r>
      <w:r>
        <w:t xml:space="preserve"> </w:t>
      </w:r>
      <w:r w:rsidRPr="00BA34A3">
        <w:rPr>
          <w:rFonts w:cs="Calibri"/>
        </w:rPr>
        <w:t>A. Gra</w:t>
      </w:r>
      <w:r>
        <w:rPr>
          <w:rFonts w:cs="Calibri"/>
        </w:rPr>
        <w:t>eme Auld</w:t>
      </w:r>
      <w:r>
        <w:t xml:space="preserve"> </w:t>
      </w:r>
      <w:r>
        <w:rPr>
          <w:i/>
          <w:iCs/>
        </w:rPr>
        <w:t>I &amp; II Samuel</w:t>
      </w:r>
      <w:r>
        <w:rPr>
          <w:rFonts w:cs="Calibri"/>
          <w:i/>
        </w:rPr>
        <w:t>: A Commentary</w:t>
      </w:r>
      <w:r>
        <w:rPr>
          <w:rFonts w:cs="Calibri"/>
        </w:rPr>
        <w:t xml:space="preserve">, </w:t>
      </w:r>
      <w:r w:rsidRPr="00BA34A3">
        <w:rPr>
          <w:rFonts w:cs="Calibri"/>
        </w:rPr>
        <w:t xml:space="preserve">OTL </w:t>
      </w:r>
      <w:r>
        <w:rPr>
          <w:rFonts w:cs="Calibri"/>
        </w:rPr>
        <w:t>(</w:t>
      </w:r>
      <w:r w:rsidRPr="00BA34A3">
        <w:rPr>
          <w:rFonts w:cs="Calibri"/>
        </w:rPr>
        <w:t>Louisville: Westminster John Knox, 2011</w:t>
      </w:r>
      <w:r>
        <w:t>)</w:t>
      </w:r>
      <w:r>
        <w:rPr>
          <w:rFonts w:cs="Calibri"/>
          <w:iCs/>
        </w:rPr>
        <w:t>, 392-93.</w:t>
      </w:r>
    </w:p>
  </w:footnote>
  <w:footnote w:id="311">
    <w:p w14:paraId="302CE823" w14:textId="1ABC56A9" w:rsidR="007B7018" w:rsidRDefault="007B7018">
      <w:pPr>
        <w:pStyle w:val="FootnoteText"/>
      </w:pPr>
      <w:r>
        <w:rPr>
          <w:rStyle w:val="FootnoteReference"/>
        </w:rPr>
        <w:footnoteRef/>
      </w:r>
      <w:r>
        <w:t xml:space="preserve"> Brueggemann, </w:t>
      </w:r>
      <w:r>
        <w:rPr>
          <w:i/>
          <w:iCs/>
        </w:rPr>
        <w:t>First and Second Samuel</w:t>
      </w:r>
      <w:r>
        <w:rPr>
          <w:rFonts w:cs="Calibri"/>
        </w:rPr>
        <w:t>, 238-39.</w:t>
      </w:r>
    </w:p>
  </w:footnote>
  <w:footnote w:id="312">
    <w:p w14:paraId="4B478F04" w14:textId="785EF56D" w:rsidR="007B7018" w:rsidRDefault="007B7018" w:rsidP="00114EFC">
      <w:pPr>
        <w:pStyle w:val="FootnoteText"/>
      </w:pPr>
      <w:r>
        <w:rPr>
          <w:rStyle w:val="FootnoteReference"/>
        </w:rPr>
        <w:footnoteRef/>
      </w:r>
      <w:r>
        <w:t xml:space="preserve"> Donald F. </w:t>
      </w:r>
      <w:r>
        <w:rPr>
          <w:rFonts w:cs="Calibri"/>
          <w:bCs/>
          <w:lang w:bidi="he-IL"/>
        </w:rPr>
        <w:t xml:space="preserve">Murray, </w:t>
      </w:r>
      <w:r w:rsidRPr="00173B8A">
        <w:rPr>
          <w:i/>
          <w:iCs/>
          <w:bdr w:val="none" w:sz="0" w:space="0" w:color="auto" w:frame="1"/>
        </w:rPr>
        <w:t>Divine P</w:t>
      </w:r>
      <w:r w:rsidRPr="00173B8A">
        <w:rPr>
          <w:i/>
          <w:iCs/>
        </w:rPr>
        <w:t>r</w:t>
      </w:r>
      <w:r w:rsidRPr="00173B8A">
        <w:rPr>
          <w:i/>
          <w:iCs/>
          <w:bdr w:val="none" w:sz="0" w:space="0" w:color="auto" w:frame="1"/>
        </w:rPr>
        <w:t>erogative and Royal Pretension: Pragmatics, Poetics and Polemics in a Narrative Sequence About David (2 Samuel 5.17-7.29)</w:t>
      </w:r>
      <w:r>
        <w:rPr>
          <w:bdr w:val="none" w:sz="0" w:space="0" w:color="auto" w:frame="1"/>
        </w:rPr>
        <w:t>, JSOTSup 264 (Sheffield: Sheffield Academic, 1998).</w:t>
      </w:r>
    </w:p>
  </w:footnote>
  <w:footnote w:id="313">
    <w:p w14:paraId="02E4C2E7" w14:textId="501035D5" w:rsidR="007B7018" w:rsidRPr="007956A2" w:rsidRDefault="007B7018">
      <w:pPr>
        <w:pStyle w:val="FootnoteText"/>
        <w:rPr>
          <w:iCs/>
        </w:rPr>
      </w:pPr>
      <w:r>
        <w:rPr>
          <w:rStyle w:val="FootnoteReference"/>
        </w:rPr>
        <w:footnoteRef/>
      </w:r>
      <w:r>
        <w:t xml:space="preserve"> </w:t>
      </w:r>
      <w:r w:rsidRPr="00BA34A3">
        <w:rPr>
          <w:rFonts w:cs="Calibri"/>
        </w:rPr>
        <w:t>Eugene H.</w:t>
      </w:r>
      <w:r w:rsidRPr="005E3ED7">
        <w:rPr>
          <w:rFonts w:cs="Calibri"/>
        </w:rPr>
        <w:t xml:space="preserve"> </w:t>
      </w:r>
      <w:r w:rsidRPr="00BA34A3">
        <w:rPr>
          <w:rFonts w:cs="Calibri"/>
        </w:rPr>
        <w:t xml:space="preserve">Peterson, </w:t>
      </w:r>
      <w:r w:rsidRPr="00BA34A3">
        <w:rPr>
          <w:rFonts w:cs="Calibri"/>
          <w:i/>
        </w:rPr>
        <w:t>First and Second Samuel</w:t>
      </w:r>
      <w:r>
        <w:rPr>
          <w:rFonts w:cs="Calibri"/>
          <w:i/>
        </w:rPr>
        <w:t xml:space="preserve"> </w:t>
      </w:r>
      <w:r>
        <w:rPr>
          <w:rFonts w:cs="Calibri"/>
        </w:rPr>
        <w:t>(</w:t>
      </w:r>
      <w:r w:rsidRPr="00BA34A3">
        <w:rPr>
          <w:rFonts w:cs="Calibri"/>
        </w:rPr>
        <w:t>Louisville, KY: Westminster John Knox, 1999</w:t>
      </w:r>
      <w:r>
        <w:rPr>
          <w:rFonts w:cs="Calibri"/>
        </w:rPr>
        <w:t>),</w:t>
      </w:r>
      <w:r>
        <w:rPr>
          <w:rFonts w:cs="Calibri"/>
          <w:iCs/>
        </w:rPr>
        <w:t xml:space="preserve"> 157.</w:t>
      </w:r>
    </w:p>
  </w:footnote>
  <w:footnote w:id="314">
    <w:p w14:paraId="3CB81573" w14:textId="7AF8DBBC" w:rsidR="007B7018" w:rsidRPr="008A21D9" w:rsidRDefault="007B7018">
      <w:pPr>
        <w:pStyle w:val="FootnoteText"/>
      </w:pPr>
      <w:r>
        <w:rPr>
          <w:rStyle w:val="FootnoteReference"/>
        </w:rPr>
        <w:footnoteRef/>
      </w:r>
      <w:r>
        <w:t xml:space="preserve"> See Alasdair C. MacIntyre, </w:t>
      </w:r>
      <w:r>
        <w:rPr>
          <w:i/>
          <w:iCs/>
        </w:rPr>
        <w:t>Whose Justice? Which Rationality?</w:t>
      </w:r>
      <w:r>
        <w:t xml:space="preserve"> (London: Duckworth, 1988).</w:t>
      </w:r>
    </w:p>
  </w:footnote>
  <w:footnote w:id="315">
    <w:p w14:paraId="77857882" w14:textId="4CBDB6D2" w:rsidR="007B7018" w:rsidRDefault="007B7018" w:rsidP="00EE2F58">
      <w:pPr>
        <w:pStyle w:val="FootnoteText"/>
      </w:pPr>
      <w:r>
        <w:rPr>
          <w:rStyle w:val="FootnoteReference"/>
        </w:rPr>
        <w:footnoteRef/>
      </w:r>
      <w:r>
        <w:t xml:space="preserve"> See Richard G. </w:t>
      </w:r>
      <w:r w:rsidRPr="005E3935">
        <w:rPr>
          <w:rFonts w:cs="Calibri"/>
        </w:rPr>
        <w:t xml:space="preserve">Smith, </w:t>
      </w:r>
      <w:r w:rsidRPr="005E3935">
        <w:rPr>
          <w:rFonts w:cs="Calibri"/>
          <w:i/>
        </w:rPr>
        <w:t xml:space="preserve">The Fate of Justice and Righteousness During David’s Reign: </w:t>
      </w:r>
      <w:r w:rsidRPr="005E3935">
        <w:rPr>
          <w:rFonts w:cs="Calibri"/>
          <w:i/>
          <w:color w:val="000000"/>
        </w:rPr>
        <w:t>Narrative Ethics and Rereading the Court History according to 2 Samuel 8:15</w:t>
      </w:r>
      <w:r>
        <w:rPr>
          <w:rFonts w:cs="Calibri"/>
          <w:i/>
          <w:color w:val="000000"/>
        </w:rPr>
        <w:t xml:space="preserve"> – </w:t>
      </w:r>
      <w:r w:rsidRPr="005E3935">
        <w:rPr>
          <w:rFonts w:cs="Calibri"/>
          <w:i/>
          <w:color w:val="000000"/>
        </w:rPr>
        <w:t>20:26</w:t>
      </w:r>
      <w:r>
        <w:rPr>
          <w:rFonts w:cs="Calibri"/>
          <w:i/>
          <w:color w:val="000000"/>
        </w:rPr>
        <w:t xml:space="preserve">, </w:t>
      </w:r>
      <w:r w:rsidRPr="005E3935">
        <w:rPr>
          <w:rFonts w:cs="Calibri"/>
        </w:rPr>
        <w:t xml:space="preserve">LHBOTS 508 </w:t>
      </w:r>
      <w:r>
        <w:rPr>
          <w:rFonts w:cs="Calibri"/>
        </w:rPr>
        <w:t>(</w:t>
      </w:r>
      <w:r w:rsidRPr="005E3935">
        <w:rPr>
          <w:rFonts w:cs="Calibri"/>
        </w:rPr>
        <w:t>London: T &amp; T Clark, 2009</w:t>
      </w:r>
      <w:r>
        <w:rPr>
          <w:rFonts w:cs="Calibri"/>
        </w:rPr>
        <w:t>).</w:t>
      </w:r>
    </w:p>
  </w:footnote>
  <w:footnote w:id="316">
    <w:p w14:paraId="2A910622" w14:textId="77777777" w:rsidR="007B7018" w:rsidRPr="00D232D0" w:rsidRDefault="007B7018" w:rsidP="005E0993">
      <w:pPr>
        <w:pStyle w:val="FootnoteText"/>
        <w:rPr>
          <w:iCs/>
        </w:rPr>
      </w:pPr>
      <w:r>
        <w:rPr>
          <w:rStyle w:val="FootnoteReference"/>
        </w:rPr>
        <w:footnoteRef/>
      </w:r>
      <w:r>
        <w:t xml:space="preserve"> Robert </w:t>
      </w:r>
      <w:r w:rsidRPr="00BA34A3">
        <w:rPr>
          <w:rFonts w:cs="Calibri"/>
        </w:rPr>
        <w:t xml:space="preserve">Polzin, </w:t>
      </w:r>
      <w:r>
        <w:rPr>
          <w:rFonts w:cs="Calibri"/>
          <w:i/>
        </w:rPr>
        <w:t>David</w:t>
      </w:r>
      <w:r w:rsidRPr="00BA34A3">
        <w:rPr>
          <w:rFonts w:cs="Calibri"/>
          <w:i/>
        </w:rPr>
        <w:t xml:space="preserve"> and the Deuteronomist: A Literary Study of the Deuteronomic History</w:t>
      </w:r>
      <w:r>
        <w:rPr>
          <w:rFonts w:cs="Calibri"/>
          <w:i/>
        </w:rPr>
        <w:t>.</w:t>
      </w:r>
      <w:r>
        <w:rPr>
          <w:rFonts w:cs="Calibri"/>
          <w:iCs/>
        </w:rPr>
        <w:t xml:space="preserve"> Part Three: 2 Samuel (</w:t>
      </w:r>
      <w:r w:rsidRPr="00BA34A3">
        <w:rPr>
          <w:rFonts w:cs="Calibri"/>
        </w:rPr>
        <w:t xml:space="preserve">Bloomington: Indiana University Press, </w:t>
      </w:r>
      <w:r>
        <w:rPr>
          <w:rFonts w:cs="Calibri"/>
          <w:iCs/>
        </w:rPr>
        <w:t>1993), 47-53.</w:t>
      </w:r>
    </w:p>
  </w:footnote>
  <w:footnote w:id="317">
    <w:p w14:paraId="7E1186D9" w14:textId="347DFA9A" w:rsidR="007B7018" w:rsidRPr="003B7956" w:rsidRDefault="007B7018">
      <w:pPr>
        <w:pStyle w:val="FootnoteText"/>
      </w:pPr>
      <w:r>
        <w:rPr>
          <w:rStyle w:val="FootnoteReference"/>
        </w:rPr>
        <w:footnoteRef/>
      </w:r>
      <w:r>
        <w:t xml:space="preserve"> Robert Alter, </w:t>
      </w:r>
      <w:r w:rsidRPr="00BA34A3">
        <w:rPr>
          <w:rFonts w:cs="Calibri"/>
          <w:i/>
        </w:rPr>
        <w:t>The David Story: A Translation with Commentary of 1 and 2 Samuel</w:t>
      </w:r>
      <w:r w:rsidRPr="00BA34A3">
        <w:rPr>
          <w:rFonts w:cs="Calibri"/>
        </w:rPr>
        <w:t xml:space="preserve"> </w:t>
      </w:r>
      <w:r>
        <w:rPr>
          <w:rFonts w:cs="Calibri"/>
        </w:rPr>
        <w:t>(</w:t>
      </w:r>
      <w:r w:rsidRPr="00BA34A3">
        <w:rPr>
          <w:rFonts w:cs="Calibri"/>
        </w:rPr>
        <w:t>New York: Norton, 1999</w:t>
      </w:r>
      <w:r>
        <w:rPr>
          <w:rFonts w:cs="Calibri"/>
        </w:rPr>
        <w:t>)</w:t>
      </w:r>
      <w:r>
        <w:t>, 208.</w:t>
      </w:r>
    </w:p>
  </w:footnote>
  <w:footnote w:id="318">
    <w:p w14:paraId="572518A0" w14:textId="45E81D49" w:rsidR="007B7018" w:rsidRDefault="007B7018" w:rsidP="001A65CC">
      <w:pPr>
        <w:pStyle w:val="FootnoteText"/>
      </w:pPr>
      <w:r>
        <w:rPr>
          <w:rStyle w:val="FootnoteReference"/>
        </w:rPr>
        <w:footnoteRef/>
      </w:r>
      <w:r>
        <w:t xml:space="preserve"> </w:t>
      </w:r>
      <w:r w:rsidRPr="00BA34A3">
        <w:rPr>
          <w:rFonts w:cs="Calibri"/>
        </w:rPr>
        <w:t xml:space="preserve">Peterson, </w:t>
      </w:r>
      <w:r w:rsidRPr="00BA34A3">
        <w:rPr>
          <w:rFonts w:cs="Calibri"/>
          <w:i/>
        </w:rPr>
        <w:t>First and Second Samuel</w:t>
      </w:r>
      <w:r>
        <w:rPr>
          <w:rFonts w:cs="Calibri"/>
        </w:rPr>
        <w:t>, 150.</w:t>
      </w:r>
    </w:p>
  </w:footnote>
  <w:footnote w:id="319">
    <w:p w14:paraId="4450B053" w14:textId="29EFDDF9" w:rsidR="007B7018" w:rsidRDefault="007B7018" w:rsidP="00AB7895">
      <w:pPr>
        <w:pStyle w:val="FootnoteText"/>
      </w:pPr>
      <w:r>
        <w:rPr>
          <w:rStyle w:val="FootnoteReference"/>
        </w:rPr>
        <w:footnoteRef/>
      </w:r>
      <w:r>
        <w:t xml:space="preserve"> Lilian R. Klein, “Michal, the Barren Wife,” in Athalya </w:t>
      </w:r>
      <w:r w:rsidRPr="00AB7895">
        <w:rPr>
          <w:rFonts w:cs="Calibri"/>
        </w:rPr>
        <w:t>Brenner, ed.</w:t>
      </w:r>
      <w:r>
        <w:rPr>
          <w:rFonts w:cs="Calibri"/>
        </w:rPr>
        <w:t>,</w:t>
      </w:r>
      <w:r w:rsidRPr="00AB7895">
        <w:rPr>
          <w:rFonts w:cs="Calibri"/>
        </w:rPr>
        <w:t xml:space="preserve"> </w:t>
      </w:r>
      <w:r>
        <w:rPr>
          <w:rFonts w:cs="Calibri"/>
          <w:i/>
          <w:iCs/>
        </w:rPr>
        <w:t>Samuel and Kings</w:t>
      </w:r>
      <w:r>
        <w:rPr>
          <w:rFonts w:cs="Calibri"/>
        </w:rPr>
        <w:t>, A Feminist Companion to the Bible (Second Series) (Sheffield: Sheffield Academic, 2000), 37</w:t>
      </w:r>
      <w:r>
        <w:t>-46 (39).</w:t>
      </w:r>
    </w:p>
  </w:footnote>
  <w:footnote w:id="320">
    <w:p w14:paraId="32921821" w14:textId="172C3B70" w:rsidR="007B7018" w:rsidRDefault="007B7018">
      <w:pPr>
        <w:pStyle w:val="FootnoteText"/>
      </w:pPr>
      <w:r>
        <w:rPr>
          <w:rStyle w:val="FootnoteReference"/>
        </w:rPr>
        <w:footnoteRef/>
      </w:r>
      <w:r>
        <w:t xml:space="preserve"> Craig E. </w:t>
      </w:r>
      <w:r w:rsidRPr="00BA34A3">
        <w:rPr>
          <w:rFonts w:cs="Calibri"/>
        </w:rPr>
        <w:t xml:space="preserve">Morrison, </w:t>
      </w:r>
      <w:r w:rsidRPr="00BA34A3">
        <w:rPr>
          <w:rFonts w:cs="Calibri"/>
          <w:i/>
        </w:rPr>
        <w:t>2 Samuel</w:t>
      </w:r>
      <w:r>
        <w:rPr>
          <w:rFonts w:cs="Calibri"/>
        </w:rPr>
        <w:t xml:space="preserve">, </w:t>
      </w:r>
      <w:r w:rsidRPr="00BA34A3">
        <w:rPr>
          <w:rFonts w:cs="Calibri"/>
        </w:rPr>
        <w:t>Berit Olam</w:t>
      </w:r>
      <w:r>
        <w:rPr>
          <w:rFonts w:cs="Calibri"/>
        </w:rPr>
        <w:t xml:space="preserve">: </w:t>
      </w:r>
      <w:r w:rsidRPr="001F52A8">
        <w:rPr>
          <w:rFonts w:cs="Calibri"/>
        </w:rPr>
        <w:t>Studies in Hebrew Narrative and Poetry</w:t>
      </w:r>
      <w:r w:rsidRPr="00BA34A3">
        <w:rPr>
          <w:rFonts w:cs="Calibri"/>
        </w:rPr>
        <w:t xml:space="preserve"> </w:t>
      </w:r>
      <w:r>
        <w:rPr>
          <w:rFonts w:cs="Calibri"/>
        </w:rPr>
        <w:t>(</w:t>
      </w:r>
      <w:r w:rsidRPr="00BA34A3">
        <w:rPr>
          <w:rFonts w:cs="Calibri"/>
        </w:rPr>
        <w:t>Collegeville, MN: Liturgical, 2013</w:t>
      </w:r>
      <w:r>
        <w:rPr>
          <w:rFonts w:cs="Calibri"/>
        </w:rPr>
        <w:t xml:space="preserve">), 39. </w:t>
      </w:r>
    </w:p>
  </w:footnote>
  <w:footnote w:id="321">
    <w:p w14:paraId="6D5F24C7" w14:textId="1745F96B" w:rsidR="007B7018" w:rsidRPr="006E38F5" w:rsidRDefault="007B7018">
      <w:pPr>
        <w:pStyle w:val="FootnoteText"/>
      </w:pPr>
      <w:r>
        <w:rPr>
          <w:rStyle w:val="FootnoteReference"/>
        </w:rPr>
        <w:footnoteRef/>
      </w:r>
      <w:r>
        <w:t xml:space="preserve"> P. Kyle McCarter,</w:t>
      </w:r>
      <w:r w:rsidRPr="00222246">
        <w:t xml:space="preserve"> </w:t>
      </w:r>
      <w:r>
        <w:rPr>
          <w:i/>
          <w:iCs/>
        </w:rPr>
        <w:t>II</w:t>
      </w:r>
      <w:r w:rsidRPr="00222246">
        <w:rPr>
          <w:i/>
          <w:iCs/>
        </w:rPr>
        <w:t xml:space="preserve"> Samuel</w:t>
      </w:r>
      <w:r>
        <w:rPr>
          <w:i/>
          <w:iCs/>
        </w:rPr>
        <w:t>: A New Translation with Introduction, Notes and Commentary</w:t>
      </w:r>
      <w:r>
        <w:t>, AB</w:t>
      </w:r>
      <w:r w:rsidRPr="00222246">
        <w:t xml:space="preserve"> </w:t>
      </w:r>
      <w:r>
        <w:t>9</w:t>
      </w:r>
      <w:r w:rsidRPr="00222246">
        <w:t xml:space="preserve"> </w:t>
      </w:r>
      <w:r>
        <w:t>(Garden City, NY</w:t>
      </w:r>
      <w:r w:rsidRPr="00222246">
        <w:t>: Doubleday, 198</w:t>
      </w:r>
      <w:r>
        <w:t>4), 115.</w:t>
      </w:r>
    </w:p>
  </w:footnote>
  <w:footnote w:id="322">
    <w:p w14:paraId="240F8CA3" w14:textId="613D8A81" w:rsidR="007B7018" w:rsidRPr="002F536A" w:rsidRDefault="007B7018">
      <w:pPr>
        <w:pStyle w:val="FootnoteText"/>
      </w:pPr>
      <w:r>
        <w:rPr>
          <w:rStyle w:val="FootnoteReference"/>
        </w:rPr>
        <w:footnoteRef/>
      </w:r>
      <w:r>
        <w:t xml:space="preserve"> Robert Barron, </w:t>
      </w:r>
      <w:r>
        <w:rPr>
          <w:rFonts w:cs="Calibri"/>
          <w:i/>
          <w:iCs/>
        </w:rPr>
        <w:t>2 Samuel</w:t>
      </w:r>
      <w:r>
        <w:rPr>
          <w:rFonts w:cs="Calibri"/>
        </w:rPr>
        <w:t xml:space="preserve">, </w:t>
      </w:r>
      <w:r w:rsidRPr="003D5308">
        <w:rPr>
          <w:rFonts w:ascii="Calibri" w:hAnsi="Calibri" w:cs="Calibri"/>
          <w:shd w:val="clear" w:color="auto" w:fill="FFFFFF"/>
        </w:rPr>
        <w:t>Brazos Theological Commentary on the Bible</w:t>
      </w:r>
      <w:r>
        <w:rPr>
          <w:rFonts w:cs="Calibri"/>
        </w:rPr>
        <w:t xml:space="preserve"> (</w:t>
      </w:r>
      <w:r w:rsidRPr="00BA34A3">
        <w:rPr>
          <w:rFonts w:cs="Calibri"/>
          <w:bCs/>
          <w:lang w:bidi="he-IL"/>
        </w:rPr>
        <w:t>Grand Rapids: Brazos, 201</w:t>
      </w:r>
      <w:r>
        <w:rPr>
          <w:rFonts w:cs="Calibri"/>
          <w:bCs/>
          <w:lang w:bidi="he-IL"/>
        </w:rPr>
        <w:t>5)</w:t>
      </w:r>
      <w:r>
        <w:t>, 62.</w:t>
      </w:r>
    </w:p>
  </w:footnote>
  <w:footnote w:id="323">
    <w:p w14:paraId="7D2C782C" w14:textId="4558F6DC" w:rsidR="007B7018" w:rsidRPr="002E3578" w:rsidRDefault="007B7018">
      <w:pPr>
        <w:pStyle w:val="FootnoteText"/>
        <w:rPr>
          <w:iCs/>
        </w:rPr>
      </w:pPr>
      <w:r>
        <w:rPr>
          <w:rStyle w:val="FootnoteReference"/>
        </w:rPr>
        <w:footnoteRef/>
      </w:r>
      <w:r>
        <w:t xml:space="preserve"> Peterson, </w:t>
      </w:r>
      <w:r w:rsidRPr="00BA34A3">
        <w:rPr>
          <w:rFonts w:cs="Calibri"/>
        </w:rPr>
        <w:t xml:space="preserve">, </w:t>
      </w:r>
      <w:r w:rsidRPr="00BA34A3">
        <w:rPr>
          <w:rFonts w:cs="Calibri"/>
          <w:i/>
        </w:rPr>
        <w:t>First and Second Samuel</w:t>
      </w:r>
      <w:r>
        <w:rPr>
          <w:rFonts w:cs="Calibri"/>
          <w:iCs/>
        </w:rPr>
        <w:t>, 151.</w:t>
      </w:r>
    </w:p>
  </w:footnote>
  <w:footnote w:id="324">
    <w:p w14:paraId="1CA8F4A5" w14:textId="21E02B17" w:rsidR="007B7018" w:rsidRDefault="007B7018">
      <w:pPr>
        <w:pStyle w:val="FootnoteText"/>
      </w:pPr>
      <w:r>
        <w:rPr>
          <w:rStyle w:val="FootnoteReference"/>
        </w:rPr>
        <w:footnoteRef/>
      </w:r>
      <w:r>
        <w:t xml:space="preserve"> Alter, </w:t>
      </w:r>
      <w:r>
        <w:rPr>
          <w:i/>
          <w:iCs/>
        </w:rPr>
        <w:t>David Story</w:t>
      </w:r>
      <w:r>
        <w:t>, 228.</w:t>
      </w:r>
    </w:p>
  </w:footnote>
  <w:footnote w:id="325">
    <w:p w14:paraId="620F6E85" w14:textId="03CD9211" w:rsidR="007B7018" w:rsidRDefault="007B7018" w:rsidP="000B6F12">
      <w:pPr>
        <w:pStyle w:val="FootnoteText"/>
      </w:pPr>
      <w:r>
        <w:rPr>
          <w:rStyle w:val="FootnoteReference"/>
        </w:rPr>
        <w:footnoteRef/>
      </w:r>
      <w:r>
        <w:t xml:space="preserve"> Auld, </w:t>
      </w:r>
      <w:r w:rsidRPr="00BA34A3">
        <w:rPr>
          <w:rFonts w:cs="Calibri"/>
          <w:i/>
        </w:rPr>
        <w:t>I &amp; II Samuel</w:t>
      </w:r>
      <w:r>
        <w:rPr>
          <w:rFonts w:cs="Calibri"/>
          <w:iCs/>
        </w:rPr>
        <w:t>, 414.</w:t>
      </w:r>
    </w:p>
  </w:footnote>
  <w:footnote w:id="326">
    <w:p w14:paraId="4D4FA9CA" w14:textId="369E99B0" w:rsidR="007B7018" w:rsidRDefault="007B7018">
      <w:pPr>
        <w:pStyle w:val="FootnoteText"/>
      </w:pPr>
      <w:r>
        <w:rPr>
          <w:rStyle w:val="FootnoteReference"/>
        </w:rPr>
        <w:footnoteRef/>
      </w:r>
      <w:r>
        <w:t xml:space="preserve"> See Gary </w:t>
      </w:r>
      <w:r>
        <w:rPr>
          <w:rFonts w:eastAsia="Brill-Bold" w:cstheme="minorHAnsi"/>
          <w:bCs/>
        </w:rPr>
        <w:t xml:space="preserve">Stansell, “Honor and Shame in the David Narratives,” </w:t>
      </w:r>
      <w:r>
        <w:rPr>
          <w:rFonts w:eastAsia="Brill-Bold" w:cstheme="minorHAnsi"/>
          <w:bCs/>
          <w:i/>
          <w:iCs/>
        </w:rPr>
        <w:t>Semeia</w:t>
      </w:r>
      <w:r>
        <w:rPr>
          <w:rFonts w:eastAsia="Brill-Bold" w:cstheme="minorHAnsi"/>
          <w:bCs/>
        </w:rPr>
        <w:t xml:space="preserve"> 68 (1994): 55-79 (65-68).</w:t>
      </w:r>
    </w:p>
  </w:footnote>
  <w:footnote w:id="327">
    <w:p w14:paraId="43E03D48" w14:textId="19154714" w:rsidR="007B7018" w:rsidRPr="00B34D7B" w:rsidRDefault="007B7018">
      <w:pPr>
        <w:pStyle w:val="FootnoteText"/>
      </w:pPr>
      <w:r>
        <w:rPr>
          <w:rStyle w:val="FootnoteReference"/>
        </w:rPr>
        <w:footnoteRef/>
      </w:r>
      <w:r>
        <w:t xml:space="preserve"> </w:t>
      </w:r>
      <w:r w:rsidRPr="00BA34A3">
        <w:rPr>
          <w:rFonts w:eastAsia="Times New Roman" w:cs="Calibri"/>
          <w:color w:val="3A3A3A"/>
        </w:rPr>
        <w:t>Wijk-</w:t>
      </w:r>
      <w:r>
        <w:rPr>
          <w:rFonts w:eastAsia="Times New Roman" w:cs="Calibri"/>
          <w:color w:val="3A3A3A"/>
        </w:rPr>
        <w:t xml:space="preserve">bos, </w:t>
      </w:r>
      <w:r w:rsidRPr="00972463">
        <w:rPr>
          <w:rFonts w:eastAsia="Times New Roman" w:cs="Calibri"/>
          <w:i/>
          <w:iCs/>
          <w:color w:val="3A3A3A"/>
        </w:rPr>
        <w:t>Reading Samuel</w:t>
      </w:r>
      <w:r>
        <w:rPr>
          <w:rFonts w:eastAsia="Times New Roman" w:cs="Calibri"/>
          <w:color w:val="3A3A3A"/>
        </w:rPr>
        <w:t>, 177.</w:t>
      </w:r>
    </w:p>
  </w:footnote>
  <w:footnote w:id="328">
    <w:p w14:paraId="2D968165" w14:textId="19F69622" w:rsidR="007B7018" w:rsidRDefault="007B7018" w:rsidP="000509E8">
      <w:pPr>
        <w:pStyle w:val="FootnoteText"/>
      </w:pPr>
      <w:r>
        <w:rPr>
          <w:rStyle w:val="FootnoteReference"/>
        </w:rPr>
        <w:footnoteRef/>
      </w:r>
      <w:r>
        <w:t xml:space="preserve"> Exum, </w:t>
      </w:r>
      <w:r w:rsidRPr="001F52A8">
        <w:rPr>
          <w:rFonts w:cs="Calibri"/>
          <w:i/>
          <w:iCs/>
        </w:rPr>
        <w:t>Tragedy</w:t>
      </w:r>
      <w:r>
        <w:rPr>
          <w:rFonts w:cs="Calibri"/>
          <w:i/>
          <w:iCs/>
        </w:rPr>
        <w:t xml:space="preserve"> and Biblical Narrative</w:t>
      </w:r>
      <w:r>
        <w:rPr>
          <w:rFonts w:cs="Calibri"/>
        </w:rPr>
        <w:t>, 87.</w:t>
      </w:r>
    </w:p>
  </w:footnote>
  <w:footnote w:id="329">
    <w:p w14:paraId="491C2F61" w14:textId="60957D4C" w:rsidR="007B7018" w:rsidRDefault="007B7018" w:rsidP="006E3AE2">
      <w:pPr>
        <w:pStyle w:val="FootnoteText"/>
      </w:pPr>
      <w:r>
        <w:rPr>
          <w:rStyle w:val="FootnoteReference"/>
        </w:rPr>
        <w:footnoteRef/>
      </w:r>
      <w:r>
        <w:t xml:space="preserve"> Tony W. Cartledge,</w:t>
      </w:r>
      <w:r w:rsidRPr="00BA34A3">
        <w:rPr>
          <w:rFonts w:cs="Calibri"/>
        </w:rPr>
        <w:t xml:space="preserve"> </w:t>
      </w:r>
      <w:r w:rsidRPr="00BA34A3">
        <w:rPr>
          <w:rFonts w:cs="Calibri"/>
          <w:i/>
        </w:rPr>
        <w:t>1 &amp; 2 Samuel</w:t>
      </w:r>
      <w:r w:rsidRPr="00BA34A3">
        <w:rPr>
          <w:rFonts w:cs="Calibri"/>
        </w:rPr>
        <w:t xml:space="preserve"> </w:t>
      </w:r>
      <w:r>
        <w:rPr>
          <w:rFonts w:cs="Calibri"/>
        </w:rPr>
        <w:t>(</w:t>
      </w:r>
      <w:r w:rsidRPr="00BA34A3">
        <w:rPr>
          <w:rFonts w:cs="Calibri"/>
        </w:rPr>
        <w:t>Smyth &amp; Helwys</w:t>
      </w:r>
      <w:r>
        <w:rPr>
          <w:rFonts w:cs="Calibri"/>
        </w:rPr>
        <w:t xml:space="preserve"> Bible Commentary; </w:t>
      </w:r>
      <w:r w:rsidRPr="00BA34A3">
        <w:rPr>
          <w:rFonts w:cs="Calibri"/>
        </w:rPr>
        <w:t>Macon, GA: Smyth &amp; Helwys, 2001</w:t>
      </w:r>
      <w:r>
        <w:rPr>
          <w:rFonts w:cs="Calibri"/>
        </w:rPr>
        <w:t>), 442.</w:t>
      </w:r>
    </w:p>
  </w:footnote>
  <w:footnote w:id="330">
    <w:p w14:paraId="3F1660CC" w14:textId="6DD53769" w:rsidR="007B7018" w:rsidRPr="001A6789" w:rsidRDefault="007B7018" w:rsidP="00FD1ACA">
      <w:pPr>
        <w:pStyle w:val="FootnoteText"/>
      </w:pPr>
      <w:r>
        <w:rPr>
          <w:rStyle w:val="FootnoteReference"/>
        </w:rPr>
        <w:footnoteRef/>
      </w:r>
      <w:r>
        <w:t xml:space="preserve"> J. P. Fokkelman, </w:t>
      </w:r>
      <w:r>
        <w:rPr>
          <w:rFonts w:cs="Calibri"/>
          <w:i/>
          <w:iCs/>
        </w:rPr>
        <w:t xml:space="preserve">Narrative Art and </w:t>
      </w:r>
      <w:r w:rsidRPr="00C22251">
        <w:rPr>
          <w:rFonts w:cs="Calibri"/>
          <w:i/>
          <w:iCs/>
        </w:rPr>
        <w:t>Poetry</w:t>
      </w:r>
      <w:r>
        <w:rPr>
          <w:rFonts w:cs="Calibri"/>
          <w:i/>
          <w:iCs/>
        </w:rPr>
        <w:t xml:space="preserve"> </w:t>
      </w:r>
      <w:r w:rsidRPr="00712585">
        <w:rPr>
          <w:rFonts w:cs="Calibri"/>
          <w:i/>
          <w:iCs/>
        </w:rPr>
        <w:t>in the Books of Samuel</w:t>
      </w:r>
      <w:r>
        <w:rPr>
          <w:rFonts w:cs="Calibri"/>
        </w:rPr>
        <w:t>, Vol. 3:</w:t>
      </w:r>
      <w:r w:rsidRPr="00712585">
        <w:rPr>
          <w:rFonts w:cs="Calibri"/>
        </w:rPr>
        <w:t xml:space="preserve"> </w:t>
      </w:r>
      <w:r>
        <w:rPr>
          <w:rFonts w:cs="Calibri"/>
          <w:i/>
          <w:iCs/>
        </w:rPr>
        <w:t>Throne and City (II Sam. 2 – 8 &amp; 21 – 24)</w:t>
      </w:r>
      <w:r>
        <w:rPr>
          <w:rFonts w:cs="Calibri"/>
        </w:rPr>
        <w:t xml:space="preserve"> (</w:t>
      </w:r>
      <w:r w:rsidRPr="00712585">
        <w:rPr>
          <w:rFonts w:cs="Calibri"/>
        </w:rPr>
        <w:t>Assen: van Gorcum, 19</w:t>
      </w:r>
      <w:r>
        <w:rPr>
          <w:rFonts w:cs="Calibri"/>
        </w:rPr>
        <w:t xml:space="preserve">90), 16; compare </w:t>
      </w:r>
      <w:r>
        <w:t>the volume’s subtitle</w:t>
      </w:r>
      <w:r>
        <w:rPr>
          <w:rFonts w:cs="Calibri"/>
        </w:rPr>
        <w:t>.</w:t>
      </w:r>
    </w:p>
  </w:footnote>
  <w:footnote w:id="331">
    <w:p w14:paraId="7B0A3771" w14:textId="02CBFB8A" w:rsidR="007B7018" w:rsidRPr="00123825" w:rsidRDefault="007B7018">
      <w:pPr>
        <w:pStyle w:val="FootnoteText"/>
      </w:pPr>
      <w:r>
        <w:rPr>
          <w:rStyle w:val="FootnoteReference"/>
        </w:rPr>
        <w:footnoteRef/>
      </w:r>
      <w:r>
        <w:t xml:space="preserve"> </w:t>
      </w:r>
      <w:r w:rsidRPr="00644D45">
        <w:rPr>
          <w:rFonts w:cstheme="minorHAnsi"/>
        </w:rPr>
        <w:t xml:space="preserve">James B. Pritchard, ed., </w:t>
      </w:r>
      <w:hyperlink r:id="rId1" w:tooltip="The Ancient Near Eastern texts : relating to the Old Testament / edited by James B. Pritchard." w:history="1">
        <w:r w:rsidRPr="00644D45">
          <w:rPr>
            <w:rFonts w:cstheme="minorHAnsi"/>
            <w:i/>
          </w:rPr>
          <w:t>Ancient Near Eastern Texts Relating to the Old Testament</w:t>
        </w:r>
      </w:hyperlink>
      <w:r w:rsidRPr="00644D45">
        <w:rPr>
          <w:rFonts w:cstheme="minorHAnsi"/>
          <w:i/>
        </w:rPr>
        <w:t xml:space="preserve"> </w:t>
      </w:r>
      <w:r>
        <w:rPr>
          <w:rFonts w:cstheme="minorHAnsi"/>
          <w:iCs/>
        </w:rPr>
        <w:t>(</w:t>
      </w:r>
      <w:r w:rsidRPr="00644D45">
        <w:rPr>
          <w:rFonts w:cstheme="minorHAnsi"/>
        </w:rPr>
        <w:t>3rd ed. Princeton: Princeton University Press, 1969</w:t>
      </w:r>
      <w:r>
        <w:rPr>
          <w:rFonts w:cstheme="minorHAnsi"/>
        </w:rPr>
        <w:t xml:space="preserve">), </w:t>
      </w:r>
      <w:r>
        <w:t>328-29, 483-90.</w:t>
      </w:r>
    </w:p>
  </w:footnote>
  <w:footnote w:id="332">
    <w:p w14:paraId="2DDFC428" w14:textId="77777777" w:rsidR="007B7018" w:rsidRDefault="007B7018" w:rsidP="00307493">
      <w:pPr>
        <w:pStyle w:val="FootnoteText"/>
      </w:pPr>
      <w:r>
        <w:rPr>
          <w:rStyle w:val="FootnoteReference"/>
        </w:rPr>
        <w:footnoteRef/>
      </w:r>
      <w:r>
        <w:t xml:space="preserve"> Barron, </w:t>
      </w:r>
      <w:r>
        <w:rPr>
          <w:rFonts w:cs="Calibri"/>
          <w:i/>
          <w:iCs/>
        </w:rPr>
        <w:t>2 Samuel</w:t>
      </w:r>
      <w:r>
        <w:t>, 46.</w:t>
      </w:r>
    </w:p>
  </w:footnote>
  <w:footnote w:id="333">
    <w:p w14:paraId="5F1CAF12" w14:textId="4408EC72" w:rsidR="007B7018" w:rsidRPr="008F463C" w:rsidRDefault="007B7018" w:rsidP="009C74AC">
      <w:pPr>
        <w:pStyle w:val="FootnoteText"/>
      </w:pPr>
      <w:r>
        <w:rPr>
          <w:rStyle w:val="FootnoteReference"/>
        </w:rPr>
        <w:footnoteRef/>
      </w:r>
      <w:r>
        <w:t xml:space="preserve"> </w:t>
      </w:r>
      <w:r>
        <w:rPr>
          <w:lang w:val="en-GB" w:bidi="he-IL"/>
        </w:rPr>
        <w:t xml:space="preserve">The name looks like a contracted from of </w:t>
      </w:r>
      <w:r>
        <w:rPr>
          <w:i/>
          <w:iCs/>
          <w:lang w:val="en-GB" w:bidi="he-IL"/>
        </w:rPr>
        <w:t>mipp</w:t>
      </w:r>
      <w:r>
        <w:rPr>
          <w:rFonts w:cstheme="minorHAnsi"/>
          <w:i/>
          <w:iCs/>
          <w:lang w:val="en-GB" w:bidi="he-IL"/>
        </w:rPr>
        <w:t>î</w:t>
      </w:r>
      <w:r>
        <w:rPr>
          <w:i/>
          <w:iCs/>
          <w:lang w:val="en-GB" w:bidi="he-IL"/>
        </w:rPr>
        <w:t xml:space="preserve"> b</w:t>
      </w:r>
      <w:r>
        <w:rPr>
          <w:rFonts w:cstheme="minorHAnsi"/>
          <w:i/>
          <w:iCs/>
          <w:lang w:val="en-GB" w:bidi="he-IL"/>
        </w:rPr>
        <w:t>ōš</w:t>
      </w:r>
      <w:r>
        <w:rPr>
          <w:i/>
          <w:iCs/>
          <w:lang w:val="en-GB" w:bidi="he-IL"/>
        </w:rPr>
        <w:t>et</w:t>
      </w:r>
      <w:r>
        <w:rPr>
          <w:lang w:val="en-GB" w:bidi="he-IL"/>
        </w:rPr>
        <w:t xml:space="preserve">, “Out of the Mouth of Shame”; contrast </w:t>
      </w:r>
      <w:r>
        <w:rPr>
          <w:i/>
          <w:iCs/>
          <w:lang w:val="en-GB" w:bidi="he-IL"/>
        </w:rPr>
        <w:t>mipp</w:t>
      </w:r>
      <w:r>
        <w:rPr>
          <w:rFonts w:cstheme="minorHAnsi"/>
          <w:i/>
          <w:iCs/>
          <w:lang w:val="en-GB" w:bidi="he-IL"/>
        </w:rPr>
        <w:t>î</w:t>
      </w:r>
      <w:r>
        <w:rPr>
          <w:i/>
          <w:iCs/>
          <w:lang w:val="en-GB" w:bidi="he-IL"/>
        </w:rPr>
        <w:t xml:space="preserve"> yahweh</w:t>
      </w:r>
      <w:r>
        <w:rPr>
          <w:lang w:val="en-GB" w:bidi="he-IL"/>
        </w:rPr>
        <w:t xml:space="preserve"> in Jer 23:16; cf. </w:t>
      </w:r>
      <w:r>
        <w:t>McCarter,</w:t>
      </w:r>
      <w:r w:rsidRPr="00222246">
        <w:t xml:space="preserve"> </w:t>
      </w:r>
      <w:r>
        <w:rPr>
          <w:i/>
          <w:iCs/>
        </w:rPr>
        <w:t>II</w:t>
      </w:r>
      <w:r w:rsidRPr="00222246">
        <w:rPr>
          <w:i/>
          <w:iCs/>
        </w:rPr>
        <w:t xml:space="preserve"> Samuel</w:t>
      </w:r>
      <w:r>
        <w:t>, 439. In 1 Chr 8:34; 9:40 he is Merib-baal or Meri-baal, “The Master Contends” or “He Contends with the Master” or “Rebellion of the Master.”</w:t>
      </w:r>
    </w:p>
  </w:footnote>
  <w:footnote w:id="334">
    <w:p w14:paraId="54B02082" w14:textId="77777777" w:rsidR="007B7018" w:rsidRPr="00E44C8C" w:rsidRDefault="007B7018" w:rsidP="000E71E9">
      <w:pPr>
        <w:pStyle w:val="FootnoteText"/>
      </w:pPr>
      <w:r>
        <w:rPr>
          <w:rStyle w:val="FootnoteReference"/>
        </w:rPr>
        <w:footnoteRef/>
      </w:r>
      <w:r>
        <w:t xml:space="preserve"> Anthony R. Ceresko, “</w:t>
      </w:r>
      <w:r w:rsidRPr="00ED5B05">
        <w:rPr>
          <w:rFonts w:ascii="Calibri" w:hAnsi="Calibri" w:cs="Calibri"/>
        </w:rPr>
        <w:t xml:space="preserve">The Identity of </w:t>
      </w:r>
      <w:r>
        <w:rPr>
          <w:rFonts w:ascii="Calibri" w:hAnsi="Calibri" w:cs="Calibri"/>
        </w:rPr>
        <w:t>‘</w:t>
      </w:r>
      <w:r w:rsidRPr="00ED5B05">
        <w:rPr>
          <w:rFonts w:ascii="Calibri" w:hAnsi="Calibri" w:cs="Calibri"/>
        </w:rPr>
        <w:t>the Blind and the Lam</w:t>
      </w:r>
      <w:r>
        <w:rPr>
          <w:rFonts w:ascii="Calibri" w:hAnsi="Calibri" w:cs="Calibri"/>
        </w:rPr>
        <w:t>e’ (‘i</w:t>
      </w:r>
      <w:r w:rsidRPr="00ED5B05">
        <w:rPr>
          <w:rFonts w:ascii="Calibri" w:hAnsi="Calibri" w:cs="Calibri"/>
          <w:i/>
          <w:iCs/>
        </w:rPr>
        <w:t>wwër ûpiss</w:t>
      </w:r>
      <w:r>
        <w:rPr>
          <w:rFonts w:ascii="Calibri" w:hAnsi="Calibri" w:cs="Calibri"/>
          <w:i/>
          <w:iCs/>
        </w:rPr>
        <w:t>ē</w:t>
      </w:r>
      <w:r w:rsidRPr="00ED5B05">
        <w:rPr>
          <w:rFonts w:ascii="Calibri" w:hAnsi="Calibri" w:cs="Calibri"/>
          <w:i/>
          <w:iCs/>
        </w:rPr>
        <w:t xml:space="preserve">ah) </w:t>
      </w:r>
      <w:r w:rsidRPr="00ED5B05">
        <w:rPr>
          <w:rFonts w:ascii="Calibri" w:hAnsi="Calibri" w:cs="Calibri"/>
        </w:rPr>
        <w:t>in 2 Samuel 5:8b</w:t>
      </w:r>
      <w:r>
        <w:rPr>
          <w:rFonts w:ascii="Calibri" w:hAnsi="Calibri" w:cs="Calibri"/>
        </w:rPr>
        <w:t xml:space="preserve">,” </w:t>
      </w:r>
      <w:r>
        <w:rPr>
          <w:rFonts w:ascii="Calibri" w:hAnsi="Calibri" w:cs="Calibri"/>
          <w:i/>
          <w:iCs/>
        </w:rPr>
        <w:t xml:space="preserve">CBQ </w:t>
      </w:r>
      <w:r>
        <w:rPr>
          <w:rFonts w:ascii="Calibri" w:hAnsi="Calibri" w:cs="Calibri"/>
        </w:rPr>
        <w:t>63 (2001): 23-30.</w:t>
      </w:r>
    </w:p>
  </w:footnote>
  <w:footnote w:id="335">
    <w:p w14:paraId="6D49179A" w14:textId="3049FC4E" w:rsidR="007B7018" w:rsidRDefault="007B7018" w:rsidP="002846A2">
      <w:pPr>
        <w:pStyle w:val="FootnoteText"/>
      </w:pPr>
      <w:r>
        <w:rPr>
          <w:rStyle w:val="FootnoteReference"/>
        </w:rPr>
        <w:footnoteRef/>
      </w:r>
      <w:r>
        <w:t xml:space="preserve"> </w:t>
      </w:r>
      <w:r w:rsidRPr="00BA34A3">
        <w:rPr>
          <w:rFonts w:cs="Calibri"/>
        </w:rPr>
        <w:t xml:space="preserve">Bruce C. </w:t>
      </w:r>
      <w:r>
        <w:t>Birch</w:t>
      </w:r>
      <w:r>
        <w:rPr>
          <w:rFonts w:cs="Calibri"/>
        </w:rPr>
        <w:t xml:space="preserve">, </w:t>
      </w:r>
      <w:r w:rsidRPr="00BA34A3">
        <w:rPr>
          <w:rFonts w:cs="Calibri"/>
        </w:rPr>
        <w:t>“The First and Second Books of Samuel: Introduction, Commentary and Reflections</w:t>
      </w:r>
      <w:r>
        <w:rPr>
          <w:rFonts w:cs="Calibri"/>
        </w:rPr>
        <w:t>,</w:t>
      </w:r>
      <w:r w:rsidRPr="00BA34A3">
        <w:rPr>
          <w:rFonts w:cs="Calibri"/>
        </w:rPr>
        <w:t xml:space="preserve">” </w:t>
      </w:r>
      <w:r>
        <w:rPr>
          <w:rFonts w:cs="Calibri"/>
        </w:rPr>
        <w:t>i</w:t>
      </w:r>
      <w:r w:rsidRPr="00BA34A3">
        <w:rPr>
          <w:rFonts w:cs="Calibri"/>
        </w:rPr>
        <w:t xml:space="preserve">n </w:t>
      </w:r>
      <w:r w:rsidRPr="00BA34A3">
        <w:rPr>
          <w:rFonts w:cs="Calibri"/>
          <w:i/>
        </w:rPr>
        <w:t xml:space="preserve">The New Interpreter’s Bible </w:t>
      </w:r>
      <w:r>
        <w:rPr>
          <w:rFonts w:cs="Calibri"/>
          <w:iCs/>
        </w:rPr>
        <w:t>(</w:t>
      </w:r>
      <w:r w:rsidRPr="00BA34A3">
        <w:rPr>
          <w:rFonts w:cs="Calibri"/>
        </w:rPr>
        <w:t>Nashville: Abingdon, 199</w:t>
      </w:r>
      <w:r>
        <w:rPr>
          <w:rFonts w:cs="Calibri"/>
        </w:rPr>
        <w:t>8)</w:t>
      </w:r>
      <w:r>
        <w:t xml:space="preserve"> </w:t>
      </w:r>
      <w:r w:rsidRPr="00BA34A3">
        <w:rPr>
          <w:rFonts w:cs="Calibri"/>
        </w:rPr>
        <w:t>2:947-1383</w:t>
      </w:r>
      <w:r>
        <w:rPr>
          <w:rFonts w:cs="Calibri"/>
        </w:rPr>
        <w:t>,</w:t>
      </w:r>
      <w:r>
        <w:t xml:space="preserve"> in his reflection on 9:1-13. </w:t>
      </w:r>
    </w:p>
  </w:footnote>
  <w:footnote w:id="336">
    <w:p w14:paraId="3F8F460E" w14:textId="77777777" w:rsidR="007B7018" w:rsidRPr="000C295E" w:rsidRDefault="007B7018" w:rsidP="005C550E">
      <w:pPr>
        <w:pStyle w:val="FootnoteText"/>
      </w:pPr>
      <w:r>
        <w:rPr>
          <w:rStyle w:val="FootnoteReference"/>
        </w:rPr>
        <w:footnoteRef/>
      </w:r>
      <w:r>
        <w:t xml:space="preserve"> Morrison, </w:t>
      </w:r>
      <w:r>
        <w:rPr>
          <w:i/>
          <w:iCs/>
        </w:rPr>
        <w:t>2 Samuel</w:t>
      </w:r>
      <w:r>
        <w:t>, 84.</w:t>
      </w:r>
    </w:p>
  </w:footnote>
  <w:footnote w:id="337">
    <w:p w14:paraId="1A019C96" w14:textId="77777777" w:rsidR="007B7018" w:rsidRPr="00047CFF" w:rsidRDefault="007B7018" w:rsidP="004E5C96">
      <w:pPr>
        <w:pStyle w:val="FootnoteText"/>
      </w:pPr>
      <w:r>
        <w:rPr>
          <w:rStyle w:val="FootnoteReference"/>
        </w:rPr>
        <w:footnoteRef/>
      </w:r>
      <w:r>
        <w:t xml:space="preserve"> Anderson, </w:t>
      </w:r>
      <w:r>
        <w:rPr>
          <w:i/>
          <w:iCs/>
        </w:rPr>
        <w:t>2 Samuel</w:t>
      </w:r>
      <w:r>
        <w:t>, 122.</w:t>
      </w:r>
    </w:p>
  </w:footnote>
  <w:footnote w:id="338">
    <w:p w14:paraId="4AE0DE8A" w14:textId="66C36AB4" w:rsidR="007B7018" w:rsidRDefault="007B7018" w:rsidP="004E5C96">
      <w:pPr>
        <w:pStyle w:val="FootnoteText"/>
      </w:pPr>
      <w:r>
        <w:rPr>
          <w:rStyle w:val="FootnoteReference"/>
        </w:rPr>
        <w:footnoteRef/>
      </w:r>
      <w:r>
        <w:t xml:space="preserve"> </w:t>
      </w:r>
      <w:r w:rsidRPr="00D22B0E">
        <w:rPr>
          <w:rStyle w:val="fn"/>
          <w:rFonts w:ascii="Calibri" w:hAnsi="Calibri" w:cs="Calibri"/>
          <w:i/>
          <w:iCs/>
          <w:color w:val="333333"/>
        </w:rPr>
        <w:t>Lectures on Titus, Philemon, and Hebrews</w:t>
      </w:r>
      <w:r>
        <w:rPr>
          <w:rStyle w:val="fn"/>
          <w:rFonts w:ascii="Calibri" w:hAnsi="Calibri" w:cs="Calibri"/>
          <w:i/>
          <w:iCs/>
          <w:color w:val="333333"/>
        </w:rPr>
        <w:t xml:space="preserve"> </w:t>
      </w:r>
      <w:r>
        <w:rPr>
          <w:rStyle w:val="fn"/>
          <w:rFonts w:ascii="Calibri" w:hAnsi="Calibri" w:cs="Calibri"/>
          <w:color w:val="333333"/>
        </w:rPr>
        <w:t>(St. Louis: Concordia, 1968),</w:t>
      </w:r>
      <w:r>
        <w:t xml:space="preserve"> 114 (cf. Derek </w:t>
      </w:r>
      <w:r w:rsidRPr="00BF32DE">
        <w:rPr>
          <w:rFonts w:cs="Calibri"/>
        </w:rPr>
        <w:t>Cooper and Martin J. Loh</w:t>
      </w:r>
      <w:r>
        <w:rPr>
          <w:rFonts w:cs="Calibri"/>
        </w:rPr>
        <w:t>r</w:t>
      </w:r>
      <w:r w:rsidRPr="00BF32DE">
        <w:rPr>
          <w:rFonts w:cs="Calibri"/>
        </w:rPr>
        <w:t xml:space="preserve">mann, </w:t>
      </w:r>
      <w:r w:rsidRPr="00BF32DE">
        <w:rPr>
          <w:rFonts w:ascii="Calibri" w:hAnsi="Calibri" w:cs="Calibri"/>
        </w:rPr>
        <w:t>ed.</w:t>
      </w:r>
      <w:r>
        <w:rPr>
          <w:rFonts w:ascii="Calibri" w:hAnsi="Calibri" w:cs="Calibri"/>
        </w:rPr>
        <w:t>,</w:t>
      </w:r>
      <w:r w:rsidRPr="00BF32DE">
        <w:rPr>
          <w:rFonts w:ascii="Calibri" w:hAnsi="Calibri" w:cs="Calibri"/>
        </w:rPr>
        <w:t xml:space="preserve"> </w:t>
      </w:r>
      <w:r w:rsidRPr="00BF32DE">
        <w:rPr>
          <w:rFonts w:ascii="Calibri" w:hAnsi="Calibri" w:cs="Calibri"/>
          <w:i/>
          <w:iCs/>
          <w:shd w:val="clear" w:color="auto" w:fill="FFFFFF"/>
        </w:rPr>
        <w:t>1 – 2 Samuel, 1 – 2 Kings, 1 – 2 Chronicles</w:t>
      </w:r>
      <w:r>
        <w:rPr>
          <w:rFonts w:ascii="Calibri" w:hAnsi="Calibri" w:cs="Calibri"/>
          <w:shd w:val="clear" w:color="auto" w:fill="FFFFFF"/>
        </w:rPr>
        <w:t xml:space="preserve">, </w:t>
      </w:r>
      <w:r w:rsidRPr="00BF32DE">
        <w:rPr>
          <w:rFonts w:ascii="Calibri" w:hAnsi="Calibri" w:cs="Calibri"/>
          <w:shd w:val="clear" w:color="auto" w:fill="FFFFFF"/>
        </w:rPr>
        <w:t>Reformation Commentary on Scripture</w:t>
      </w:r>
      <w:r w:rsidRPr="00BF32DE">
        <w:rPr>
          <w:rFonts w:cstheme="minorHAnsi"/>
          <w:shd w:val="clear" w:color="auto" w:fill="FFFFFF"/>
        </w:rPr>
        <w:t>: Old Testament 5</w:t>
      </w:r>
      <w:r w:rsidRPr="00BF32DE">
        <w:rPr>
          <w:rFonts w:ascii="Calibri" w:hAnsi="Calibri" w:cs="Calibri"/>
          <w:shd w:val="clear" w:color="auto" w:fill="FFFFFF"/>
        </w:rPr>
        <w:t xml:space="preserve"> </w:t>
      </w:r>
      <w:r>
        <w:rPr>
          <w:rFonts w:ascii="Calibri" w:hAnsi="Calibri" w:cs="Calibri"/>
          <w:shd w:val="clear" w:color="auto" w:fill="FFFFFF"/>
        </w:rPr>
        <w:t>[</w:t>
      </w:r>
      <w:r w:rsidRPr="00BF32DE">
        <w:rPr>
          <w:rFonts w:ascii="Calibri" w:hAnsi="Calibri" w:cs="Calibri"/>
          <w:shd w:val="clear" w:color="auto" w:fill="FFFFFF"/>
        </w:rPr>
        <w:t>Downers Grove, IL: InterVarsity, 2016</w:t>
      </w:r>
      <w:r>
        <w:rPr>
          <w:rFonts w:ascii="Calibri" w:hAnsi="Calibri" w:cs="Calibri"/>
          <w:shd w:val="clear" w:color="auto" w:fill="FFFFFF"/>
        </w:rPr>
        <w:t>]</w:t>
      </w:r>
      <w:r>
        <w:t>, 176).</w:t>
      </w:r>
    </w:p>
  </w:footnote>
  <w:footnote w:id="339">
    <w:p w14:paraId="2FC628E1" w14:textId="53F4FFF3" w:rsidR="007B7018" w:rsidRDefault="007B7018" w:rsidP="004E5C96">
      <w:pPr>
        <w:pStyle w:val="FootnoteText"/>
      </w:pPr>
      <w:r>
        <w:rPr>
          <w:rStyle w:val="FootnoteReference"/>
        </w:rPr>
        <w:footnoteRef/>
      </w:r>
      <w:r>
        <w:t xml:space="preserve"> Against Marcion, Book III, 20 (cf. John R. Franke,</w:t>
      </w:r>
      <w:r>
        <w:rPr>
          <w:rFonts w:cs="Calibri"/>
        </w:rPr>
        <w:t xml:space="preserve"> </w:t>
      </w:r>
      <w:r>
        <w:rPr>
          <w:rFonts w:cs="Calibri"/>
          <w:i/>
          <w:iCs/>
        </w:rPr>
        <w:t>Joshua, Judges, Ruth, 1 – 2 Samuel</w:t>
      </w:r>
      <w:r>
        <w:rPr>
          <w:rFonts w:cs="Calibri"/>
        </w:rPr>
        <w:t>, Ancient Christian Commentary on Scripture 4 [Downers Grove, IL: InterVarsity, 2005], 351).</w:t>
      </w:r>
    </w:p>
  </w:footnote>
  <w:footnote w:id="340">
    <w:p w14:paraId="601B03EC" w14:textId="77777777" w:rsidR="007B7018" w:rsidRPr="00F55CAD" w:rsidRDefault="007B7018" w:rsidP="004E5C96">
      <w:pPr>
        <w:pStyle w:val="FootnoteText"/>
        <w:rPr>
          <w:rFonts w:ascii="Calibri" w:hAnsi="Calibri" w:cs="Calibri"/>
        </w:rPr>
      </w:pPr>
      <w:r>
        <w:rPr>
          <w:rStyle w:val="FootnoteReference"/>
        </w:rPr>
        <w:footnoteRef/>
      </w:r>
      <w:r>
        <w:t xml:space="preserve"> </w:t>
      </w:r>
      <w:r w:rsidRPr="00F55CAD">
        <w:rPr>
          <w:rFonts w:ascii="Calibri" w:hAnsi="Calibri" w:cs="Calibri"/>
        </w:rPr>
        <w:t xml:space="preserve">“Brief Confession on the Incarnation 1544,” in </w:t>
      </w:r>
      <w:r w:rsidRPr="00B73F1A">
        <w:rPr>
          <w:rFonts w:ascii="Calibri" w:hAnsi="Calibri" w:cs="Calibri"/>
          <w:i/>
          <w:iCs/>
          <w:color w:val="000000"/>
        </w:rPr>
        <w:t>The Complete Writings of Menno Simons</w:t>
      </w:r>
      <w:r w:rsidRPr="00F55CAD">
        <w:rPr>
          <w:rFonts w:ascii="Calibri" w:hAnsi="Calibri" w:cs="Calibri"/>
          <w:color w:val="000000"/>
        </w:rPr>
        <w:t xml:space="preserve"> (Scottdale, PA: Herald, 1986), 419-54 (436)</w:t>
      </w:r>
      <w:r>
        <w:rPr>
          <w:rFonts w:ascii="Calibri" w:hAnsi="Calibri" w:cs="Calibri"/>
          <w:color w:val="000000"/>
        </w:rPr>
        <w:t xml:space="preserve"> (cf. Cooper </w:t>
      </w:r>
      <w:r w:rsidRPr="00790981">
        <w:rPr>
          <w:rFonts w:cs="Calibri"/>
        </w:rPr>
        <w:t>and Loh</w:t>
      </w:r>
      <w:r>
        <w:rPr>
          <w:rFonts w:cs="Calibri"/>
        </w:rPr>
        <w:t>r</w:t>
      </w:r>
      <w:r w:rsidRPr="00790981">
        <w:rPr>
          <w:rFonts w:cs="Calibri"/>
        </w:rPr>
        <w:t>mann,</w:t>
      </w:r>
      <w:r w:rsidRPr="00790981">
        <w:rPr>
          <w:rFonts w:ascii="Calibri" w:hAnsi="Calibri" w:cs="Calibri"/>
        </w:rPr>
        <w:t xml:space="preserve"> </w:t>
      </w:r>
      <w:r w:rsidRPr="00790981">
        <w:rPr>
          <w:rFonts w:ascii="Calibri" w:hAnsi="Calibri" w:cs="Calibri"/>
          <w:i/>
          <w:iCs/>
          <w:shd w:val="clear" w:color="auto" w:fill="FFFFFF"/>
        </w:rPr>
        <w:t>1 – 2 Samuel</w:t>
      </w:r>
      <w:r>
        <w:rPr>
          <w:rFonts w:ascii="Calibri" w:hAnsi="Calibri" w:cs="Calibri"/>
          <w:color w:val="000000"/>
        </w:rPr>
        <w:t>, 177).</w:t>
      </w:r>
    </w:p>
  </w:footnote>
  <w:footnote w:id="341">
    <w:p w14:paraId="3B32F631" w14:textId="77777777" w:rsidR="007B7018" w:rsidRDefault="007B7018" w:rsidP="0089442F">
      <w:pPr>
        <w:pStyle w:val="FootnoteText"/>
      </w:pPr>
      <w:r>
        <w:rPr>
          <w:rStyle w:val="FootnoteReference"/>
        </w:rPr>
        <w:footnoteRef/>
      </w:r>
      <w:r>
        <w:t xml:space="preserve"> Brueggemann, </w:t>
      </w:r>
      <w:r>
        <w:rPr>
          <w:i/>
          <w:iCs/>
        </w:rPr>
        <w:t>First and Second Samuel</w:t>
      </w:r>
      <w:r>
        <w:rPr>
          <w:rFonts w:cs="Calibri"/>
        </w:rPr>
        <w:t>, 257.</w:t>
      </w:r>
    </w:p>
  </w:footnote>
  <w:footnote w:id="342">
    <w:p w14:paraId="2D1B8D8B" w14:textId="77777777" w:rsidR="007B7018" w:rsidRDefault="007B7018" w:rsidP="0089442F">
      <w:pPr>
        <w:pStyle w:val="FootnoteText"/>
      </w:pPr>
      <w:r>
        <w:rPr>
          <w:rStyle w:val="FootnoteReference"/>
        </w:rPr>
        <w:footnoteRef/>
      </w:r>
      <w:r>
        <w:t xml:space="preserve"> Cartledge,</w:t>
      </w:r>
      <w:r w:rsidRPr="007E4116">
        <w:rPr>
          <w:rFonts w:cs="Calibri"/>
          <w:i/>
        </w:rPr>
        <w:t xml:space="preserve"> </w:t>
      </w:r>
      <w:r w:rsidRPr="00BA34A3">
        <w:rPr>
          <w:rFonts w:cs="Calibri"/>
          <w:i/>
        </w:rPr>
        <w:t>1 &amp; 2 Samuel</w:t>
      </w:r>
      <w:r>
        <w:rPr>
          <w:rFonts w:cs="Calibri"/>
          <w:iCs/>
        </w:rPr>
        <w:t>,</w:t>
      </w:r>
      <w:r>
        <w:t xml:space="preserve"> 458.</w:t>
      </w:r>
    </w:p>
  </w:footnote>
  <w:footnote w:id="343">
    <w:p w14:paraId="1511DBE0" w14:textId="77777777" w:rsidR="007B7018" w:rsidRDefault="007B7018" w:rsidP="0089442F">
      <w:pPr>
        <w:pStyle w:val="FootnoteText"/>
      </w:pPr>
      <w:r>
        <w:rPr>
          <w:rStyle w:val="FootnoteReference"/>
        </w:rPr>
        <w:footnoteRef/>
      </w:r>
      <w:r>
        <w:t xml:space="preserve"> Cartledge, </w:t>
      </w:r>
      <w:r w:rsidRPr="00BA34A3">
        <w:rPr>
          <w:rFonts w:cs="Calibri"/>
          <w:i/>
        </w:rPr>
        <w:t>1 &amp; 2 Samuel</w:t>
      </w:r>
      <w:r>
        <w:rPr>
          <w:rFonts w:cs="Calibri"/>
          <w:iCs/>
        </w:rPr>
        <w:t>,</w:t>
      </w:r>
      <w:r w:rsidRPr="00BA34A3">
        <w:rPr>
          <w:rFonts w:cs="Calibri"/>
        </w:rPr>
        <w:t xml:space="preserve"> </w:t>
      </w:r>
      <w:r>
        <w:t>459.</w:t>
      </w:r>
    </w:p>
  </w:footnote>
  <w:footnote w:id="344">
    <w:p w14:paraId="1473B7AC" w14:textId="77777777" w:rsidR="007B7018" w:rsidRPr="00464F94" w:rsidRDefault="007B7018" w:rsidP="00CB21EA">
      <w:pPr>
        <w:pStyle w:val="FootnoteText"/>
      </w:pPr>
      <w:r>
        <w:rPr>
          <w:rStyle w:val="FootnoteReference"/>
        </w:rPr>
        <w:footnoteRef/>
      </w:r>
      <w:r>
        <w:t xml:space="preserve"> John Calvin, </w:t>
      </w:r>
      <w:r>
        <w:rPr>
          <w:i/>
          <w:iCs/>
        </w:rPr>
        <w:t>Sermons on 2 Samuel</w:t>
      </w:r>
      <w:r>
        <w:t xml:space="preserve"> (Edinburgh: Banner of Truth, 1992) 1:387, as quoted in </w:t>
      </w:r>
      <w:r>
        <w:rPr>
          <w:rFonts w:ascii="Calibri" w:hAnsi="Calibri" w:cs="Calibri"/>
          <w:color w:val="000000"/>
        </w:rPr>
        <w:t xml:space="preserve">Cooper </w:t>
      </w:r>
      <w:r w:rsidRPr="00790981">
        <w:rPr>
          <w:rFonts w:cs="Calibri"/>
        </w:rPr>
        <w:t>and Loh</w:t>
      </w:r>
      <w:r>
        <w:rPr>
          <w:rFonts w:cs="Calibri"/>
        </w:rPr>
        <w:t>r</w:t>
      </w:r>
      <w:r w:rsidRPr="00790981">
        <w:rPr>
          <w:rFonts w:cs="Calibri"/>
        </w:rPr>
        <w:t>mann,</w:t>
      </w:r>
      <w:r w:rsidRPr="00790981">
        <w:rPr>
          <w:rFonts w:ascii="Calibri" w:hAnsi="Calibri" w:cs="Calibri"/>
        </w:rPr>
        <w:t xml:space="preserve"> </w:t>
      </w:r>
      <w:r w:rsidRPr="00790981">
        <w:rPr>
          <w:rFonts w:ascii="Calibri" w:hAnsi="Calibri" w:cs="Calibri"/>
          <w:i/>
          <w:iCs/>
          <w:shd w:val="clear" w:color="auto" w:fill="FFFFFF"/>
        </w:rPr>
        <w:t>1 – 2 Samuel</w:t>
      </w:r>
      <w:r>
        <w:rPr>
          <w:rFonts w:ascii="Calibri" w:hAnsi="Calibri" w:cs="Calibri"/>
          <w:color w:val="000000"/>
        </w:rPr>
        <w:t>, 180.</w:t>
      </w:r>
    </w:p>
  </w:footnote>
  <w:footnote w:id="345">
    <w:p w14:paraId="4E790875" w14:textId="1D56EDED" w:rsidR="007B7018" w:rsidRDefault="007B7018">
      <w:pPr>
        <w:pStyle w:val="FootnoteText"/>
      </w:pPr>
      <w:r>
        <w:rPr>
          <w:rStyle w:val="FootnoteReference"/>
        </w:rPr>
        <w:footnoteRef/>
      </w:r>
      <w:r>
        <w:t xml:space="preserve"> </w:t>
      </w:r>
      <w:r w:rsidRPr="00BC2F86">
        <w:t xml:space="preserve">Rachelle Gilmour, </w:t>
      </w:r>
      <w:r w:rsidRPr="00BC2F86">
        <w:rPr>
          <w:rFonts w:cstheme="minorHAnsi"/>
          <w:i/>
          <w:iCs/>
        </w:rPr>
        <w:t xml:space="preserve">Representing the Past: </w:t>
      </w:r>
      <w:r w:rsidRPr="00BC2F86">
        <w:rPr>
          <w:rFonts w:ascii="Calibri" w:hAnsi="Calibri" w:cs="Calibri"/>
          <w:i/>
          <w:iCs/>
        </w:rPr>
        <w:t>A Literary Analysis of Narrative Historiography in</w:t>
      </w:r>
      <w:r w:rsidRPr="00BC2F86">
        <w:rPr>
          <w:rFonts w:cs="Calibri"/>
          <w:i/>
          <w:iCs/>
        </w:rPr>
        <w:t xml:space="preserve"> the Book of Samuel</w:t>
      </w:r>
      <w:r>
        <w:rPr>
          <w:rFonts w:cs="Calibri"/>
        </w:rPr>
        <w:t xml:space="preserve">, </w:t>
      </w:r>
      <w:r w:rsidRPr="00BC2F86">
        <w:rPr>
          <w:rFonts w:cs="Calibri"/>
        </w:rPr>
        <w:t xml:space="preserve">VTSup 143 </w:t>
      </w:r>
      <w:r>
        <w:rPr>
          <w:rFonts w:cs="Calibri"/>
        </w:rPr>
        <w:t>(</w:t>
      </w:r>
      <w:r w:rsidRPr="00BC2F86">
        <w:rPr>
          <w:rFonts w:cs="Calibri"/>
        </w:rPr>
        <w:t>Leiden: Brill, 2011),</w:t>
      </w:r>
      <w:r>
        <w:rPr>
          <w:rFonts w:cs="Calibri"/>
        </w:rPr>
        <w:t xml:space="preserve"> 77-78.</w:t>
      </w:r>
    </w:p>
  </w:footnote>
  <w:footnote w:id="346">
    <w:p w14:paraId="3EC94CD3" w14:textId="1AD22CB2" w:rsidR="007B7018" w:rsidRPr="00047CFF" w:rsidRDefault="007B7018" w:rsidP="006E0285">
      <w:pPr>
        <w:pStyle w:val="FootnoteText"/>
      </w:pPr>
      <w:r>
        <w:rPr>
          <w:rStyle w:val="FootnoteReference"/>
        </w:rPr>
        <w:footnoteRef/>
      </w:r>
      <w:r>
        <w:t xml:space="preserve"> Anderson, </w:t>
      </w:r>
      <w:r>
        <w:rPr>
          <w:i/>
          <w:iCs/>
        </w:rPr>
        <w:t>2 Samuel</w:t>
      </w:r>
      <w:r>
        <w:t>, 134.</w:t>
      </w:r>
    </w:p>
  </w:footnote>
  <w:footnote w:id="347">
    <w:p w14:paraId="6F36D73C" w14:textId="77777777" w:rsidR="007B7018" w:rsidRDefault="007B7018" w:rsidP="00333C6F">
      <w:pPr>
        <w:pStyle w:val="FootnoteText"/>
      </w:pPr>
      <w:r>
        <w:rPr>
          <w:rStyle w:val="FootnoteReference"/>
        </w:rPr>
        <w:footnoteRef/>
      </w:r>
      <w:r>
        <w:t xml:space="preserve"> Cartledge, </w:t>
      </w:r>
      <w:r w:rsidRPr="00BA34A3">
        <w:rPr>
          <w:rFonts w:cs="Calibri"/>
          <w:i/>
        </w:rPr>
        <w:t>1 &amp; 2 Samuel</w:t>
      </w:r>
      <w:r>
        <w:rPr>
          <w:rFonts w:cs="Calibri"/>
          <w:iCs/>
        </w:rPr>
        <w:t>,</w:t>
      </w:r>
      <w:r w:rsidRPr="00BA34A3">
        <w:rPr>
          <w:rFonts w:cs="Calibri"/>
        </w:rPr>
        <w:t xml:space="preserve"> </w:t>
      </w:r>
      <w:r>
        <w:t>493-94.</w:t>
      </w:r>
    </w:p>
  </w:footnote>
  <w:footnote w:id="348">
    <w:p w14:paraId="74DEA245" w14:textId="77777777" w:rsidR="007B7018" w:rsidRDefault="007B7018" w:rsidP="00DC1312">
      <w:pPr>
        <w:pStyle w:val="FootnoteText"/>
      </w:pPr>
      <w:r>
        <w:rPr>
          <w:rStyle w:val="FootnoteReference"/>
        </w:rPr>
        <w:footnoteRef/>
      </w:r>
      <w:r>
        <w:t xml:space="preserve"> Polzin,</w:t>
      </w:r>
      <w:r w:rsidRPr="0004296C">
        <w:rPr>
          <w:rFonts w:cs="Calibri"/>
          <w:i/>
        </w:rPr>
        <w:t xml:space="preserve"> </w:t>
      </w:r>
      <w:r>
        <w:rPr>
          <w:rFonts w:cs="Calibri"/>
          <w:i/>
        </w:rPr>
        <w:t>David</w:t>
      </w:r>
      <w:r>
        <w:rPr>
          <w:rFonts w:cs="Calibri"/>
          <w:iCs/>
        </w:rPr>
        <w:t>, 91.</w:t>
      </w:r>
    </w:p>
  </w:footnote>
  <w:footnote w:id="349">
    <w:p w14:paraId="679D554F" w14:textId="6E527D8B" w:rsidR="007B7018" w:rsidRPr="004C655E" w:rsidRDefault="007B7018">
      <w:pPr>
        <w:pStyle w:val="FootnoteText"/>
      </w:pPr>
      <w:r>
        <w:rPr>
          <w:rStyle w:val="FootnoteReference"/>
        </w:rPr>
        <w:footnoteRef/>
      </w:r>
      <w:r>
        <w:t xml:space="preserve"> See Reinhold Niebuhr, </w:t>
      </w:r>
      <w:r>
        <w:rPr>
          <w:i/>
          <w:iCs/>
        </w:rPr>
        <w:t>Moral Man and Immoral Society: A Study in Ethics and Politics</w:t>
      </w:r>
      <w:r>
        <w:t xml:space="preserve"> (New York: Scribner’s, 1932).</w:t>
      </w:r>
    </w:p>
  </w:footnote>
  <w:footnote w:id="350">
    <w:p w14:paraId="2E0E94D6" w14:textId="63F9367E" w:rsidR="007B7018" w:rsidRPr="00D81DD8" w:rsidRDefault="007B7018">
      <w:pPr>
        <w:pStyle w:val="FootnoteText"/>
      </w:pPr>
      <w:r>
        <w:rPr>
          <w:rStyle w:val="FootnoteReference"/>
        </w:rPr>
        <w:footnoteRef/>
      </w:r>
      <w:r>
        <w:t xml:space="preserve"> David A. Bosworth, “David, Jether, and Child Soldiers,” </w:t>
      </w:r>
      <w:r>
        <w:rPr>
          <w:i/>
          <w:iCs/>
        </w:rPr>
        <w:t xml:space="preserve">JSOT </w:t>
      </w:r>
      <w:r>
        <w:t>36 (2011): 185-97.</w:t>
      </w:r>
    </w:p>
  </w:footnote>
  <w:footnote w:id="351">
    <w:p w14:paraId="1645E1BE" w14:textId="2231E690" w:rsidR="007B7018" w:rsidRDefault="007B7018">
      <w:pPr>
        <w:pStyle w:val="FootnoteText"/>
      </w:pPr>
      <w:r>
        <w:rPr>
          <w:rStyle w:val="FootnoteReference"/>
        </w:rPr>
        <w:footnoteRef/>
      </w:r>
      <w:r>
        <w:t xml:space="preserve"> See the sections on “Saul Desperately Seeking” in chapter 5 above.</w:t>
      </w:r>
    </w:p>
  </w:footnote>
  <w:footnote w:id="352">
    <w:p w14:paraId="7D16EC3F" w14:textId="1F2223CD" w:rsidR="007B7018" w:rsidRDefault="007B7018">
      <w:pPr>
        <w:pStyle w:val="FootnoteText"/>
      </w:pPr>
      <w:r>
        <w:rPr>
          <w:rStyle w:val="FootnoteReference"/>
        </w:rPr>
        <w:footnoteRef/>
      </w:r>
      <w:r>
        <w:t xml:space="preserve"> So the seventeenth century Venetian nun </w:t>
      </w:r>
      <w:r w:rsidRPr="000B4F7D">
        <w:rPr>
          <w:rFonts w:cstheme="minorHAnsi"/>
          <w:color w:val="333333"/>
          <w:shd w:val="clear" w:color="auto" w:fill="FFFFFF"/>
        </w:rPr>
        <w:t>Arcangela Tarabot</w:t>
      </w:r>
      <w:r>
        <w:rPr>
          <w:rFonts w:cstheme="minorHAnsi"/>
          <w:color w:val="333333"/>
          <w:shd w:val="clear" w:color="auto" w:fill="FFFFFF"/>
        </w:rPr>
        <w:t>ti,</w:t>
      </w:r>
      <w:r>
        <w:rPr>
          <w:i/>
          <w:iCs/>
        </w:rPr>
        <w:t xml:space="preserve"> Paternal Tyranny </w:t>
      </w:r>
      <w:r>
        <w:t>(Chicago: University of Chicago Press, 2004), 112.</w:t>
      </w:r>
    </w:p>
  </w:footnote>
  <w:footnote w:id="353">
    <w:p w14:paraId="45A0D8A7" w14:textId="10AE4A9A" w:rsidR="007B7018" w:rsidRPr="00D460CC" w:rsidRDefault="007B7018" w:rsidP="00D460CC">
      <w:pPr>
        <w:pStyle w:val="FootnoteText"/>
      </w:pPr>
      <w:r>
        <w:rPr>
          <w:rStyle w:val="FootnoteReference"/>
        </w:rPr>
        <w:footnoteRef/>
      </w:r>
      <w:r>
        <w:t xml:space="preserve"> Sara M. Koenig, “</w:t>
      </w:r>
      <w:r w:rsidRPr="00FF5DA1">
        <w:rPr>
          <w:rFonts w:ascii="Calibri" w:eastAsia="Brill-Bold" w:hAnsi="Calibri" w:cs="Calibri"/>
        </w:rPr>
        <w:t>Make War Not Love</w:t>
      </w:r>
      <w:r>
        <w:t xml:space="preserve">: </w:t>
      </w:r>
      <w:r w:rsidRPr="00FF5DA1">
        <w:rPr>
          <w:rFonts w:ascii="Calibri" w:eastAsia="Brill-Bold" w:hAnsi="Calibri" w:cs="Calibri"/>
        </w:rPr>
        <w:t>The Limits of David’s Hegemonic Masculinity in 2 Samuel 10</w:t>
      </w:r>
      <w:r>
        <w:rPr>
          <w:rFonts w:ascii="Calibri" w:eastAsia="Brill-Bold" w:hAnsi="Calibri" w:cs="Calibri"/>
        </w:rPr>
        <w:t xml:space="preserve"> </w:t>
      </w:r>
      <w:r w:rsidRPr="00FF5DA1">
        <w:rPr>
          <w:rFonts w:ascii="Calibri" w:eastAsia="Brill-Bold" w:hAnsi="Calibri" w:cs="Calibri"/>
        </w:rPr>
        <w:t>–</w:t>
      </w:r>
      <w:r>
        <w:rPr>
          <w:rFonts w:ascii="Calibri" w:eastAsia="Brill-Bold" w:hAnsi="Calibri" w:cs="Calibri"/>
        </w:rPr>
        <w:t xml:space="preserve"> </w:t>
      </w:r>
      <w:r w:rsidRPr="00FF5DA1">
        <w:rPr>
          <w:rFonts w:ascii="Calibri" w:eastAsia="Brill-Bold" w:hAnsi="Calibri" w:cs="Calibri"/>
        </w:rPr>
        <w:t>12</w:t>
      </w:r>
      <w:r>
        <w:rPr>
          <w:rFonts w:ascii="Calibri" w:eastAsia="Brill-Bold" w:hAnsi="Calibri" w:cs="Calibri"/>
        </w:rPr>
        <w:t xml:space="preserve">, </w:t>
      </w:r>
      <w:r>
        <w:rPr>
          <w:rFonts w:ascii="Calibri" w:eastAsia="Brill-Bold" w:hAnsi="Calibri" w:cs="Calibri"/>
          <w:i/>
          <w:iCs/>
        </w:rPr>
        <w:t xml:space="preserve">BibInt </w:t>
      </w:r>
      <w:r>
        <w:rPr>
          <w:rFonts w:ascii="Calibri" w:eastAsia="Brill-Bold" w:hAnsi="Calibri" w:cs="Calibri"/>
        </w:rPr>
        <w:t xml:space="preserve">23 (2015): 489-517. </w:t>
      </w:r>
    </w:p>
  </w:footnote>
  <w:footnote w:id="354">
    <w:p w14:paraId="2E79F0E0" w14:textId="6505A58C" w:rsidR="007B7018" w:rsidRPr="007E24F8" w:rsidRDefault="007B7018" w:rsidP="007E24F8">
      <w:pPr>
        <w:pStyle w:val="FootnoteText"/>
        <w:rPr>
          <w:rFonts w:ascii="Calibri" w:hAnsi="Calibri" w:cs="Calibri"/>
        </w:rPr>
      </w:pPr>
      <w:r>
        <w:rPr>
          <w:rStyle w:val="FootnoteReference"/>
        </w:rPr>
        <w:footnoteRef/>
      </w:r>
      <w:r>
        <w:t xml:space="preserve"> On the broad question with consideration of Saul, David, and Uriah, see Jan Grimell, “</w:t>
      </w:r>
      <w:r w:rsidRPr="00C30D23">
        <w:rPr>
          <w:rFonts w:ascii="Calibri" w:hAnsi="Calibri" w:cs="Calibri"/>
        </w:rPr>
        <w:t>To Understand and Support Contemporary Veterans Utilizing Biblical Combat Veteran Types</w:t>
      </w:r>
      <w:r w:rsidRPr="007E24F8">
        <w:rPr>
          <w:rFonts w:ascii="Calibri" w:hAnsi="Calibri" w:cs="Calibri"/>
          <w:i/>
          <w:iCs/>
        </w:rPr>
        <w:t>,” Journal of Pastoral Care &amp; Counseling</w:t>
      </w:r>
      <w:r>
        <w:rPr>
          <w:rFonts w:ascii="Calibri" w:hAnsi="Calibri" w:cs="Calibri"/>
          <w:i/>
          <w:iCs/>
        </w:rPr>
        <w:t xml:space="preserve"> </w:t>
      </w:r>
      <w:r>
        <w:rPr>
          <w:rFonts w:ascii="Calibri" w:hAnsi="Calibri" w:cs="Calibri"/>
        </w:rPr>
        <w:t>72 (2018): 232-40.</w:t>
      </w:r>
    </w:p>
  </w:footnote>
  <w:footnote w:id="355">
    <w:p w14:paraId="4BE3E837" w14:textId="6A08994A" w:rsidR="007B7018" w:rsidRPr="008171A7" w:rsidRDefault="007B7018">
      <w:pPr>
        <w:pStyle w:val="FootnoteText"/>
      </w:pPr>
      <w:r>
        <w:rPr>
          <w:rStyle w:val="FootnoteReference"/>
        </w:rPr>
        <w:footnoteRef/>
      </w:r>
      <w:r>
        <w:t xml:space="preserve"> McCarter, </w:t>
      </w:r>
      <w:r>
        <w:rPr>
          <w:i/>
          <w:iCs/>
        </w:rPr>
        <w:t>II Samuel</w:t>
      </w:r>
      <w:r>
        <w:t>, 159-60, 168.</w:t>
      </w:r>
    </w:p>
  </w:footnote>
  <w:footnote w:id="356">
    <w:p w14:paraId="1F28B8CD" w14:textId="3CF30C9B" w:rsidR="007B7018" w:rsidRPr="001136FD" w:rsidRDefault="007B7018">
      <w:pPr>
        <w:pStyle w:val="FootnoteText"/>
      </w:pPr>
      <w:r>
        <w:rPr>
          <w:rStyle w:val="FootnoteReference"/>
        </w:rPr>
        <w:footnoteRef/>
      </w:r>
      <w:r>
        <w:t xml:space="preserve"> And where Nathan and Zadoq had once ministered? (so, e.g., Gwilym H. Jones, </w:t>
      </w:r>
      <w:r>
        <w:rPr>
          <w:i/>
          <w:iCs/>
        </w:rPr>
        <w:t>The Nathan Narratives,</w:t>
      </w:r>
      <w:r>
        <w:t xml:space="preserve"> JSOTSup 80 [Sheffield: Sheffield Academic, 1990]).</w:t>
      </w:r>
    </w:p>
  </w:footnote>
  <w:footnote w:id="357">
    <w:p w14:paraId="3306F580" w14:textId="12CD2242" w:rsidR="007B7018" w:rsidRPr="00861545" w:rsidRDefault="007B7018" w:rsidP="00CC7599">
      <w:pPr>
        <w:autoSpaceDE w:val="0"/>
        <w:autoSpaceDN w:val="0"/>
        <w:adjustRightInd w:val="0"/>
        <w:spacing w:line="240" w:lineRule="auto"/>
        <w:rPr>
          <w:rFonts w:ascii="Calibri" w:hAnsi="Calibri" w:cs="Calibri"/>
          <w:sz w:val="20"/>
          <w:szCs w:val="20"/>
        </w:rPr>
      </w:pPr>
      <w:r>
        <w:rPr>
          <w:rStyle w:val="FootnoteReference"/>
        </w:rPr>
        <w:footnoteRef/>
      </w:r>
      <w:r>
        <w:t xml:space="preserve"> </w:t>
      </w:r>
      <w:r w:rsidRPr="00EC29DC">
        <w:rPr>
          <w:rFonts w:ascii="Calibri" w:hAnsi="Calibri" w:cs="Calibri"/>
          <w:sz w:val="20"/>
          <w:szCs w:val="20"/>
        </w:rPr>
        <w:t xml:space="preserve">Victor A. </w:t>
      </w:r>
      <w:r w:rsidRPr="00861545">
        <w:rPr>
          <w:rFonts w:ascii="Calibri" w:hAnsi="Calibri" w:cs="Calibri"/>
          <w:sz w:val="20"/>
          <w:szCs w:val="20"/>
        </w:rPr>
        <w:t xml:space="preserve">Hurowitz, “The Inauguration of Palaces and Temples in the Assyrian Royal Inscriptions,” </w:t>
      </w:r>
      <w:r w:rsidRPr="00861545">
        <w:rPr>
          <w:rFonts w:ascii="Calibri" w:hAnsi="Calibri" w:cs="Calibri"/>
          <w:i/>
          <w:iCs/>
          <w:sz w:val="20"/>
          <w:szCs w:val="20"/>
        </w:rPr>
        <w:t>Orient</w:t>
      </w:r>
      <w:r>
        <w:rPr>
          <w:rFonts w:ascii="Calibri" w:hAnsi="Calibri" w:cs="Calibri"/>
          <w:i/>
          <w:iCs/>
          <w:sz w:val="20"/>
          <w:szCs w:val="20"/>
        </w:rPr>
        <w:t xml:space="preserve"> </w:t>
      </w:r>
      <w:r w:rsidRPr="00861545">
        <w:rPr>
          <w:rFonts w:ascii="Calibri" w:hAnsi="Calibri" w:cs="Calibri"/>
          <w:sz w:val="20"/>
          <w:szCs w:val="20"/>
        </w:rPr>
        <w:t xml:space="preserve">29 (2014): 89-105; cf. </w:t>
      </w:r>
      <w:r w:rsidRPr="00861545">
        <w:rPr>
          <w:sz w:val="20"/>
          <w:szCs w:val="20"/>
        </w:rPr>
        <w:t>David Toshio</w:t>
      </w:r>
      <w:r w:rsidRPr="00861545">
        <w:rPr>
          <w:rFonts w:ascii="Calibri" w:hAnsi="Calibri" w:cs="Calibri"/>
          <w:sz w:val="20"/>
          <w:szCs w:val="20"/>
        </w:rPr>
        <w:t xml:space="preserve"> Tsumura, </w:t>
      </w:r>
      <w:r w:rsidRPr="00861545">
        <w:rPr>
          <w:i/>
          <w:iCs/>
          <w:sz w:val="20"/>
          <w:szCs w:val="20"/>
        </w:rPr>
        <w:t>The Second Book of Samuel</w:t>
      </w:r>
      <w:r>
        <w:rPr>
          <w:sz w:val="20"/>
          <w:szCs w:val="20"/>
        </w:rPr>
        <w:t xml:space="preserve">, </w:t>
      </w:r>
      <w:r w:rsidRPr="00861545">
        <w:rPr>
          <w:sz w:val="20"/>
          <w:szCs w:val="20"/>
        </w:rPr>
        <w:t xml:space="preserve">NICOT </w:t>
      </w:r>
      <w:r>
        <w:rPr>
          <w:sz w:val="20"/>
          <w:szCs w:val="20"/>
        </w:rPr>
        <w:t>(</w:t>
      </w:r>
      <w:r w:rsidRPr="00861545">
        <w:rPr>
          <w:sz w:val="20"/>
          <w:szCs w:val="20"/>
        </w:rPr>
        <w:t>Grand Rapids: Eerdmans, 2019</w:t>
      </w:r>
      <w:r w:rsidRPr="00861545">
        <w:rPr>
          <w:rFonts w:ascii="Calibri" w:hAnsi="Calibri" w:cs="Calibri"/>
          <w:sz w:val="20"/>
          <w:szCs w:val="20"/>
        </w:rPr>
        <w:t xml:space="preserve">), </w:t>
      </w:r>
      <w:r>
        <w:rPr>
          <w:rFonts w:ascii="Calibri" w:hAnsi="Calibri" w:cs="Calibri"/>
          <w:sz w:val="20"/>
          <w:szCs w:val="20"/>
        </w:rPr>
        <w:t>83.</w:t>
      </w:r>
    </w:p>
  </w:footnote>
  <w:footnote w:id="358">
    <w:p w14:paraId="61F84334" w14:textId="473DD9AF" w:rsidR="007B7018" w:rsidRPr="00630AF6" w:rsidRDefault="007B7018">
      <w:pPr>
        <w:pStyle w:val="FootnoteText"/>
      </w:pPr>
      <w:r>
        <w:rPr>
          <w:rStyle w:val="FootnoteReference"/>
        </w:rPr>
        <w:footnoteRef/>
      </w:r>
      <w:r>
        <w:t xml:space="preserve"> Anderson, </w:t>
      </w:r>
      <w:r>
        <w:rPr>
          <w:i/>
          <w:iCs/>
        </w:rPr>
        <w:t>2 Samuel</w:t>
      </w:r>
      <w:r>
        <w:t>, 104-5.</w:t>
      </w:r>
    </w:p>
  </w:footnote>
  <w:footnote w:id="359">
    <w:p w14:paraId="01CEE933" w14:textId="26829B25" w:rsidR="007B7018" w:rsidRPr="004B4C85" w:rsidRDefault="007B7018" w:rsidP="004B4C85">
      <w:pPr>
        <w:pStyle w:val="FootnoteText"/>
        <w:rPr>
          <w:rFonts w:ascii="Calibri" w:hAnsi="Calibri" w:cs="Calibri"/>
        </w:rPr>
      </w:pPr>
      <w:r>
        <w:rPr>
          <w:rStyle w:val="FootnoteReference"/>
        </w:rPr>
        <w:footnoteRef/>
      </w:r>
      <w:r>
        <w:t xml:space="preserve"> </w:t>
      </w:r>
      <w:r w:rsidRPr="004B4C85">
        <w:rPr>
          <w:rFonts w:ascii="Calibri" w:hAnsi="Calibri" w:cs="Calibri"/>
        </w:rPr>
        <w:t xml:space="preserve">Sarah Schulz, </w:t>
      </w:r>
      <w:r>
        <w:rPr>
          <w:rFonts w:ascii="Calibri" w:hAnsi="Calibri" w:cs="Calibri"/>
        </w:rPr>
        <w:t>“</w:t>
      </w:r>
      <w:r w:rsidRPr="004B4C85">
        <w:rPr>
          <w:rFonts w:ascii="Calibri" w:hAnsi="Calibri" w:cs="Calibri"/>
        </w:rPr>
        <w:t>The Dancing David: Nudity and Cult in 2 Sam. 6</w:t>
      </w:r>
      <w:r>
        <w:rPr>
          <w:rFonts w:ascii="Calibri" w:hAnsi="Calibri" w:cs="Calibri"/>
        </w:rPr>
        <w:t>,”</w:t>
      </w:r>
      <w:r w:rsidRPr="004B4C85">
        <w:rPr>
          <w:rFonts w:ascii="Calibri" w:hAnsi="Calibri" w:cs="Calibri"/>
        </w:rPr>
        <w:t xml:space="preserve"> </w:t>
      </w:r>
      <w:r>
        <w:rPr>
          <w:rFonts w:ascii="Calibri" w:hAnsi="Calibri" w:cs="Calibri"/>
        </w:rPr>
        <w:t xml:space="preserve">in </w:t>
      </w:r>
      <w:r w:rsidRPr="004B4C85">
        <w:rPr>
          <w:rFonts w:ascii="Calibri" w:hAnsi="Calibri" w:cs="Calibri"/>
          <w:i/>
          <w:iCs/>
        </w:rPr>
        <w:t>Clothing and Nudity in the</w:t>
      </w:r>
    </w:p>
    <w:p w14:paraId="58990889" w14:textId="7D46A321" w:rsidR="007B7018" w:rsidRPr="004B4C85" w:rsidRDefault="007B7018" w:rsidP="00751650">
      <w:pPr>
        <w:autoSpaceDE w:val="0"/>
        <w:autoSpaceDN w:val="0"/>
        <w:adjustRightInd w:val="0"/>
        <w:spacing w:line="240" w:lineRule="auto"/>
        <w:ind w:firstLine="0"/>
        <w:rPr>
          <w:rFonts w:ascii="Calibri" w:hAnsi="Calibri" w:cs="Calibri"/>
          <w:sz w:val="20"/>
          <w:szCs w:val="20"/>
        </w:rPr>
      </w:pPr>
      <w:r w:rsidRPr="004B4C85">
        <w:rPr>
          <w:rFonts w:ascii="Calibri" w:hAnsi="Calibri" w:cs="Calibri"/>
          <w:i/>
          <w:iCs/>
          <w:sz w:val="20"/>
          <w:szCs w:val="20"/>
        </w:rPr>
        <w:t>Hebrew Bible</w:t>
      </w:r>
      <w:r>
        <w:rPr>
          <w:rFonts w:ascii="Calibri" w:hAnsi="Calibri" w:cs="Calibri"/>
          <w:sz w:val="20"/>
          <w:szCs w:val="20"/>
        </w:rPr>
        <w:t>, e</w:t>
      </w:r>
      <w:r w:rsidRPr="004B4C85">
        <w:rPr>
          <w:rFonts w:ascii="Calibri" w:hAnsi="Calibri" w:cs="Calibri"/>
          <w:sz w:val="20"/>
          <w:szCs w:val="20"/>
        </w:rPr>
        <w:t>d. Christoph Berner</w:t>
      </w:r>
      <w:r>
        <w:rPr>
          <w:rFonts w:ascii="Calibri" w:hAnsi="Calibri" w:cs="Calibri"/>
          <w:sz w:val="20"/>
          <w:szCs w:val="20"/>
        </w:rPr>
        <w:t xml:space="preserve"> et al.</w:t>
      </w:r>
      <w:r w:rsidRPr="004B4C85">
        <w:rPr>
          <w:rFonts w:ascii="Calibri" w:hAnsi="Calibri" w:cs="Calibri"/>
          <w:sz w:val="20"/>
          <w:szCs w:val="20"/>
        </w:rPr>
        <w:t xml:space="preserve"> </w:t>
      </w:r>
      <w:r>
        <w:rPr>
          <w:rFonts w:ascii="Calibri" w:hAnsi="Calibri" w:cs="Calibri"/>
          <w:sz w:val="20"/>
          <w:szCs w:val="20"/>
        </w:rPr>
        <w:t>(</w:t>
      </w:r>
      <w:r w:rsidRPr="004B4C85">
        <w:rPr>
          <w:rFonts w:ascii="Calibri" w:hAnsi="Calibri" w:cs="Calibri"/>
          <w:sz w:val="20"/>
          <w:szCs w:val="20"/>
        </w:rPr>
        <w:t>London: T</w:t>
      </w:r>
      <w:r>
        <w:rPr>
          <w:rFonts w:ascii="Calibri" w:hAnsi="Calibri" w:cs="Calibri"/>
          <w:sz w:val="20"/>
          <w:szCs w:val="20"/>
        </w:rPr>
        <w:t xml:space="preserve"> </w:t>
      </w:r>
      <w:r w:rsidRPr="004B4C85">
        <w:rPr>
          <w:rFonts w:ascii="Calibri" w:hAnsi="Calibri" w:cs="Calibri"/>
          <w:sz w:val="20"/>
          <w:szCs w:val="20"/>
        </w:rPr>
        <w:t>&amp;</w:t>
      </w:r>
      <w:r>
        <w:rPr>
          <w:rFonts w:ascii="Calibri" w:hAnsi="Calibri" w:cs="Calibri"/>
          <w:sz w:val="20"/>
          <w:szCs w:val="20"/>
        </w:rPr>
        <w:t xml:space="preserve"> </w:t>
      </w:r>
      <w:r w:rsidRPr="004B4C85">
        <w:rPr>
          <w:rFonts w:ascii="Calibri" w:hAnsi="Calibri" w:cs="Calibri"/>
          <w:sz w:val="20"/>
          <w:szCs w:val="20"/>
        </w:rPr>
        <w:t>T Clark, 2019</w:t>
      </w:r>
      <w:r>
        <w:rPr>
          <w:rFonts w:ascii="Calibri" w:hAnsi="Calibri" w:cs="Calibri"/>
          <w:sz w:val="20"/>
          <w:szCs w:val="20"/>
        </w:rPr>
        <w:t>),</w:t>
      </w:r>
      <w:r w:rsidRPr="004B4C85">
        <w:rPr>
          <w:rFonts w:ascii="Calibri" w:hAnsi="Calibri" w:cs="Calibri"/>
          <w:sz w:val="20"/>
          <w:szCs w:val="20"/>
        </w:rPr>
        <w:t xml:space="preserve"> 461–76</w:t>
      </w:r>
      <w:r>
        <w:rPr>
          <w:rFonts w:ascii="Calibri" w:hAnsi="Calibri" w:cs="Calibri"/>
          <w:sz w:val="20"/>
          <w:szCs w:val="20"/>
        </w:rPr>
        <w:t xml:space="preserve"> (467-69).</w:t>
      </w:r>
    </w:p>
  </w:footnote>
  <w:footnote w:id="360">
    <w:p w14:paraId="7DA14664" w14:textId="77777777" w:rsidR="007B7018" w:rsidRPr="00487738" w:rsidRDefault="007B7018" w:rsidP="00205A5E">
      <w:pPr>
        <w:pStyle w:val="FootnoteText"/>
      </w:pPr>
      <w:r>
        <w:rPr>
          <w:rStyle w:val="FootnoteReference"/>
        </w:rPr>
        <w:footnoteRef/>
      </w:r>
      <w:r>
        <w:t xml:space="preserve"> Barron, </w:t>
      </w:r>
      <w:r>
        <w:rPr>
          <w:rFonts w:cs="Calibri"/>
          <w:i/>
          <w:iCs/>
        </w:rPr>
        <w:t>2 Samuel</w:t>
      </w:r>
      <w:r>
        <w:rPr>
          <w:rFonts w:cs="Calibri"/>
        </w:rPr>
        <w:t>, 59-60.</w:t>
      </w:r>
    </w:p>
  </w:footnote>
  <w:footnote w:id="361">
    <w:p w14:paraId="4F8AFCC9" w14:textId="77777777" w:rsidR="007B7018" w:rsidRDefault="007B7018" w:rsidP="00205A5E">
      <w:pPr>
        <w:pStyle w:val="FootnoteText"/>
      </w:pPr>
      <w:r>
        <w:rPr>
          <w:rStyle w:val="FootnoteReference"/>
        </w:rPr>
        <w:footnoteRef/>
      </w:r>
      <w:r>
        <w:t xml:space="preserve"> See the section on “Family” earlier in this chapter.</w:t>
      </w:r>
    </w:p>
  </w:footnote>
  <w:footnote w:id="362">
    <w:p w14:paraId="576580CD" w14:textId="1182A982" w:rsidR="007B7018" w:rsidRPr="00453929" w:rsidRDefault="007B7018" w:rsidP="00215081">
      <w:pPr>
        <w:pStyle w:val="FootnoteText"/>
      </w:pPr>
      <w:r>
        <w:rPr>
          <w:rStyle w:val="FootnoteReference"/>
        </w:rPr>
        <w:footnoteRef/>
      </w:r>
      <w:r>
        <w:t xml:space="preserve"> Martin Bucer, </w:t>
      </w:r>
      <w:r>
        <w:rPr>
          <w:i/>
          <w:iCs/>
        </w:rPr>
        <w:t>De regno Christi</w:t>
      </w:r>
      <w:r>
        <w:t xml:space="preserve"> </w:t>
      </w:r>
      <w:r>
        <w:rPr>
          <w:i/>
          <w:iCs/>
        </w:rPr>
        <w:t xml:space="preserve">Iesu seruatoris nostri: Libri II </w:t>
      </w:r>
      <w:r>
        <w:t xml:space="preserve">(Basel: Oporinus, 1557), 207, as translated in </w:t>
      </w:r>
      <w:r w:rsidRPr="00BF32DE">
        <w:rPr>
          <w:rFonts w:cs="Calibri"/>
        </w:rPr>
        <w:t>Cooper and Loh</w:t>
      </w:r>
      <w:r>
        <w:rPr>
          <w:rFonts w:cs="Calibri"/>
        </w:rPr>
        <w:t>r</w:t>
      </w:r>
      <w:r w:rsidRPr="00BF32DE">
        <w:rPr>
          <w:rFonts w:cs="Calibri"/>
        </w:rPr>
        <w:t>mann</w:t>
      </w:r>
      <w:r>
        <w:rPr>
          <w:rFonts w:ascii="Calibri" w:hAnsi="Calibri" w:cs="Calibri"/>
        </w:rPr>
        <w:t>,</w:t>
      </w:r>
      <w:r w:rsidRPr="00BF32DE">
        <w:rPr>
          <w:rFonts w:ascii="Calibri" w:hAnsi="Calibri" w:cs="Calibri"/>
        </w:rPr>
        <w:t xml:space="preserve"> </w:t>
      </w:r>
      <w:r w:rsidRPr="00BF32DE">
        <w:rPr>
          <w:rFonts w:ascii="Calibri" w:hAnsi="Calibri" w:cs="Calibri"/>
          <w:i/>
          <w:iCs/>
          <w:shd w:val="clear" w:color="auto" w:fill="FFFFFF"/>
        </w:rPr>
        <w:t>1 – 2 Samuel</w:t>
      </w:r>
      <w:r>
        <w:t>, 171.</w:t>
      </w:r>
    </w:p>
  </w:footnote>
  <w:footnote w:id="363">
    <w:p w14:paraId="3B4E4762" w14:textId="77777777" w:rsidR="007B7018" w:rsidRPr="009E47D2" w:rsidRDefault="007B7018" w:rsidP="008E79B4">
      <w:pPr>
        <w:pStyle w:val="FootnoteText"/>
      </w:pPr>
      <w:r>
        <w:rPr>
          <w:rStyle w:val="FootnoteReference"/>
        </w:rPr>
        <w:footnoteRef/>
      </w:r>
      <w:r>
        <w:t xml:space="preserve"> </w:t>
      </w:r>
      <w:r w:rsidRPr="001E407D">
        <w:rPr>
          <w:rFonts w:ascii="Calibri" w:hAnsi="Calibri" w:cs="Calibri"/>
        </w:rPr>
        <w:t xml:space="preserve">Irenaeus, </w:t>
      </w:r>
      <w:r w:rsidRPr="001E407D">
        <w:rPr>
          <w:rFonts w:ascii="Calibri" w:eastAsia="GaramondPremrPro-It" w:hAnsi="Calibri" w:cs="Calibri"/>
          <w:i/>
          <w:iCs/>
        </w:rPr>
        <w:t xml:space="preserve">Against Heresies </w:t>
      </w:r>
      <w:r>
        <w:rPr>
          <w:rFonts w:ascii="Calibri" w:hAnsi="Calibri" w:cs="Calibri"/>
        </w:rPr>
        <w:t>Book Four, 20:</w:t>
      </w:r>
      <w:r w:rsidRPr="001E407D">
        <w:rPr>
          <w:rFonts w:ascii="Calibri" w:hAnsi="Calibri" w:cs="Calibri"/>
        </w:rPr>
        <w:t>7</w:t>
      </w:r>
      <w:r>
        <w:rPr>
          <w:rFonts w:ascii="Calibri" w:hAnsi="Calibri" w:cs="Calibri"/>
        </w:rPr>
        <w:t>; cf.</w:t>
      </w:r>
      <w:r>
        <w:t xml:space="preserve"> Barron, </w:t>
      </w:r>
      <w:r>
        <w:rPr>
          <w:rFonts w:cs="Calibri"/>
          <w:i/>
          <w:iCs/>
        </w:rPr>
        <w:t>2 Samuel</w:t>
      </w:r>
      <w:r>
        <w:rPr>
          <w:rFonts w:cs="Calibri"/>
        </w:rPr>
        <w:t>, 64. Irenaeus actually says, “The glory of God is a living human being, and a living human being consists in beholding God.”</w:t>
      </w:r>
    </w:p>
  </w:footnote>
  <w:footnote w:id="364">
    <w:p w14:paraId="5FD3FAEE" w14:textId="00AABB21" w:rsidR="007B7018" w:rsidRPr="007C78E1" w:rsidRDefault="007B7018">
      <w:pPr>
        <w:pStyle w:val="FootnoteText"/>
        <w:rPr>
          <w:iCs/>
        </w:rPr>
      </w:pPr>
      <w:r>
        <w:rPr>
          <w:rStyle w:val="FootnoteReference"/>
        </w:rPr>
        <w:footnoteRef/>
      </w:r>
      <w:r>
        <w:t xml:space="preserve"> Polzin, </w:t>
      </w:r>
      <w:r>
        <w:rPr>
          <w:rFonts w:cs="Calibri"/>
          <w:i/>
        </w:rPr>
        <w:t>David</w:t>
      </w:r>
      <w:r>
        <w:rPr>
          <w:rFonts w:cs="Calibri"/>
          <w:iCs/>
        </w:rPr>
        <w:t xml:space="preserve">, 74. </w:t>
      </w:r>
    </w:p>
  </w:footnote>
  <w:footnote w:id="365">
    <w:p w14:paraId="3384A14A" w14:textId="77777777" w:rsidR="007B7018" w:rsidRPr="0013529E" w:rsidRDefault="007B7018" w:rsidP="00801988">
      <w:pPr>
        <w:pStyle w:val="FootnoteText"/>
      </w:pPr>
      <w:r>
        <w:rPr>
          <w:rStyle w:val="FootnoteReference"/>
        </w:rPr>
        <w:footnoteRef/>
      </w:r>
      <w:r>
        <w:t xml:space="preserve"> McCarter, </w:t>
      </w:r>
      <w:r>
        <w:rPr>
          <w:i/>
          <w:iCs/>
        </w:rPr>
        <w:t>II Samuel</w:t>
      </w:r>
      <w:r>
        <w:t>, 241, 251.</w:t>
      </w:r>
    </w:p>
  </w:footnote>
  <w:footnote w:id="366">
    <w:p w14:paraId="48D075DB" w14:textId="77777777" w:rsidR="007B7018" w:rsidRPr="00636B26" w:rsidRDefault="007B7018" w:rsidP="004D31EA">
      <w:pPr>
        <w:pStyle w:val="FootnoteText"/>
      </w:pPr>
      <w:r>
        <w:rPr>
          <w:rStyle w:val="FootnoteReference"/>
        </w:rPr>
        <w:footnoteRef/>
      </w:r>
      <w:r>
        <w:t xml:space="preserve"> Cf. Gregory Goswell, “Why Did God Say No to David? (2 Samuel 7),” </w:t>
      </w:r>
      <w:r>
        <w:rPr>
          <w:i/>
          <w:iCs/>
        </w:rPr>
        <w:t xml:space="preserve">JSOT </w:t>
      </w:r>
      <w:r>
        <w:t>43 (2019): 556-70.</w:t>
      </w:r>
    </w:p>
  </w:footnote>
  <w:footnote w:id="367">
    <w:p w14:paraId="5CB3BC7C" w14:textId="226CC3C6" w:rsidR="007B7018" w:rsidRDefault="007B7018">
      <w:pPr>
        <w:pStyle w:val="FootnoteText"/>
      </w:pPr>
      <w:r>
        <w:rPr>
          <w:rStyle w:val="FootnoteReference"/>
        </w:rPr>
        <w:footnoteRef/>
      </w:r>
      <w:r>
        <w:t xml:space="preserve"> See further the section on “Dymasty” earlier in this chapter. </w:t>
      </w:r>
    </w:p>
  </w:footnote>
  <w:footnote w:id="368">
    <w:p w14:paraId="1C556B83" w14:textId="0FF64EA1" w:rsidR="007B7018" w:rsidRDefault="007B7018">
      <w:pPr>
        <w:pStyle w:val="FootnoteText"/>
      </w:pPr>
      <w:r>
        <w:rPr>
          <w:rStyle w:val="FootnoteReference"/>
        </w:rPr>
        <w:footnoteRef/>
      </w:r>
      <w:r>
        <w:t xml:space="preserve"> Robert Alter, </w:t>
      </w:r>
      <w:r w:rsidRPr="00BA34A3">
        <w:rPr>
          <w:rFonts w:cs="Calibri"/>
          <w:i/>
        </w:rPr>
        <w:t>The David Story: A Translation with Commentary of 1 and 2 Samuel</w:t>
      </w:r>
      <w:r w:rsidRPr="00BA34A3">
        <w:rPr>
          <w:rFonts w:cs="Calibri"/>
        </w:rPr>
        <w:t xml:space="preserve"> </w:t>
      </w:r>
      <w:r>
        <w:rPr>
          <w:rFonts w:cs="Calibri"/>
        </w:rPr>
        <w:t>(</w:t>
      </w:r>
      <w:r w:rsidRPr="00BA34A3">
        <w:rPr>
          <w:rFonts w:cs="Calibri"/>
        </w:rPr>
        <w:t>New York: Norton, 1999</w:t>
      </w:r>
      <w:r>
        <w:rPr>
          <w:rFonts w:cs="Calibri"/>
        </w:rPr>
        <w:t>), 249.</w:t>
      </w:r>
    </w:p>
  </w:footnote>
  <w:footnote w:id="369">
    <w:p w14:paraId="29AC1EB0" w14:textId="133A48BB" w:rsidR="007B7018" w:rsidRDefault="007B7018">
      <w:pPr>
        <w:pStyle w:val="FootnoteText"/>
      </w:pPr>
      <w:r>
        <w:rPr>
          <w:rStyle w:val="FootnoteReference"/>
        </w:rPr>
        <w:footnoteRef/>
      </w:r>
      <w:r>
        <w:t xml:space="preserve"> Robert Polzin,</w:t>
      </w:r>
      <w:r w:rsidRPr="00DC0369">
        <w:rPr>
          <w:rFonts w:cs="Calibri"/>
          <w:i/>
        </w:rPr>
        <w:t xml:space="preserve"> </w:t>
      </w:r>
      <w:r>
        <w:rPr>
          <w:rFonts w:cs="Calibri"/>
          <w:i/>
        </w:rPr>
        <w:t>David</w:t>
      </w:r>
      <w:r w:rsidRPr="00BA34A3">
        <w:rPr>
          <w:rFonts w:cs="Calibri"/>
          <w:i/>
        </w:rPr>
        <w:t xml:space="preserve"> and the Deuteronomist: A Literary Study of the Deuteronomic History</w:t>
      </w:r>
      <w:r>
        <w:rPr>
          <w:rFonts w:cs="Calibri"/>
          <w:i/>
        </w:rPr>
        <w:t>.</w:t>
      </w:r>
      <w:r>
        <w:rPr>
          <w:rFonts w:cs="Calibri"/>
          <w:iCs/>
        </w:rPr>
        <w:t xml:space="preserve"> Part Three: 2 Samuel (</w:t>
      </w:r>
      <w:r w:rsidRPr="00BA34A3">
        <w:rPr>
          <w:rFonts w:cs="Calibri"/>
        </w:rPr>
        <w:t xml:space="preserve">Bloomington: Indiana University Press, </w:t>
      </w:r>
      <w:r>
        <w:rPr>
          <w:rFonts w:cs="Calibri"/>
          <w:iCs/>
        </w:rPr>
        <w:t>1993), 117, 119.</w:t>
      </w:r>
    </w:p>
  </w:footnote>
  <w:footnote w:id="370">
    <w:p w14:paraId="21683EDD" w14:textId="07F60379" w:rsidR="007B7018" w:rsidRPr="00B04495" w:rsidRDefault="007B7018">
      <w:pPr>
        <w:pStyle w:val="FootnoteText"/>
      </w:pPr>
      <w:r>
        <w:rPr>
          <w:rStyle w:val="FootnoteReference"/>
        </w:rPr>
        <w:footnoteRef/>
      </w:r>
      <w:r>
        <w:t xml:space="preserve"> </w:t>
      </w:r>
      <w:r w:rsidRPr="00BA34A3">
        <w:rPr>
          <w:rFonts w:cs="Calibri"/>
        </w:rPr>
        <w:t>A. Gra</w:t>
      </w:r>
      <w:r>
        <w:rPr>
          <w:rFonts w:cs="Calibri"/>
        </w:rPr>
        <w:t>eme Auld,</w:t>
      </w:r>
      <w:r>
        <w:t xml:space="preserve"> </w:t>
      </w:r>
      <w:r>
        <w:rPr>
          <w:i/>
          <w:iCs/>
        </w:rPr>
        <w:t>I &amp; II Samuel</w:t>
      </w:r>
      <w:r>
        <w:rPr>
          <w:rFonts w:cs="Calibri"/>
          <w:i/>
        </w:rPr>
        <w:t>: A Commentary</w:t>
      </w:r>
      <w:r>
        <w:rPr>
          <w:rFonts w:cs="Calibri"/>
        </w:rPr>
        <w:t xml:space="preserve">, </w:t>
      </w:r>
      <w:r w:rsidRPr="00BA34A3">
        <w:rPr>
          <w:rFonts w:cs="Calibri"/>
        </w:rPr>
        <w:t xml:space="preserve">OTL </w:t>
      </w:r>
      <w:r>
        <w:rPr>
          <w:rFonts w:cs="Calibri"/>
        </w:rPr>
        <w:t>(</w:t>
      </w:r>
      <w:r w:rsidRPr="00BA34A3">
        <w:rPr>
          <w:rFonts w:cs="Calibri"/>
        </w:rPr>
        <w:t>Louisville: Westminster John Knox, 2011</w:t>
      </w:r>
      <w:r>
        <w:rPr>
          <w:rFonts w:cs="Calibri"/>
        </w:rPr>
        <w:t>),</w:t>
      </w:r>
      <w:r>
        <w:t xml:space="preserve"> 466-67.</w:t>
      </w:r>
    </w:p>
  </w:footnote>
  <w:footnote w:id="371">
    <w:p w14:paraId="5B4BC50A" w14:textId="01D4F4A7" w:rsidR="007B7018" w:rsidRDefault="007B7018" w:rsidP="00C171CD">
      <w:pPr>
        <w:pStyle w:val="FootnoteText"/>
      </w:pPr>
      <w:r>
        <w:rPr>
          <w:rStyle w:val="FootnoteReference"/>
        </w:rPr>
        <w:footnoteRef/>
      </w:r>
      <w:r>
        <w:t xml:space="preserve"> Gale A. Yee, “‘</w:t>
      </w:r>
      <w:r w:rsidRPr="00C171CD">
        <w:rPr>
          <w:rFonts w:ascii="Calibri" w:hAnsi="Calibri" w:cs="Calibri"/>
        </w:rPr>
        <w:t>Fraught with Background</w:t>
      </w:r>
      <w:r>
        <w:rPr>
          <w:rFonts w:ascii="Calibri" w:hAnsi="Calibri" w:cs="Calibri"/>
        </w:rPr>
        <w:t xml:space="preserve">’: </w:t>
      </w:r>
      <w:r w:rsidRPr="00C171CD">
        <w:rPr>
          <w:rFonts w:ascii="Calibri" w:hAnsi="Calibri" w:cs="Calibri"/>
        </w:rPr>
        <w:t>Literary Ambiguity in II Samuel 11</w:t>
      </w:r>
      <w:r>
        <w:rPr>
          <w:rFonts w:ascii="Calibri" w:hAnsi="Calibri" w:cs="Calibri"/>
        </w:rPr>
        <w:t xml:space="preserve">,” </w:t>
      </w:r>
      <w:r>
        <w:rPr>
          <w:rFonts w:ascii="Calibri" w:hAnsi="Calibri" w:cs="Calibri"/>
          <w:i/>
          <w:iCs/>
        </w:rPr>
        <w:t xml:space="preserve">Interpretation </w:t>
      </w:r>
      <w:r>
        <w:rPr>
          <w:rFonts w:ascii="Calibri" w:hAnsi="Calibri" w:cs="Calibri"/>
        </w:rPr>
        <w:t>42 (1988): 240-53 (</w:t>
      </w:r>
      <w:r>
        <w:t>244).</w:t>
      </w:r>
    </w:p>
  </w:footnote>
  <w:footnote w:id="372">
    <w:p w14:paraId="010A7E51" w14:textId="1FC2D27D" w:rsidR="007B7018" w:rsidRDefault="007B7018" w:rsidP="00B51471">
      <w:pPr>
        <w:pStyle w:val="FootnoteText"/>
      </w:pPr>
      <w:r>
        <w:rPr>
          <w:rStyle w:val="FootnoteReference"/>
        </w:rPr>
        <w:footnoteRef/>
      </w:r>
      <w:r>
        <w:t xml:space="preserve"> </w:t>
      </w:r>
      <w:r w:rsidRPr="00B51471">
        <w:t xml:space="preserve">See Menahem Perry and Meir Sternberg, “The King through Ironic Eyes: Biblical Narrative and the Literary Reading Process,” </w:t>
      </w:r>
      <w:r w:rsidRPr="00B51471">
        <w:rPr>
          <w:i/>
          <w:iCs/>
        </w:rPr>
        <w:t xml:space="preserve">Poetics Today </w:t>
      </w:r>
      <w:r w:rsidRPr="00B51471">
        <w:t xml:space="preserve">7 (1986): 275-322; cf. </w:t>
      </w:r>
      <w:r>
        <w:t xml:space="preserve">Meir </w:t>
      </w:r>
      <w:r w:rsidRPr="001F52A8">
        <w:t>Sternberg</w:t>
      </w:r>
      <w:r>
        <w:t>,</w:t>
      </w:r>
      <w:r w:rsidRPr="001F52A8">
        <w:t xml:space="preserve"> </w:t>
      </w:r>
      <w:r w:rsidRPr="009518A1">
        <w:rPr>
          <w:i/>
          <w:iCs/>
        </w:rPr>
        <w:t>The Poetics of Biblical Narrativ</w:t>
      </w:r>
      <w:r>
        <w:rPr>
          <w:i/>
          <w:iCs/>
        </w:rPr>
        <w:t>e: Ideological Literature and the Drama of Reading</w:t>
      </w:r>
      <w:r>
        <w:t xml:space="preserve"> (Bloomington, IN: Indiana University Press, 1985); John Ahn, “Murder, Adultery, and Theft,” </w:t>
      </w:r>
      <w:r>
        <w:rPr>
          <w:rFonts w:cstheme="minorHAnsi"/>
        </w:rPr>
        <w:t xml:space="preserve">in </w:t>
      </w:r>
      <w:r w:rsidRPr="002E26DB">
        <w:rPr>
          <w:rFonts w:cstheme="minorHAnsi"/>
          <w:i/>
          <w:iCs/>
        </w:rPr>
        <w:t xml:space="preserve">Landscapes </w:t>
      </w:r>
      <w:r>
        <w:rPr>
          <w:rFonts w:cstheme="minorHAnsi"/>
          <w:i/>
          <w:iCs/>
        </w:rPr>
        <w:t>o</w:t>
      </w:r>
      <w:r w:rsidRPr="002E26DB">
        <w:rPr>
          <w:rFonts w:cstheme="minorHAnsi"/>
          <w:i/>
          <w:iCs/>
        </w:rPr>
        <w:t xml:space="preserve">f Korean </w:t>
      </w:r>
      <w:r>
        <w:rPr>
          <w:rFonts w:cstheme="minorHAnsi"/>
          <w:i/>
          <w:iCs/>
        </w:rPr>
        <w:t>a</w:t>
      </w:r>
      <w:r w:rsidRPr="002E26DB">
        <w:rPr>
          <w:rFonts w:cstheme="minorHAnsi"/>
          <w:i/>
          <w:iCs/>
        </w:rPr>
        <w:t>nd Korean</w:t>
      </w:r>
      <w:r>
        <w:rPr>
          <w:rFonts w:cstheme="minorHAnsi"/>
        </w:rPr>
        <w:t xml:space="preserve"> </w:t>
      </w:r>
      <w:r w:rsidRPr="002E26DB">
        <w:rPr>
          <w:rFonts w:cstheme="minorHAnsi"/>
          <w:i/>
          <w:iCs/>
        </w:rPr>
        <w:t>American Biblical Interpretation</w:t>
      </w:r>
      <w:r>
        <w:rPr>
          <w:rFonts w:cstheme="minorHAnsi"/>
        </w:rPr>
        <w:t>, ed. John Ahn, International Voices in Biblical Studies 10 (Atlanta: SBL, 2019), 73-97.</w:t>
      </w:r>
    </w:p>
  </w:footnote>
  <w:footnote w:id="373">
    <w:p w14:paraId="0ACED988" w14:textId="57A85C52" w:rsidR="007B7018" w:rsidRDefault="007B7018" w:rsidP="007931FB">
      <w:pPr>
        <w:pStyle w:val="FootnoteText"/>
      </w:pPr>
      <w:r>
        <w:rPr>
          <w:rStyle w:val="FootnoteReference"/>
        </w:rPr>
        <w:footnoteRef/>
      </w:r>
      <w:r>
        <w:t xml:space="preserve"> So Randall C. </w:t>
      </w:r>
      <w:r w:rsidRPr="001F52A8">
        <w:rPr>
          <w:rFonts w:cstheme="minorHAnsi"/>
        </w:rPr>
        <w:t xml:space="preserve">Bailey, </w:t>
      </w:r>
      <w:r w:rsidRPr="001F52A8">
        <w:rPr>
          <w:rFonts w:cstheme="minorHAnsi"/>
          <w:i/>
          <w:iCs/>
        </w:rPr>
        <w:t xml:space="preserve">David in Love and </w:t>
      </w:r>
      <w:r w:rsidRPr="001F52A8">
        <w:rPr>
          <w:rFonts w:cs="Calibri"/>
          <w:i/>
          <w:iCs/>
        </w:rPr>
        <w:t xml:space="preserve">War: </w:t>
      </w:r>
      <w:r w:rsidRPr="001F52A8">
        <w:rPr>
          <w:rFonts w:cs="Calibri"/>
          <w:i/>
          <w:iCs/>
          <w:color w:val="333333"/>
          <w:bdr w:val="none" w:sz="0" w:space="0" w:color="auto" w:frame="1"/>
        </w:rPr>
        <w:t>The Pursuit of Power in 2 Samuel 10 – 12</w:t>
      </w:r>
      <w:r>
        <w:rPr>
          <w:rFonts w:cs="Calibri"/>
          <w:color w:val="333333"/>
          <w:bdr w:val="none" w:sz="0" w:space="0" w:color="auto" w:frame="1"/>
        </w:rPr>
        <w:t xml:space="preserve">, </w:t>
      </w:r>
      <w:r w:rsidRPr="001F52A8">
        <w:rPr>
          <w:rFonts w:cs="Calibri"/>
          <w:color w:val="333333"/>
          <w:bdr w:val="none" w:sz="0" w:space="0" w:color="auto" w:frame="1"/>
        </w:rPr>
        <w:t xml:space="preserve">JSOTSup 75 </w:t>
      </w:r>
      <w:r>
        <w:rPr>
          <w:rFonts w:cs="Calibri"/>
          <w:color w:val="333333"/>
          <w:bdr w:val="none" w:sz="0" w:space="0" w:color="auto" w:frame="1"/>
        </w:rPr>
        <w:t>(</w:t>
      </w:r>
      <w:r w:rsidRPr="001F52A8">
        <w:rPr>
          <w:rFonts w:cs="Calibri"/>
          <w:color w:val="333333"/>
          <w:bdr w:val="none" w:sz="0" w:space="0" w:color="auto" w:frame="1"/>
        </w:rPr>
        <w:t>Sheffield: Sheffield Academic, 1990</w:t>
      </w:r>
      <w:r>
        <w:rPr>
          <w:rFonts w:cs="Calibri"/>
          <w:color w:val="333333"/>
          <w:bdr w:val="none" w:sz="0" w:space="0" w:color="auto" w:frame="1"/>
        </w:rPr>
        <w:t>).</w:t>
      </w:r>
    </w:p>
  </w:footnote>
  <w:footnote w:id="374">
    <w:p w14:paraId="7D2ED3A8" w14:textId="613E41B8" w:rsidR="007B7018" w:rsidRPr="00A67A81" w:rsidRDefault="007B7018">
      <w:pPr>
        <w:pStyle w:val="FootnoteText"/>
      </w:pPr>
      <w:r>
        <w:rPr>
          <w:rStyle w:val="FootnoteReference"/>
        </w:rPr>
        <w:footnoteRef/>
      </w:r>
      <w:r>
        <w:t xml:space="preserve"> See, </w:t>
      </w:r>
      <w:r w:rsidRPr="00A67A81">
        <w:t xml:space="preserve">e.g., </w:t>
      </w:r>
      <w:r>
        <w:t xml:space="preserve">Lilian R. Klein, “Bathsheba Revealed,” in Athalya </w:t>
      </w:r>
      <w:r w:rsidRPr="00AB7895">
        <w:rPr>
          <w:rFonts w:cs="Calibri"/>
        </w:rPr>
        <w:t>Brenner, ed.</w:t>
      </w:r>
      <w:r>
        <w:rPr>
          <w:rFonts w:cs="Calibri"/>
        </w:rPr>
        <w:t>,</w:t>
      </w:r>
      <w:r w:rsidRPr="00AB7895">
        <w:rPr>
          <w:rFonts w:cs="Calibri"/>
        </w:rPr>
        <w:t xml:space="preserve"> </w:t>
      </w:r>
      <w:r>
        <w:rPr>
          <w:rFonts w:cs="Calibri"/>
          <w:i/>
          <w:iCs/>
        </w:rPr>
        <w:t>Samuel and Kings</w:t>
      </w:r>
      <w:r>
        <w:rPr>
          <w:rFonts w:cs="Calibri"/>
        </w:rPr>
        <w:t xml:space="preserve">, A Feminist Companion to the Bible (Second Series) (Sheffield: Sheffield Academic, 2000), 47-64; </w:t>
      </w:r>
      <w:r w:rsidRPr="00A67A81">
        <w:rPr>
          <w:rFonts w:ascii="Calibri" w:hAnsi="Calibri" w:cs="Calibri"/>
        </w:rPr>
        <w:t>Winfred Omar Neely,</w:t>
      </w:r>
      <w:r w:rsidRPr="00A67A81">
        <w:rPr>
          <w:rFonts w:cs="Calibri"/>
        </w:rPr>
        <w:t xml:space="preserve"> “</w:t>
      </w:r>
      <w:r w:rsidRPr="00A67A81">
        <w:rPr>
          <w:rFonts w:ascii="Calibri" w:hAnsi="Calibri" w:cs="Calibri"/>
        </w:rPr>
        <w:t xml:space="preserve">The Wife </w:t>
      </w:r>
      <w:r w:rsidRPr="00A67A81">
        <w:rPr>
          <w:rFonts w:cs="Calibri"/>
        </w:rPr>
        <w:t>o</w:t>
      </w:r>
      <w:r w:rsidRPr="00A67A81">
        <w:rPr>
          <w:rFonts w:ascii="Calibri" w:hAnsi="Calibri" w:cs="Calibri"/>
        </w:rPr>
        <w:t xml:space="preserve">f Uriah </w:t>
      </w:r>
      <w:r w:rsidRPr="00A67A81">
        <w:rPr>
          <w:rFonts w:cs="Calibri"/>
        </w:rPr>
        <w:t>t</w:t>
      </w:r>
      <w:r w:rsidRPr="00A67A81">
        <w:rPr>
          <w:rFonts w:ascii="Calibri" w:hAnsi="Calibri" w:cs="Calibri"/>
        </w:rPr>
        <w:t xml:space="preserve">he Hittite: Political Seductress, Willing Participant, Naive Woman, </w:t>
      </w:r>
      <w:r w:rsidRPr="00A67A81">
        <w:rPr>
          <w:rFonts w:cs="Calibri"/>
        </w:rPr>
        <w:t>o</w:t>
      </w:r>
      <w:r w:rsidRPr="00A67A81">
        <w:rPr>
          <w:rFonts w:ascii="Calibri" w:hAnsi="Calibri" w:cs="Calibri"/>
        </w:rPr>
        <w:t>r #Bathsheba</w:t>
      </w:r>
      <w:r w:rsidRPr="00A67A81">
        <w:rPr>
          <w:rFonts w:cs="Calibri"/>
        </w:rPr>
        <w:t>T</w:t>
      </w:r>
      <w:r w:rsidRPr="00A67A81">
        <w:rPr>
          <w:rFonts w:ascii="Calibri" w:hAnsi="Calibri" w:cs="Calibri"/>
        </w:rPr>
        <w:t>oo?</w:t>
      </w:r>
      <w:r w:rsidRPr="00A67A81">
        <w:rPr>
          <w:rFonts w:cs="Calibri"/>
        </w:rPr>
        <w:t xml:space="preserve"> </w:t>
      </w:r>
      <w:r w:rsidRPr="00A67A81">
        <w:rPr>
          <w:rFonts w:ascii="Calibri" w:hAnsi="Calibri" w:cs="Calibri"/>
        </w:rPr>
        <w:t xml:space="preserve">The Preacher </w:t>
      </w:r>
      <w:r w:rsidRPr="00A67A81">
        <w:rPr>
          <w:rFonts w:cs="Calibri"/>
        </w:rPr>
        <w:t>a</w:t>
      </w:r>
      <w:r w:rsidRPr="00A67A81">
        <w:rPr>
          <w:rFonts w:ascii="Calibri" w:hAnsi="Calibri" w:cs="Calibri"/>
        </w:rPr>
        <w:t>s Sensitive Theologian,</w:t>
      </w:r>
      <w:r w:rsidRPr="00A67A81">
        <w:rPr>
          <w:rFonts w:cs="Calibri"/>
        </w:rPr>
        <w:t xml:space="preserve">” </w:t>
      </w:r>
      <w:r w:rsidRPr="00A67A81">
        <w:rPr>
          <w:rFonts w:ascii="Calibri" w:hAnsi="Calibri" w:cs="Calibri"/>
          <w:i/>
          <w:iCs/>
          <w:color w:val="000000"/>
        </w:rPr>
        <w:t xml:space="preserve">The Journal </w:t>
      </w:r>
      <w:r w:rsidRPr="00A67A81">
        <w:rPr>
          <w:rFonts w:cs="Calibri"/>
          <w:i/>
          <w:iCs/>
          <w:color w:val="000000"/>
        </w:rPr>
        <w:t>o</w:t>
      </w:r>
      <w:r w:rsidRPr="00A67A81">
        <w:rPr>
          <w:rFonts w:ascii="Calibri" w:hAnsi="Calibri" w:cs="Calibri"/>
          <w:i/>
          <w:iCs/>
          <w:color w:val="000000"/>
        </w:rPr>
        <w:t xml:space="preserve">f </w:t>
      </w:r>
      <w:r w:rsidRPr="00A67A81">
        <w:rPr>
          <w:rFonts w:cs="Calibri"/>
          <w:i/>
          <w:iCs/>
          <w:color w:val="000000"/>
        </w:rPr>
        <w:t>t</w:t>
      </w:r>
      <w:r w:rsidRPr="00A67A81">
        <w:rPr>
          <w:rFonts w:ascii="Calibri" w:hAnsi="Calibri" w:cs="Calibri"/>
          <w:i/>
          <w:iCs/>
          <w:color w:val="000000"/>
        </w:rPr>
        <w:t xml:space="preserve">he Evangelical Homiletics Society </w:t>
      </w:r>
      <w:r w:rsidRPr="00A67A81">
        <w:rPr>
          <w:rFonts w:cs="Calibri"/>
          <w:color w:val="000000"/>
        </w:rPr>
        <w:t>20 (2020): 51-63.</w:t>
      </w:r>
    </w:p>
  </w:footnote>
  <w:footnote w:id="375">
    <w:p w14:paraId="66BED6B7" w14:textId="4418C8E8" w:rsidR="007B7018" w:rsidRPr="001B5F84" w:rsidRDefault="007B7018" w:rsidP="000C65F6">
      <w:pPr>
        <w:pStyle w:val="FootnoteText"/>
      </w:pPr>
      <w:r>
        <w:rPr>
          <w:rStyle w:val="FootnoteReference"/>
        </w:rPr>
        <w:footnoteRef/>
      </w:r>
      <w:r>
        <w:t xml:space="preserve"> See Uriah Kim, “</w:t>
      </w:r>
      <w:r w:rsidRPr="000C65F6">
        <w:rPr>
          <w:rFonts w:ascii="Calibri" w:hAnsi="Calibri" w:cs="Calibri"/>
        </w:rPr>
        <w:t xml:space="preserve">Uriah </w:t>
      </w:r>
      <w:r>
        <w:rPr>
          <w:rFonts w:ascii="Calibri" w:hAnsi="Calibri" w:cs="Calibri"/>
        </w:rPr>
        <w:t>t</w:t>
      </w:r>
      <w:r w:rsidRPr="000C65F6">
        <w:rPr>
          <w:rFonts w:ascii="Calibri" w:hAnsi="Calibri" w:cs="Calibri"/>
        </w:rPr>
        <w:t xml:space="preserve">he Hittite: A (Con)Text </w:t>
      </w:r>
      <w:r>
        <w:rPr>
          <w:rFonts w:ascii="Calibri" w:hAnsi="Calibri" w:cs="Calibri"/>
        </w:rPr>
        <w:t>o</w:t>
      </w:r>
      <w:r w:rsidRPr="000C65F6">
        <w:rPr>
          <w:rFonts w:ascii="Calibri" w:hAnsi="Calibri" w:cs="Calibri"/>
        </w:rPr>
        <w:t xml:space="preserve">f Struggle </w:t>
      </w:r>
      <w:r>
        <w:rPr>
          <w:rFonts w:ascii="Calibri" w:hAnsi="Calibri" w:cs="Calibri"/>
        </w:rPr>
        <w:t>f</w:t>
      </w:r>
      <w:r w:rsidRPr="000C65F6">
        <w:rPr>
          <w:rFonts w:ascii="Calibri" w:hAnsi="Calibri" w:cs="Calibri"/>
        </w:rPr>
        <w:t>or Identity</w:t>
      </w:r>
      <w:r>
        <w:rPr>
          <w:rFonts w:ascii="Calibri" w:hAnsi="Calibri" w:cs="Calibri"/>
        </w:rPr>
        <w:t xml:space="preserve">,” </w:t>
      </w:r>
      <w:r>
        <w:rPr>
          <w:rFonts w:ascii="Calibri" w:hAnsi="Calibri" w:cs="Calibri"/>
          <w:i/>
          <w:iCs/>
        </w:rPr>
        <w:t xml:space="preserve">Semeia </w:t>
      </w:r>
      <w:r>
        <w:rPr>
          <w:rFonts w:ascii="Calibri" w:hAnsi="Calibri" w:cs="Calibri"/>
        </w:rPr>
        <w:t>90/91 (2002): 69-85.</w:t>
      </w:r>
    </w:p>
  </w:footnote>
  <w:footnote w:id="376">
    <w:p w14:paraId="53D81AF3" w14:textId="4BE455BC" w:rsidR="007B7018" w:rsidRPr="000E6817" w:rsidRDefault="007B7018">
      <w:pPr>
        <w:pStyle w:val="FootnoteText"/>
      </w:pPr>
      <w:r>
        <w:rPr>
          <w:rStyle w:val="FootnoteReference"/>
        </w:rPr>
        <w:footnoteRef/>
      </w:r>
      <w:r>
        <w:t xml:space="preserve"> Walter Brueggemann, </w:t>
      </w:r>
      <w:r>
        <w:rPr>
          <w:i/>
          <w:iCs/>
        </w:rPr>
        <w:t>First and Second Samuel</w:t>
      </w:r>
      <w:r>
        <w:t xml:space="preserve">, </w:t>
      </w:r>
      <w:r w:rsidRPr="00BA34A3">
        <w:rPr>
          <w:rFonts w:cs="Calibri"/>
        </w:rPr>
        <w:t>Interpretation</w:t>
      </w:r>
      <w:r>
        <w:rPr>
          <w:rFonts w:cs="Calibri"/>
        </w:rPr>
        <w:t>: A Bible Commentary for Teaching and Preaching</w:t>
      </w:r>
      <w:r w:rsidRPr="00BA34A3">
        <w:rPr>
          <w:rFonts w:cs="Calibri"/>
        </w:rPr>
        <w:t xml:space="preserve"> </w:t>
      </w:r>
      <w:r>
        <w:rPr>
          <w:rFonts w:cs="Calibri"/>
        </w:rPr>
        <w:t>(</w:t>
      </w:r>
      <w:r w:rsidRPr="00BA34A3">
        <w:rPr>
          <w:rFonts w:cs="Calibri"/>
        </w:rPr>
        <w:t>Louisville: John Knox, 1990</w:t>
      </w:r>
      <w:r>
        <w:rPr>
          <w:rFonts w:cs="Calibri"/>
        </w:rPr>
        <w:t>),</w:t>
      </w:r>
      <w:r>
        <w:t xml:space="preserve"> 273.</w:t>
      </w:r>
    </w:p>
  </w:footnote>
  <w:footnote w:id="377">
    <w:p w14:paraId="7E4E9646" w14:textId="3B09246D" w:rsidR="007B7018" w:rsidRDefault="007B7018">
      <w:pPr>
        <w:pStyle w:val="FootnoteText"/>
      </w:pPr>
      <w:r>
        <w:rPr>
          <w:rStyle w:val="FootnoteReference"/>
        </w:rPr>
        <w:footnoteRef/>
      </w:r>
      <w:r>
        <w:t xml:space="preserve"> Richard G. </w:t>
      </w:r>
      <w:r w:rsidRPr="005E3935">
        <w:rPr>
          <w:rFonts w:cs="Calibri"/>
        </w:rPr>
        <w:t xml:space="preserve">Smith, </w:t>
      </w:r>
      <w:r w:rsidRPr="005E3935">
        <w:rPr>
          <w:rFonts w:cs="Calibri"/>
          <w:i/>
        </w:rPr>
        <w:t xml:space="preserve">The Fate of Justice and Righteousness During David’s Reign: </w:t>
      </w:r>
      <w:r w:rsidRPr="005E3935">
        <w:rPr>
          <w:rFonts w:cs="Calibri"/>
          <w:i/>
          <w:color w:val="000000"/>
        </w:rPr>
        <w:t>Narrative Ethics and Rereading the Court History according to 2 Samuel 8:15</w:t>
      </w:r>
      <w:r>
        <w:rPr>
          <w:rFonts w:cs="Calibri"/>
          <w:i/>
          <w:color w:val="000000"/>
        </w:rPr>
        <w:t xml:space="preserve"> – </w:t>
      </w:r>
      <w:r w:rsidRPr="005E3935">
        <w:rPr>
          <w:rFonts w:cs="Calibri"/>
          <w:i/>
          <w:color w:val="000000"/>
        </w:rPr>
        <w:t>20:26</w:t>
      </w:r>
      <w:r>
        <w:rPr>
          <w:rFonts w:cs="Calibri"/>
          <w:i/>
          <w:color w:val="000000"/>
        </w:rPr>
        <w:t xml:space="preserve">, </w:t>
      </w:r>
      <w:r w:rsidRPr="005E3935">
        <w:rPr>
          <w:rFonts w:cs="Calibri"/>
        </w:rPr>
        <w:t xml:space="preserve">LHBOTS 508 </w:t>
      </w:r>
      <w:r>
        <w:rPr>
          <w:rFonts w:cs="Calibri"/>
        </w:rPr>
        <w:t>(</w:t>
      </w:r>
      <w:r w:rsidRPr="005E3935">
        <w:rPr>
          <w:rFonts w:cs="Calibri"/>
        </w:rPr>
        <w:t>London: T &amp; T Clark, 2009</w:t>
      </w:r>
      <w:r>
        <w:rPr>
          <w:rFonts w:cs="Calibri"/>
        </w:rPr>
        <w:t>),</w:t>
      </w:r>
      <w:r>
        <w:t xml:space="preserve"> 141.</w:t>
      </w:r>
    </w:p>
  </w:footnote>
  <w:footnote w:id="378">
    <w:p w14:paraId="6E0959A6" w14:textId="45EC13F0" w:rsidR="007B7018" w:rsidRPr="00D460CC" w:rsidRDefault="007B7018" w:rsidP="00145CD7">
      <w:pPr>
        <w:pStyle w:val="FootnoteText"/>
      </w:pPr>
      <w:r>
        <w:rPr>
          <w:rStyle w:val="FootnoteReference"/>
        </w:rPr>
        <w:footnoteRef/>
      </w:r>
      <w:r>
        <w:t xml:space="preserve"> Sara M. Koenig, “</w:t>
      </w:r>
      <w:r w:rsidRPr="00FF5DA1">
        <w:rPr>
          <w:rFonts w:ascii="Calibri" w:eastAsia="Brill-Bold" w:hAnsi="Calibri" w:cs="Calibri"/>
        </w:rPr>
        <w:t>Make War Not Love</w:t>
      </w:r>
      <w:r>
        <w:t xml:space="preserve">: </w:t>
      </w:r>
      <w:r w:rsidRPr="00FF5DA1">
        <w:rPr>
          <w:rFonts w:ascii="Calibri" w:eastAsia="Brill-Bold" w:hAnsi="Calibri" w:cs="Calibri"/>
        </w:rPr>
        <w:t>The Limits of David’s Hegemonic Masculinity in 2 Samuel 10</w:t>
      </w:r>
      <w:r>
        <w:rPr>
          <w:rFonts w:ascii="Calibri" w:eastAsia="Brill-Bold" w:hAnsi="Calibri" w:cs="Calibri"/>
        </w:rPr>
        <w:t xml:space="preserve"> </w:t>
      </w:r>
      <w:r w:rsidRPr="00FF5DA1">
        <w:rPr>
          <w:rFonts w:ascii="Calibri" w:eastAsia="Brill-Bold" w:hAnsi="Calibri" w:cs="Calibri"/>
        </w:rPr>
        <w:t>–</w:t>
      </w:r>
      <w:r>
        <w:rPr>
          <w:rFonts w:ascii="Calibri" w:eastAsia="Brill-Bold" w:hAnsi="Calibri" w:cs="Calibri"/>
        </w:rPr>
        <w:t xml:space="preserve"> </w:t>
      </w:r>
      <w:r w:rsidRPr="00FF5DA1">
        <w:rPr>
          <w:rFonts w:ascii="Calibri" w:eastAsia="Brill-Bold" w:hAnsi="Calibri" w:cs="Calibri"/>
        </w:rPr>
        <w:t>12</w:t>
      </w:r>
      <w:r>
        <w:rPr>
          <w:rFonts w:ascii="Calibri" w:eastAsia="Brill-Bold" w:hAnsi="Calibri" w:cs="Calibri"/>
        </w:rPr>
        <w:t xml:space="preserve">, </w:t>
      </w:r>
      <w:r>
        <w:rPr>
          <w:rFonts w:ascii="Calibri" w:eastAsia="Brill-Bold" w:hAnsi="Calibri" w:cs="Calibri"/>
          <w:i/>
          <w:iCs/>
        </w:rPr>
        <w:t xml:space="preserve">BibInt </w:t>
      </w:r>
      <w:r>
        <w:rPr>
          <w:rFonts w:ascii="Calibri" w:eastAsia="Brill-Bold" w:hAnsi="Calibri" w:cs="Calibri"/>
        </w:rPr>
        <w:t>23 (2015): 489-517 (517).</w:t>
      </w:r>
    </w:p>
  </w:footnote>
  <w:footnote w:id="379">
    <w:p w14:paraId="2A58C188" w14:textId="3EFF9E35" w:rsidR="007B7018" w:rsidRPr="009C5B19" w:rsidRDefault="007B7018" w:rsidP="00FA5C68">
      <w:pPr>
        <w:pStyle w:val="FootnoteText"/>
      </w:pPr>
      <w:r>
        <w:rPr>
          <w:rStyle w:val="FootnoteReference"/>
        </w:rPr>
        <w:footnoteRef/>
      </w:r>
      <w:r>
        <w:t xml:space="preserve"> David G. Firth</w:t>
      </w:r>
      <w:r>
        <w:rPr>
          <w:rFonts w:cstheme="minorHAnsi"/>
        </w:rPr>
        <w:t xml:space="preserve">, </w:t>
      </w:r>
      <w:r>
        <w:rPr>
          <w:rFonts w:cstheme="minorHAnsi"/>
          <w:i/>
          <w:iCs/>
        </w:rPr>
        <w:t>1 &amp; 2 Samuel</w:t>
      </w:r>
      <w:r>
        <w:rPr>
          <w:rFonts w:cstheme="minorHAnsi"/>
        </w:rPr>
        <w:t>, Apollos Old Testament Commentary 8 (Nottingham: Apollos, 2009), 418.</w:t>
      </w:r>
    </w:p>
  </w:footnote>
  <w:footnote w:id="380">
    <w:p w14:paraId="14C14D24" w14:textId="14EB5816" w:rsidR="007B7018" w:rsidRDefault="007B7018">
      <w:pPr>
        <w:pStyle w:val="FootnoteText"/>
      </w:pPr>
      <w:r>
        <w:rPr>
          <w:rStyle w:val="FootnoteReference"/>
        </w:rPr>
        <w:footnoteRef/>
      </w:r>
      <w:r>
        <w:t xml:space="preserve"> Though it may more likely refer to purification after having sex: see Tikva Frymer-Kensky, </w:t>
      </w:r>
      <w:r>
        <w:rPr>
          <w:i/>
          <w:iCs/>
        </w:rPr>
        <w:t>Reading the Women of the Bible</w:t>
      </w:r>
      <w:r>
        <w:t xml:space="preserve"> (New York: Schocken, 2002), on the passage</w:t>
      </w:r>
      <w:r w:rsidRPr="006D5C62">
        <w:rPr>
          <w:rFonts w:eastAsia="Times New Roman" w:cs="Calibri"/>
        </w:rPr>
        <w:t>.</w:t>
      </w:r>
    </w:p>
  </w:footnote>
  <w:footnote w:id="381">
    <w:p w14:paraId="238B3AE3" w14:textId="5141F2E5" w:rsidR="007B7018" w:rsidRPr="000E6817" w:rsidRDefault="007B7018" w:rsidP="00E57859">
      <w:pPr>
        <w:pStyle w:val="FootnoteText"/>
      </w:pPr>
      <w:r>
        <w:rPr>
          <w:rStyle w:val="FootnoteReference"/>
        </w:rPr>
        <w:footnoteRef/>
      </w:r>
      <w:r>
        <w:t xml:space="preserve"> Cf. Brueggemann, </w:t>
      </w:r>
      <w:r>
        <w:rPr>
          <w:i/>
          <w:iCs/>
        </w:rPr>
        <w:t>First and Second Samuel</w:t>
      </w:r>
      <w:r>
        <w:t>, 277-78.</w:t>
      </w:r>
    </w:p>
  </w:footnote>
  <w:footnote w:id="382">
    <w:p w14:paraId="374AC82B" w14:textId="7A0EE591" w:rsidR="007B7018" w:rsidRDefault="007B7018">
      <w:pPr>
        <w:pStyle w:val="FootnoteText"/>
      </w:pPr>
      <w:r>
        <w:rPr>
          <w:rStyle w:val="FootnoteReference"/>
        </w:rPr>
        <w:footnoteRef/>
      </w:r>
      <w:r>
        <w:t xml:space="preserve"> </w:t>
      </w:r>
      <w:r w:rsidRPr="00AC64D8">
        <w:t xml:space="preserve">Barbara Green, </w:t>
      </w:r>
      <w:r w:rsidRPr="00AC64D8">
        <w:rPr>
          <w:rFonts w:cstheme="minorHAnsi"/>
          <w:i/>
          <w:iCs/>
        </w:rPr>
        <w:t>David’s Capacity for Compassion: A Literary-Hermeneutical Study of 1–2 Samuel</w:t>
      </w:r>
      <w:r>
        <w:rPr>
          <w:rFonts w:cstheme="minorHAnsi"/>
        </w:rPr>
        <w:t xml:space="preserve">, </w:t>
      </w:r>
      <w:r w:rsidRPr="00AC64D8">
        <w:rPr>
          <w:rFonts w:cstheme="minorHAnsi"/>
        </w:rPr>
        <w:t xml:space="preserve">LHBOTS 641 </w:t>
      </w:r>
      <w:r>
        <w:rPr>
          <w:rFonts w:cstheme="minorHAnsi"/>
        </w:rPr>
        <w:t>(</w:t>
      </w:r>
      <w:r w:rsidRPr="00AC64D8">
        <w:rPr>
          <w:rFonts w:cstheme="minorHAnsi"/>
        </w:rPr>
        <w:t>London: T &amp; T Clark</w:t>
      </w:r>
      <w:r>
        <w:rPr>
          <w:rFonts w:cstheme="minorHAnsi"/>
        </w:rPr>
        <w:t>, 2017) 201, 203.</w:t>
      </w:r>
    </w:p>
  </w:footnote>
  <w:footnote w:id="383">
    <w:p w14:paraId="4CEE7C55" w14:textId="5962DF34" w:rsidR="007B7018" w:rsidRPr="00337A0B" w:rsidRDefault="007B7018" w:rsidP="00337A0B">
      <w:pPr>
        <w:pStyle w:val="FootnoteText"/>
        <w:rPr>
          <w:rFonts w:cs="Calibri"/>
        </w:rPr>
      </w:pPr>
      <w:r>
        <w:rPr>
          <w:rStyle w:val="FootnoteReference"/>
        </w:rPr>
        <w:footnoteRef/>
      </w:r>
      <w:r>
        <w:t xml:space="preserve"> Moshe Halbertal and Stephen Holmes, </w:t>
      </w:r>
      <w:r>
        <w:rPr>
          <w:i/>
          <w:iCs/>
        </w:rPr>
        <w:t xml:space="preserve">The Beginning of Politics: </w:t>
      </w:r>
      <w:r w:rsidRPr="007A0557">
        <w:rPr>
          <w:rFonts w:cs="Calibri"/>
          <w:i/>
          <w:iCs/>
        </w:rPr>
        <w:t>Power in the Biblical Book of Samuel</w:t>
      </w:r>
      <w:r>
        <w:rPr>
          <w:rFonts w:cs="Calibri"/>
        </w:rPr>
        <w:t xml:space="preserve"> (Princeton: Princeton University Press, 2017), 82.</w:t>
      </w:r>
    </w:p>
  </w:footnote>
  <w:footnote w:id="384">
    <w:p w14:paraId="71D8ECD6" w14:textId="77777777" w:rsidR="007B7018" w:rsidRPr="008548D5" w:rsidRDefault="007B7018" w:rsidP="00C96373">
      <w:pPr>
        <w:pStyle w:val="FootnoteText"/>
        <w:rPr>
          <w:rFonts w:cs="Calibri"/>
        </w:rPr>
      </w:pPr>
      <w:r>
        <w:rPr>
          <w:rStyle w:val="FootnoteReference"/>
        </w:rPr>
        <w:footnoteRef/>
      </w:r>
      <w:r>
        <w:t xml:space="preserve"> Salvian the Presbyter, “The Governance of God,” 122 (cf. Franke, </w:t>
      </w:r>
      <w:r>
        <w:rPr>
          <w:rFonts w:cs="Calibri"/>
          <w:i/>
          <w:iCs/>
        </w:rPr>
        <w:t>Joshua, Judges, Ruth, 1 – 2 Samuel</w:t>
      </w:r>
      <w:r>
        <w:rPr>
          <w:rFonts w:cs="Calibri"/>
        </w:rPr>
        <w:t>, 366). NRSV and other modern translations think the original reading was “</w:t>
      </w:r>
      <w:r w:rsidRPr="001F52A8">
        <w:t xml:space="preserve">definitely </w:t>
      </w:r>
      <w:r>
        <w:t xml:space="preserve">felt contempt for Yahweh”; Rashi (in </w:t>
      </w:r>
      <w:r w:rsidRPr="003C0FB3">
        <w:rPr>
          <w:rFonts w:cstheme="minorHAnsi"/>
          <w:i/>
        </w:rPr>
        <w:t>miqrā’ôt gәdôlôt</w:t>
      </w:r>
      <w:r>
        <w:rPr>
          <w:rFonts w:cstheme="minorHAnsi"/>
          <w:iCs/>
        </w:rPr>
        <w:t>) describes MT’s expression as a euphemism.</w:t>
      </w:r>
    </w:p>
  </w:footnote>
  <w:footnote w:id="385">
    <w:p w14:paraId="4E3D20C2" w14:textId="77777777" w:rsidR="007B7018" w:rsidRDefault="007B7018" w:rsidP="00643836">
      <w:pPr>
        <w:pStyle w:val="FootnoteText"/>
      </w:pPr>
      <w:r>
        <w:rPr>
          <w:rStyle w:val="FootnoteReference"/>
        </w:rPr>
        <w:footnoteRef/>
      </w:r>
      <w:r>
        <w:t xml:space="preserve"> </w:t>
      </w:r>
      <w:r w:rsidRPr="00BA34A3">
        <w:rPr>
          <w:rFonts w:cs="Calibri"/>
        </w:rPr>
        <w:t>Eugene H.</w:t>
      </w:r>
      <w:r w:rsidRPr="005E3ED7">
        <w:rPr>
          <w:rFonts w:cs="Calibri"/>
        </w:rPr>
        <w:t xml:space="preserve"> </w:t>
      </w:r>
      <w:r w:rsidRPr="00BA34A3">
        <w:rPr>
          <w:rFonts w:cs="Calibri"/>
        </w:rPr>
        <w:t xml:space="preserve">Peterson, </w:t>
      </w:r>
      <w:r w:rsidRPr="00BA34A3">
        <w:rPr>
          <w:rFonts w:cs="Calibri"/>
          <w:i/>
        </w:rPr>
        <w:t>First and Second Samuel</w:t>
      </w:r>
      <w:r>
        <w:rPr>
          <w:rFonts w:cs="Calibri"/>
          <w:i/>
        </w:rPr>
        <w:t xml:space="preserve"> </w:t>
      </w:r>
      <w:r>
        <w:rPr>
          <w:rFonts w:cs="Calibri"/>
        </w:rPr>
        <w:t>(</w:t>
      </w:r>
      <w:r w:rsidRPr="00BA34A3">
        <w:rPr>
          <w:rFonts w:cs="Calibri"/>
        </w:rPr>
        <w:t>Louisville, KY: Westminster John Knox, 1999</w:t>
      </w:r>
      <w:r>
        <w:rPr>
          <w:rFonts w:cs="Calibri"/>
        </w:rPr>
        <w:t>), 182-83.</w:t>
      </w:r>
    </w:p>
  </w:footnote>
  <w:footnote w:id="386">
    <w:p w14:paraId="48A849D8" w14:textId="77777777" w:rsidR="007B7018" w:rsidRDefault="007B7018" w:rsidP="00175D46">
      <w:pPr>
        <w:pStyle w:val="FootnoteText"/>
      </w:pPr>
      <w:r>
        <w:rPr>
          <w:rStyle w:val="FootnoteReference"/>
        </w:rPr>
        <w:footnoteRef/>
      </w:r>
      <w:r>
        <w:t xml:space="preserve"> </w:t>
      </w:r>
      <w:r>
        <w:rPr>
          <w:rFonts w:cs="Calibri"/>
        </w:rPr>
        <w:t>Auld,</w:t>
      </w:r>
      <w:r>
        <w:t xml:space="preserve"> </w:t>
      </w:r>
      <w:r>
        <w:rPr>
          <w:i/>
          <w:iCs/>
        </w:rPr>
        <w:t>I &amp; II Samuel</w:t>
      </w:r>
      <w:r>
        <w:rPr>
          <w:rFonts w:cs="Calibri"/>
        </w:rPr>
        <w:t>, 464.</w:t>
      </w:r>
    </w:p>
  </w:footnote>
  <w:footnote w:id="387">
    <w:p w14:paraId="657A5562" w14:textId="70A0E79D" w:rsidR="007B7018" w:rsidRPr="0066352C" w:rsidRDefault="007B7018">
      <w:pPr>
        <w:pStyle w:val="FootnoteText"/>
      </w:pPr>
      <w:r>
        <w:rPr>
          <w:rStyle w:val="FootnoteReference"/>
        </w:rPr>
        <w:footnoteRef/>
      </w:r>
      <w:r>
        <w:t xml:space="preserve"> P. Kyle McCarter,</w:t>
      </w:r>
      <w:r w:rsidRPr="00222246">
        <w:t xml:space="preserve"> </w:t>
      </w:r>
      <w:r>
        <w:rPr>
          <w:i/>
          <w:iCs/>
        </w:rPr>
        <w:t>II</w:t>
      </w:r>
      <w:r w:rsidRPr="00222246">
        <w:rPr>
          <w:i/>
          <w:iCs/>
        </w:rPr>
        <w:t xml:space="preserve"> Samuel</w:t>
      </w:r>
      <w:r>
        <w:rPr>
          <w:i/>
          <w:iCs/>
        </w:rPr>
        <w:t>: A New Translation with Introduction, Notes and Commentary</w:t>
      </w:r>
      <w:r>
        <w:t>, AB</w:t>
      </w:r>
      <w:r w:rsidRPr="00222246">
        <w:t xml:space="preserve"> </w:t>
      </w:r>
      <w:r>
        <w:t>9</w:t>
      </w:r>
      <w:r w:rsidRPr="00222246">
        <w:t xml:space="preserve"> </w:t>
      </w:r>
      <w:r>
        <w:t>(Garden City, NY</w:t>
      </w:r>
      <w:r w:rsidRPr="00222246">
        <w:t>: Doubleday, 198</w:t>
      </w:r>
      <w:r>
        <w:t>4), 305.</w:t>
      </w:r>
    </w:p>
  </w:footnote>
  <w:footnote w:id="388">
    <w:p w14:paraId="37DBEDE1" w14:textId="223865E3" w:rsidR="007B7018" w:rsidRDefault="007B7018" w:rsidP="00350F82">
      <w:pPr>
        <w:pStyle w:val="FootnoteText"/>
      </w:pPr>
      <w:r>
        <w:rPr>
          <w:rStyle w:val="FootnoteReference"/>
        </w:rPr>
        <w:footnoteRef/>
      </w:r>
      <w:r>
        <w:t xml:space="preserve"> Cf. </w:t>
      </w:r>
      <w:r w:rsidRPr="00BA34A3">
        <w:rPr>
          <w:rFonts w:eastAsia="Times New Roman" w:cs="Calibri"/>
          <w:color w:val="3A3A3A"/>
        </w:rPr>
        <w:t>Johanna W. H. van</w:t>
      </w:r>
      <w:r>
        <w:rPr>
          <w:rFonts w:eastAsia="Times New Roman" w:cs="Calibri"/>
          <w:color w:val="3A3A3A"/>
        </w:rPr>
        <w:t xml:space="preserve"> </w:t>
      </w:r>
      <w:r w:rsidRPr="00BA34A3">
        <w:rPr>
          <w:rFonts w:eastAsia="Times New Roman" w:cs="Calibri"/>
          <w:color w:val="3A3A3A"/>
        </w:rPr>
        <w:t>Wijk-</w:t>
      </w:r>
      <w:r>
        <w:rPr>
          <w:rFonts w:eastAsia="Times New Roman" w:cs="Calibri"/>
          <w:color w:val="3A3A3A"/>
        </w:rPr>
        <w:t xml:space="preserve">bos, </w:t>
      </w:r>
      <w:r w:rsidRPr="00972463">
        <w:rPr>
          <w:rFonts w:eastAsia="Times New Roman" w:cs="Calibri"/>
          <w:i/>
          <w:iCs/>
          <w:color w:val="3A3A3A"/>
        </w:rPr>
        <w:t>Reading Samuel</w:t>
      </w:r>
      <w:r w:rsidRPr="00EB7A48">
        <w:rPr>
          <w:rFonts w:ascii="Calibri" w:eastAsia="Times New Roman" w:hAnsi="Calibri" w:cs="Calibri"/>
          <w:i/>
          <w:iCs/>
          <w:color w:val="3A3A3A"/>
        </w:rPr>
        <w:t xml:space="preserve">: </w:t>
      </w:r>
      <w:r w:rsidRPr="00EB7A48">
        <w:rPr>
          <w:rFonts w:ascii="Calibri" w:hAnsi="Calibri" w:cs="Calibri"/>
          <w:i/>
          <w:iCs/>
        </w:rPr>
        <w:t>A Literary and Theological Commentary</w:t>
      </w:r>
      <w:r w:rsidRPr="00972463">
        <w:rPr>
          <w:rFonts w:eastAsia="Times New Roman" w:cs="Calibri"/>
          <w:color w:val="3A3A3A"/>
        </w:rPr>
        <w:t xml:space="preserve"> </w:t>
      </w:r>
      <w:r>
        <w:rPr>
          <w:rFonts w:eastAsia="Times New Roman" w:cs="Calibri"/>
          <w:color w:val="3A3A3A"/>
        </w:rPr>
        <w:t>(Macon, GA: Smith and Helwys</w:t>
      </w:r>
      <w:r w:rsidRPr="00972463">
        <w:rPr>
          <w:rFonts w:eastAsia="Times New Roman" w:cs="Calibri"/>
          <w:color w:val="3A3A3A"/>
        </w:rPr>
        <w:t>, 2011</w:t>
      </w:r>
      <w:r>
        <w:rPr>
          <w:rFonts w:eastAsia="Times New Roman" w:cs="Calibri"/>
          <w:color w:val="3A3A3A"/>
        </w:rPr>
        <w:t>), 195.</w:t>
      </w:r>
    </w:p>
  </w:footnote>
  <w:footnote w:id="389">
    <w:p w14:paraId="744D6448" w14:textId="0447CE6E" w:rsidR="007B7018" w:rsidRPr="0056043D" w:rsidRDefault="007B7018" w:rsidP="0056043D">
      <w:pPr>
        <w:pStyle w:val="FootnoteText"/>
        <w:rPr>
          <w:rFonts w:cstheme="minorHAnsi"/>
        </w:rPr>
      </w:pPr>
      <w:r>
        <w:rPr>
          <w:rStyle w:val="FootnoteReference"/>
        </w:rPr>
        <w:footnoteRef/>
      </w:r>
      <w:r>
        <w:t xml:space="preserve"> </w:t>
      </w:r>
      <w:r w:rsidRPr="000B4F7D">
        <w:rPr>
          <w:rFonts w:cstheme="minorHAnsi"/>
          <w:color w:val="333333"/>
          <w:shd w:val="clear" w:color="auto" w:fill="FFFFFF"/>
        </w:rPr>
        <w:t>Arcangela Tarabotti,</w:t>
      </w:r>
      <w:r>
        <w:rPr>
          <w:rFonts w:ascii="Arial" w:hAnsi="Arial" w:cs="Arial"/>
          <w:color w:val="333333"/>
          <w:sz w:val="13"/>
          <w:szCs w:val="13"/>
          <w:shd w:val="clear" w:color="auto" w:fill="FFFFFF"/>
        </w:rPr>
        <w:t xml:space="preserve"> </w:t>
      </w:r>
      <w:r>
        <w:rPr>
          <w:i/>
          <w:iCs/>
        </w:rPr>
        <w:t xml:space="preserve">Paternal Tyranny </w:t>
      </w:r>
      <w:r>
        <w:t xml:space="preserve">(Chicago: University of Chicago Press, 2004) 112; cf. Derek </w:t>
      </w:r>
      <w:r w:rsidRPr="00BF32DE">
        <w:rPr>
          <w:rFonts w:cs="Calibri"/>
        </w:rPr>
        <w:t>Cooper and Martin J. Loh</w:t>
      </w:r>
      <w:r>
        <w:rPr>
          <w:rFonts w:cs="Calibri"/>
        </w:rPr>
        <w:t>r</w:t>
      </w:r>
      <w:r w:rsidRPr="00BF32DE">
        <w:rPr>
          <w:rFonts w:cs="Calibri"/>
        </w:rPr>
        <w:t xml:space="preserve">mann, </w:t>
      </w:r>
      <w:r w:rsidRPr="00BF32DE">
        <w:rPr>
          <w:rFonts w:ascii="Calibri" w:hAnsi="Calibri" w:cs="Calibri"/>
        </w:rPr>
        <w:t>ed.</w:t>
      </w:r>
      <w:r>
        <w:rPr>
          <w:rFonts w:ascii="Calibri" w:hAnsi="Calibri" w:cs="Calibri"/>
        </w:rPr>
        <w:t>,</w:t>
      </w:r>
      <w:r w:rsidRPr="00BF32DE">
        <w:rPr>
          <w:rFonts w:ascii="Calibri" w:hAnsi="Calibri" w:cs="Calibri"/>
        </w:rPr>
        <w:t xml:space="preserve"> </w:t>
      </w:r>
      <w:r w:rsidRPr="00BF32DE">
        <w:rPr>
          <w:rFonts w:ascii="Calibri" w:hAnsi="Calibri" w:cs="Calibri"/>
          <w:i/>
          <w:iCs/>
          <w:shd w:val="clear" w:color="auto" w:fill="FFFFFF"/>
        </w:rPr>
        <w:t>1 – 2 Samuel, 1 – 2 Kings, 1 – 2 Chronicles</w:t>
      </w:r>
      <w:r>
        <w:rPr>
          <w:rFonts w:ascii="Calibri" w:hAnsi="Calibri" w:cs="Calibri"/>
          <w:shd w:val="clear" w:color="auto" w:fill="FFFFFF"/>
        </w:rPr>
        <w:t xml:space="preserve">, </w:t>
      </w:r>
      <w:r w:rsidRPr="00BF32DE">
        <w:rPr>
          <w:rFonts w:ascii="Calibri" w:hAnsi="Calibri" w:cs="Calibri"/>
          <w:shd w:val="clear" w:color="auto" w:fill="FFFFFF"/>
        </w:rPr>
        <w:t>Reformation Commentary on Scripture</w:t>
      </w:r>
      <w:r w:rsidRPr="00BF32DE">
        <w:rPr>
          <w:rFonts w:cstheme="minorHAnsi"/>
          <w:shd w:val="clear" w:color="auto" w:fill="FFFFFF"/>
        </w:rPr>
        <w:t>: Old Testament 5</w:t>
      </w:r>
      <w:r w:rsidRPr="00BF32DE">
        <w:rPr>
          <w:rFonts w:ascii="Calibri" w:hAnsi="Calibri" w:cs="Calibri"/>
          <w:shd w:val="clear" w:color="auto" w:fill="FFFFFF"/>
        </w:rPr>
        <w:t xml:space="preserve"> </w:t>
      </w:r>
      <w:r>
        <w:rPr>
          <w:rFonts w:ascii="Calibri" w:hAnsi="Calibri" w:cs="Calibri"/>
          <w:shd w:val="clear" w:color="auto" w:fill="FFFFFF"/>
        </w:rPr>
        <w:t>(</w:t>
      </w:r>
      <w:r w:rsidRPr="00BF32DE">
        <w:rPr>
          <w:rFonts w:ascii="Calibri" w:hAnsi="Calibri" w:cs="Calibri"/>
          <w:shd w:val="clear" w:color="auto" w:fill="FFFFFF"/>
        </w:rPr>
        <w:t>Downers Grove, IL: InterVarsity, 2016</w:t>
      </w:r>
      <w:r>
        <w:rPr>
          <w:rFonts w:ascii="Calibri" w:hAnsi="Calibri" w:cs="Calibri"/>
          <w:shd w:val="clear" w:color="auto" w:fill="FFFFFF"/>
        </w:rPr>
        <w:t>)</w:t>
      </w:r>
      <w:r>
        <w:t>, 203</w:t>
      </w:r>
      <w:r>
        <w:rPr>
          <w:bdr w:val="none" w:sz="0" w:space="0" w:color="auto" w:frame="1"/>
        </w:rPr>
        <w:t>.</w:t>
      </w:r>
    </w:p>
  </w:footnote>
  <w:footnote w:id="390">
    <w:p w14:paraId="25286EB6" w14:textId="77777777" w:rsidR="007B7018" w:rsidRPr="008E7A4A" w:rsidRDefault="007B7018" w:rsidP="00C65DEC">
      <w:pPr>
        <w:pStyle w:val="FootnoteText"/>
      </w:pPr>
      <w:r>
        <w:rPr>
          <w:rStyle w:val="FootnoteReference"/>
        </w:rPr>
        <w:footnoteRef/>
      </w:r>
      <w:r>
        <w:t xml:space="preserve"> Salvian the Presbyter, “The Governance of God,” in </w:t>
      </w:r>
      <w:r>
        <w:rPr>
          <w:i/>
          <w:iCs/>
        </w:rPr>
        <w:t xml:space="preserve">The Writings of Salvian, the Presbyter </w:t>
      </w:r>
      <w:r>
        <w:t>(reprinted Washington, DC: Catholic University of America, 2008), 62 (cf. John R. Franke,</w:t>
      </w:r>
      <w:r>
        <w:rPr>
          <w:rFonts w:cs="Calibri"/>
        </w:rPr>
        <w:t xml:space="preserve"> </w:t>
      </w:r>
      <w:r>
        <w:rPr>
          <w:rFonts w:cs="Calibri"/>
          <w:i/>
          <w:iCs/>
        </w:rPr>
        <w:t>Joshua, Judges, Ruth, 1 – 2 Samuel</w:t>
      </w:r>
      <w:r>
        <w:rPr>
          <w:rFonts w:cs="Calibri"/>
        </w:rPr>
        <w:t>, Ancient Christian Commentary on Scripture 4 [Downers Grove, IL: InterVarsity, 2005], 361).</w:t>
      </w:r>
    </w:p>
  </w:footnote>
  <w:footnote w:id="391">
    <w:p w14:paraId="2CEE39FC" w14:textId="524A4B74" w:rsidR="007B7018" w:rsidRDefault="007B7018" w:rsidP="00EA460F">
      <w:pPr>
        <w:pStyle w:val="FootnoteText"/>
      </w:pPr>
      <w:r>
        <w:rPr>
          <w:rStyle w:val="FootnoteReference"/>
        </w:rPr>
        <w:footnoteRef/>
      </w:r>
      <w:r>
        <w:t xml:space="preserve"> Cf. H. W. </w:t>
      </w:r>
      <w:r w:rsidRPr="009A3739">
        <w:t xml:space="preserve">Hertzberg, </w:t>
      </w:r>
      <w:r w:rsidRPr="009A3739">
        <w:rPr>
          <w:i/>
        </w:rPr>
        <w:t>I &amp; II Samuel</w:t>
      </w:r>
      <w:r>
        <w:t xml:space="preserve">: </w:t>
      </w:r>
      <w:r w:rsidRPr="00C51101">
        <w:rPr>
          <w:i/>
          <w:iCs/>
        </w:rPr>
        <w:t>A Commentary</w:t>
      </w:r>
      <w:r>
        <w:t xml:space="preserve">, </w:t>
      </w:r>
      <w:r w:rsidRPr="009A3739">
        <w:t>O</w:t>
      </w:r>
      <w:r>
        <w:t>TL</w:t>
      </w:r>
      <w:r w:rsidRPr="009A3739">
        <w:t xml:space="preserve"> </w:t>
      </w:r>
      <w:r>
        <w:t>(</w:t>
      </w:r>
      <w:r w:rsidRPr="009A3739">
        <w:t>London: SCM, 1964</w:t>
      </w:r>
      <w:r>
        <w:t>), 314.</w:t>
      </w:r>
    </w:p>
  </w:footnote>
  <w:footnote w:id="392">
    <w:p w14:paraId="255C8E11" w14:textId="4F0B02A5" w:rsidR="007B7018" w:rsidRDefault="007B7018">
      <w:pPr>
        <w:pStyle w:val="FootnoteText"/>
      </w:pPr>
      <w:r>
        <w:rPr>
          <w:rStyle w:val="FootnoteReference"/>
        </w:rPr>
        <w:footnoteRef/>
      </w:r>
      <w:r>
        <w:t xml:space="preserve"> Tony W. Cartledge, </w:t>
      </w:r>
      <w:r w:rsidRPr="00BA34A3">
        <w:rPr>
          <w:rFonts w:cs="Calibri"/>
          <w:i/>
        </w:rPr>
        <w:t>1 &amp; 2 Samuel</w:t>
      </w:r>
      <w:r>
        <w:rPr>
          <w:rFonts w:cs="Calibri"/>
        </w:rPr>
        <w:t xml:space="preserve">, </w:t>
      </w:r>
      <w:r w:rsidRPr="00BA34A3">
        <w:rPr>
          <w:rFonts w:cs="Calibri"/>
        </w:rPr>
        <w:t>Smyth &amp; Helwys</w:t>
      </w:r>
      <w:r>
        <w:rPr>
          <w:rFonts w:cs="Calibri"/>
        </w:rPr>
        <w:t xml:space="preserve"> Bible Commentary (</w:t>
      </w:r>
      <w:r w:rsidRPr="00BA34A3">
        <w:rPr>
          <w:rFonts w:cs="Calibri"/>
        </w:rPr>
        <w:t>Macon, GA: Smyth &amp; Helwys, 2001</w:t>
      </w:r>
      <w:r>
        <w:rPr>
          <w:rFonts w:cs="Calibri"/>
        </w:rPr>
        <w:t>),</w:t>
      </w:r>
      <w:r>
        <w:t xml:space="preserve"> 517.</w:t>
      </w:r>
    </w:p>
  </w:footnote>
  <w:footnote w:id="393">
    <w:p w14:paraId="7533DDE7" w14:textId="03F81E3A" w:rsidR="007B7018" w:rsidRDefault="007B7018">
      <w:pPr>
        <w:pStyle w:val="FootnoteText"/>
      </w:pPr>
      <w:r>
        <w:rPr>
          <w:rStyle w:val="FootnoteReference"/>
        </w:rPr>
        <w:footnoteRef/>
      </w:r>
      <w:r>
        <w:t xml:space="preserve"> Ellen F. Davis, </w:t>
      </w:r>
      <w:r>
        <w:rPr>
          <w:i/>
          <w:iCs/>
        </w:rPr>
        <w:t>Opening Israel’s Scriptures</w:t>
      </w:r>
      <w:r>
        <w:t xml:space="preserve"> (New York: Oxford University Press, 2019), 191.</w:t>
      </w:r>
    </w:p>
  </w:footnote>
  <w:footnote w:id="394">
    <w:p w14:paraId="73BD9C8A" w14:textId="77777777" w:rsidR="007B7018" w:rsidRDefault="007B7018" w:rsidP="007E2B86">
      <w:pPr>
        <w:pStyle w:val="FootnoteText"/>
      </w:pPr>
      <w:r>
        <w:rPr>
          <w:rStyle w:val="FootnoteReference"/>
        </w:rPr>
        <w:footnoteRef/>
      </w:r>
      <w:r>
        <w:t xml:space="preserve"> </w:t>
      </w:r>
      <w:r w:rsidRPr="00BA34A3">
        <w:rPr>
          <w:rFonts w:cs="Calibri"/>
        </w:rPr>
        <w:t xml:space="preserve">Bruce C. </w:t>
      </w:r>
      <w:r>
        <w:t>Birch</w:t>
      </w:r>
      <w:r>
        <w:rPr>
          <w:rFonts w:cs="Calibri"/>
        </w:rPr>
        <w:t xml:space="preserve">, </w:t>
      </w:r>
      <w:r w:rsidRPr="00BA34A3">
        <w:rPr>
          <w:rFonts w:cs="Calibri"/>
        </w:rPr>
        <w:t>“The First and Second Books of Samuel: Introduction, Commentary and Reflections</w:t>
      </w:r>
      <w:r>
        <w:rPr>
          <w:rFonts w:cs="Calibri"/>
        </w:rPr>
        <w:t>,</w:t>
      </w:r>
      <w:r w:rsidRPr="00BA34A3">
        <w:rPr>
          <w:rFonts w:cs="Calibri"/>
        </w:rPr>
        <w:t xml:space="preserve">” </w:t>
      </w:r>
      <w:r>
        <w:rPr>
          <w:rFonts w:cs="Calibri"/>
        </w:rPr>
        <w:t>i</w:t>
      </w:r>
      <w:r w:rsidRPr="00BA34A3">
        <w:rPr>
          <w:rFonts w:cs="Calibri"/>
        </w:rPr>
        <w:t xml:space="preserve">n </w:t>
      </w:r>
      <w:r w:rsidRPr="00BA34A3">
        <w:rPr>
          <w:rFonts w:cs="Calibri"/>
          <w:i/>
        </w:rPr>
        <w:t xml:space="preserve">The New Interpreter’s Bible </w:t>
      </w:r>
      <w:r>
        <w:rPr>
          <w:rFonts w:cs="Calibri"/>
          <w:iCs/>
        </w:rPr>
        <w:t>(</w:t>
      </w:r>
      <w:r w:rsidRPr="00BA34A3">
        <w:rPr>
          <w:rFonts w:cs="Calibri"/>
        </w:rPr>
        <w:t>Nashville: Abingdon, 199</w:t>
      </w:r>
      <w:r>
        <w:rPr>
          <w:rFonts w:cs="Calibri"/>
        </w:rPr>
        <w:t>8)</w:t>
      </w:r>
      <w:r>
        <w:t xml:space="preserve"> </w:t>
      </w:r>
      <w:r w:rsidRPr="00BA34A3">
        <w:rPr>
          <w:rFonts w:cs="Calibri"/>
        </w:rPr>
        <w:t>2:947-1383</w:t>
      </w:r>
      <w:r>
        <w:t>, in his introductory comments to 2 Samuel 11.</w:t>
      </w:r>
    </w:p>
  </w:footnote>
  <w:footnote w:id="395">
    <w:p w14:paraId="6AE7EAFB" w14:textId="0DB9CD6F" w:rsidR="007B7018" w:rsidRDefault="007B7018" w:rsidP="00622238">
      <w:pPr>
        <w:pStyle w:val="FootnoteText"/>
      </w:pPr>
      <w:r>
        <w:rPr>
          <w:rStyle w:val="FootnoteReference"/>
        </w:rPr>
        <w:footnoteRef/>
      </w:r>
      <w:r>
        <w:t xml:space="preserve"> See the section on “Sanctuary” in chapter 6 above.</w:t>
      </w:r>
    </w:p>
  </w:footnote>
  <w:footnote w:id="396">
    <w:p w14:paraId="544203A8" w14:textId="29102571" w:rsidR="007B7018" w:rsidRPr="00B554D6" w:rsidRDefault="007B7018">
      <w:pPr>
        <w:pStyle w:val="FootnoteText"/>
      </w:pPr>
      <w:r>
        <w:rPr>
          <w:rStyle w:val="FootnoteReference"/>
        </w:rPr>
        <w:footnoteRef/>
      </w:r>
      <w:r>
        <w:t xml:space="preserve"> Cf. </w:t>
      </w:r>
      <w:r>
        <w:rPr>
          <w:rFonts w:cs="Calibri"/>
        </w:rPr>
        <w:t>Auld,</w:t>
      </w:r>
      <w:r>
        <w:t xml:space="preserve"> </w:t>
      </w:r>
      <w:r>
        <w:rPr>
          <w:i/>
          <w:iCs/>
        </w:rPr>
        <w:t>I &amp; II Samuel</w:t>
      </w:r>
      <w:r>
        <w:t>, 466.</w:t>
      </w:r>
    </w:p>
  </w:footnote>
  <w:footnote w:id="397">
    <w:p w14:paraId="7CF95E28" w14:textId="62BDBA81" w:rsidR="007B7018" w:rsidRPr="004059CD" w:rsidRDefault="007B7018" w:rsidP="00304C47">
      <w:pPr>
        <w:pStyle w:val="FootnoteText"/>
      </w:pPr>
      <w:r>
        <w:rPr>
          <w:rStyle w:val="FootnoteReference"/>
        </w:rPr>
        <w:footnoteRef/>
      </w:r>
      <w:r>
        <w:t xml:space="preserve"> Cf. Cheryl </w:t>
      </w:r>
      <w:r w:rsidRPr="00304C47">
        <w:t>You, “</w:t>
      </w:r>
      <w:r w:rsidRPr="00304C47">
        <w:rPr>
          <w:rFonts w:ascii="Calibri" w:hAnsi="Calibri" w:cs="Calibri"/>
        </w:rPr>
        <w:t>The Historian’s Heroines:</w:t>
      </w:r>
      <w:r>
        <w:rPr>
          <w:rFonts w:ascii="Calibri" w:hAnsi="Calibri" w:cs="Calibri"/>
        </w:rPr>
        <w:t xml:space="preserve"> </w:t>
      </w:r>
      <w:r w:rsidRPr="00304C47">
        <w:rPr>
          <w:rFonts w:ascii="Calibri" w:hAnsi="Calibri" w:cs="Calibri"/>
        </w:rPr>
        <w:t xml:space="preserve">Examining </w:t>
      </w:r>
      <w:r>
        <w:rPr>
          <w:rFonts w:ascii="Calibri" w:hAnsi="Calibri" w:cs="Calibri"/>
        </w:rPr>
        <w:t>t</w:t>
      </w:r>
      <w:r w:rsidRPr="00304C47">
        <w:rPr>
          <w:rFonts w:ascii="Calibri" w:hAnsi="Calibri" w:cs="Calibri"/>
        </w:rPr>
        <w:t xml:space="preserve">he Characterization </w:t>
      </w:r>
      <w:r>
        <w:rPr>
          <w:rFonts w:ascii="Calibri" w:hAnsi="Calibri" w:cs="Calibri"/>
        </w:rPr>
        <w:t>o</w:t>
      </w:r>
      <w:r w:rsidRPr="00304C47">
        <w:rPr>
          <w:rFonts w:ascii="Calibri" w:hAnsi="Calibri" w:cs="Calibri"/>
        </w:rPr>
        <w:t xml:space="preserve">f Female Role Models </w:t>
      </w:r>
      <w:r>
        <w:rPr>
          <w:rFonts w:ascii="Calibri" w:hAnsi="Calibri" w:cs="Calibri"/>
        </w:rPr>
        <w:t>i</w:t>
      </w:r>
      <w:r w:rsidRPr="00304C47">
        <w:rPr>
          <w:rFonts w:ascii="Calibri" w:hAnsi="Calibri" w:cs="Calibri"/>
        </w:rPr>
        <w:t xml:space="preserve">n </w:t>
      </w:r>
      <w:r>
        <w:rPr>
          <w:rFonts w:ascii="Calibri" w:hAnsi="Calibri" w:cs="Calibri"/>
        </w:rPr>
        <w:t>t</w:t>
      </w:r>
      <w:r w:rsidRPr="00304C47">
        <w:rPr>
          <w:rFonts w:ascii="Calibri" w:hAnsi="Calibri" w:cs="Calibri"/>
        </w:rPr>
        <w:t>he Early Israelite Monarchy</w:t>
      </w:r>
      <w:r>
        <w:rPr>
          <w:rFonts w:ascii="Calibri" w:hAnsi="Calibri" w:cs="Calibri"/>
        </w:rPr>
        <w:t xml:space="preserve">,” </w:t>
      </w:r>
      <w:r>
        <w:rPr>
          <w:rFonts w:ascii="Calibri" w:hAnsi="Calibri" w:cs="Calibri"/>
          <w:i/>
          <w:iCs/>
        </w:rPr>
        <w:t>Journal of Biblical Perspectives in Leadership</w:t>
      </w:r>
      <w:r>
        <w:rPr>
          <w:rFonts w:ascii="Calibri" w:hAnsi="Calibri" w:cs="Calibri"/>
        </w:rPr>
        <w:t xml:space="preserve"> 9 (2019): 178-200 (192, 193).</w:t>
      </w:r>
    </w:p>
  </w:footnote>
  <w:footnote w:id="398">
    <w:p w14:paraId="153EF04C" w14:textId="77777777" w:rsidR="007B7018" w:rsidRPr="00E55741" w:rsidRDefault="007B7018" w:rsidP="00DA7E7A">
      <w:pPr>
        <w:pStyle w:val="FootnoteText"/>
        <w:rPr>
          <w:iCs/>
        </w:rPr>
      </w:pPr>
      <w:r>
        <w:rPr>
          <w:rStyle w:val="FootnoteReference"/>
        </w:rPr>
        <w:footnoteRef/>
      </w:r>
      <w:r>
        <w:t xml:space="preserve"> Smith, </w:t>
      </w:r>
      <w:r w:rsidRPr="005E3935">
        <w:rPr>
          <w:rFonts w:cs="Calibri"/>
          <w:i/>
        </w:rPr>
        <w:t>Fate of Justice and Righteousness</w:t>
      </w:r>
      <w:r>
        <w:rPr>
          <w:rFonts w:cs="Calibri"/>
          <w:iCs/>
        </w:rPr>
        <w:t>, 149.</w:t>
      </w:r>
    </w:p>
  </w:footnote>
  <w:footnote w:id="399">
    <w:p w14:paraId="673C06C3" w14:textId="1DBA115D" w:rsidR="007B7018" w:rsidRPr="006A4686" w:rsidRDefault="007B7018" w:rsidP="00013F2F">
      <w:pPr>
        <w:pStyle w:val="FootnoteText"/>
        <w:rPr>
          <w:iCs/>
        </w:rPr>
      </w:pPr>
      <w:r>
        <w:rPr>
          <w:rStyle w:val="FootnoteReference"/>
        </w:rPr>
        <w:footnoteRef/>
      </w:r>
      <w:r>
        <w:t xml:space="preserve"> Craig E. </w:t>
      </w:r>
      <w:r w:rsidRPr="00BA34A3">
        <w:rPr>
          <w:rFonts w:cs="Calibri"/>
        </w:rPr>
        <w:t xml:space="preserve">Morrison, </w:t>
      </w:r>
      <w:r w:rsidRPr="00BA34A3">
        <w:rPr>
          <w:rFonts w:cs="Calibri"/>
          <w:i/>
        </w:rPr>
        <w:t>2 Samuel</w:t>
      </w:r>
      <w:r>
        <w:rPr>
          <w:rFonts w:cs="Calibri"/>
        </w:rPr>
        <w:t xml:space="preserve">, </w:t>
      </w:r>
      <w:r w:rsidRPr="00BA34A3">
        <w:rPr>
          <w:rFonts w:cs="Calibri"/>
        </w:rPr>
        <w:t>Berit Olam</w:t>
      </w:r>
      <w:r>
        <w:rPr>
          <w:rFonts w:cs="Calibri"/>
        </w:rPr>
        <w:t xml:space="preserve">: </w:t>
      </w:r>
      <w:r w:rsidRPr="001F52A8">
        <w:rPr>
          <w:rFonts w:cs="Calibri"/>
        </w:rPr>
        <w:t>Studies in Hebrew Narrative and Poetry</w:t>
      </w:r>
      <w:r>
        <w:rPr>
          <w:rFonts w:cs="Calibri"/>
        </w:rPr>
        <w:t xml:space="preserve"> (</w:t>
      </w:r>
      <w:r w:rsidRPr="00BA34A3">
        <w:rPr>
          <w:rFonts w:cs="Calibri"/>
        </w:rPr>
        <w:t>Collegeville, MN: Liturgical, 2013</w:t>
      </w:r>
      <w:r>
        <w:rPr>
          <w:rFonts w:cs="Calibri"/>
        </w:rPr>
        <w:t>)</w:t>
      </w:r>
      <w:r>
        <w:rPr>
          <w:rFonts w:cs="Calibri"/>
          <w:iCs/>
        </w:rPr>
        <w:t>, 109.</w:t>
      </w:r>
    </w:p>
  </w:footnote>
  <w:footnote w:id="400">
    <w:p w14:paraId="0D0CC083" w14:textId="09C70349" w:rsidR="007B7018" w:rsidRPr="007A3C84" w:rsidRDefault="007B7018" w:rsidP="00934291">
      <w:pPr>
        <w:pStyle w:val="FootnoteText"/>
      </w:pPr>
      <w:r>
        <w:rPr>
          <w:rStyle w:val="FootnoteReference"/>
        </w:rPr>
        <w:footnoteRef/>
      </w:r>
      <w:r>
        <w:t xml:space="preserve"> Robert Barron, </w:t>
      </w:r>
      <w:r>
        <w:rPr>
          <w:rFonts w:cs="Calibri"/>
          <w:i/>
          <w:iCs/>
        </w:rPr>
        <w:t xml:space="preserve">2 </w:t>
      </w:r>
      <w:r w:rsidRPr="003D5308">
        <w:rPr>
          <w:rFonts w:cs="Calibri"/>
          <w:i/>
          <w:iCs/>
        </w:rPr>
        <w:t>Samuel</w:t>
      </w:r>
      <w:r w:rsidRPr="003D5308">
        <w:rPr>
          <w:rFonts w:ascii="Calibri" w:hAnsi="Calibri" w:cs="Calibri"/>
        </w:rPr>
        <w:t xml:space="preserve">, </w:t>
      </w:r>
      <w:r w:rsidRPr="003D5308">
        <w:rPr>
          <w:rFonts w:ascii="Calibri" w:hAnsi="Calibri" w:cs="Calibri"/>
          <w:shd w:val="clear" w:color="auto" w:fill="FFFFFF"/>
        </w:rPr>
        <w:t>Brazos Theological Commentary on the Bible</w:t>
      </w:r>
      <w:r w:rsidRPr="003D5308">
        <w:rPr>
          <w:rFonts w:ascii="Calibri" w:hAnsi="Calibri" w:cs="Calibri"/>
        </w:rPr>
        <w:t xml:space="preserve"> (</w:t>
      </w:r>
      <w:r w:rsidRPr="003D5308">
        <w:rPr>
          <w:rFonts w:cs="Calibri"/>
          <w:bCs/>
          <w:lang w:bidi="he-IL"/>
        </w:rPr>
        <w:t xml:space="preserve">Grand </w:t>
      </w:r>
      <w:r w:rsidRPr="00BA34A3">
        <w:rPr>
          <w:rFonts w:cs="Calibri"/>
          <w:bCs/>
          <w:lang w:bidi="he-IL"/>
        </w:rPr>
        <w:t>Rapids: Brazos, 201</w:t>
      </w:r>
      <w:r>
        <w:rPr>
          <w:rFonts w:cs="Calibri"/>
          <w:bCs/>
          <w:lang w:bidi="he-IL"/>
        </w:rPr>
        <w:t>5)</w:t>
      </w:r>
      <w:r>
        <w:rPr>
          <w:rFonts w:cs="Calibri"/>
        </w:rPr>
        <w:t>, 123.</w:t>
      </w:r>
    </w:p>
  </w:footnote>
  <w:footnote w:id="401">
    <w:p w14:paraId="2A703EA9" w14:textId="056DB1E8" w:rsidR="007B7018" w:rsidRDefault="007B7018" w:rsidP="00BB1392">
      <w:pPr>
        <w:pStyle w:val="FootnoteText"/>
      </w:pPr>
      <w:r>
        <w:rPr>
          <w:rStyle w:val="FootnoteReference"/>
        </w:rPr>
        <w:footnoteRef/>
      </w:r>
      <w:r>
        <w:t xml:space="preserve"> Phyllis Trible, </w:t>
      </w:r>
      <w:r>
        <w:rPr>
          <w:i/>
          <w:iCs/>
        </w:rPr>
        <w:t xml:space="preserve">Texts of Terror: Literary Feminist Readings of Biblical Narratives, </w:t>
      </w:r>
      <w:r>
        <w:t>Overtures to Biblical Theology 13 (Philadelphia: Fortress, 1984), 36.</w:t>
      </w:r>
    </w:p>
  </w:footnote>
  <w:footnote w:id="402">
    <w:p w14:paraId="3D422ADF" w14:textId="77777777" w:rsidR="007B7018" w:rsidRPr="00667C2C" w:rsidRDefault="007B7018" w:rsidP="00934291">
      <w:pPr>
        <w:pStyle w:val="FootnoteText"/>
        <w:rPr>
          <w:iCs/>
        </w:rPr>
      </w:pPr>
      <w:r>
        <w:rPr>
          <w:rStyle w:val="FootnoteReference"/>
        </w:rPr>
        <w:footnoteRef/>
      </w:r>
      <w:r>
        <w:t xml:space="preserve"> Peterson, </w:t>
      </w:r>
      <w:r w:rsidRPr="00BA34A3">
        <w:rPr>
          <w:rFonts w:cs="Calibri"/>
          <w:i/>
        </w:rPr>
        <w:t>First and Second Samuel</w:t>
      </w:r>
      <w:r>
        <w:rPr>
          <w:rFonts w:cs="Calibri"/>
          <w:iCs/>
        </w:rPr>
        <w:t>, 194.</w:t>
      </w:r>
    </w:p>
  </w:footnote>
  <w:footnote w:id="403">
    <w:p w14:paraId="105C0CAA" w14:textId="77777777" w:rsidR="007B7018" w:rsidRPr="005E55E8" w:rsidRDefault="007B7018" w:rsidP="001E42C5">
      <w:pPr>
        <w:pStyle w:val="FootnoteText"/>
        <w:rPr>
          <w:iCs/>
        </w:rPr>
      </w:pPr>
      <w:r>
        <w:rPr>
          <w:rStyle w:val="FootnoteReference"/>
        </w:rPr>
        <w:footnoteRef/>
      </w:r>
      <w:r>
        <w:t xml:space="preserve"> </w:t>
      </w:r>
      <w:r>
        <w:rPr>
          <w:rFonts w:cstheme="minorHAnsi"/>
          <w:i/>
          <w:iCs/>
        </w:rPr>
        <w:t xml:space="preserve">B. </w:t>
      </w:r>
      <w:r>
        <w:rPr>
          <w:rFonts w:cstheme="minorHAnsi"/>
        </w:rPr>
        <w:t>Sanhedrin 21a</w:t>
      </w:r>
      <w:r>
        <w:t xml:space="preserve">; cf. Rashi, in </w:t>
      </w:r>
      <w:r w:rsidRPr="003C0FB3">
        <w:rPr>
          <w:rFonts w:cstheme="minorHAnsi"/>
          <w:i/>
        </w:rPr>
        <w:t>miqrā’ôt gәdôlôt</w:t>
      </w:r>
      <w:r>
        <w:rPr>
          <w:rFonts w:cstheme="minorHAnsi"/>
          <w:iCs/>
        </w:rPr>
        <w:t>.</w:t>
      </w:r>
    </w:p>
  </w:footnote>
  <w:footnote w:id="404">
    <w:p w14:paraId="159BF505" w14:textId="0087B997" w:rsidR="007B7018" w:rsidRPr="00B20633" w:rsidRDefault="007B7018" w:rsidP="00DB6DF8">
      <w:pPr>
        <w:pStyle w:val="FootnoteText"/>
      </w:pPr>
      <w:r>
        <w:rPr>
          <w:rStyle w:val="FootnoteReference"/>
        </w:rPr>
        <w:footnoteRef/>
      </w:r>
      <w:r>
        <w:t xml:space="preserve"> Shimon Bar-Efrat, </w:t>
      </w:r>
      <w:r w:rsidRPr="001F52A8">
        <w:rPr>
          <w:rFonts w:cs="Calibri"/>
          <w:i/>
          <w:iCs/>
        </w:rPr>
        <w:t>Narrative Art in the Bible</w:t>
      </w:r>
      <w:r>
        <w:rPr>
          <w:rFonts w:cs="Calibri"/>
        </w:rPr>
        <w:t xml:space="preserve">, </w:t>
      </w:r>
      <w:r w:rsidRPr="001F52A8">
        <w:rPr>
          <w:rFonts w:cs="Calibri"/>
        </w:rPr>
        <w:t xml:space="preserve">JSOTSup 70 </w:t>
      </w:r>
      <w:r>
        <w:rPr>
          <w:rFonts w:cs="Calibri"/>
        </w:rPr>
        <w:t>(r</w:t>
      </w:r>
      <w:r w:rsidRPr="001F52A8">
        <w:rPr>
          <w:rFonts w:cs="Calibri"/>
        </w:rPr>
        <w:t>eprinted Sheffield: Sheffield Academic, 1997</w:t>
      </w:r>
      <w:r>
        <w:rPr>
          <w:rFonts w:cs="Calibri"/>
        </w:rPr>
        <w:t>)</w:t>
      </w:r>
      <w:r>
        <w:t>, 262, 263.</w:t>
      </w:r>
    </w:p>
  </w:footnote>
  <w:footnote w:id="405">
    <w:p w14:paraId="014D8731" w14:textId="3755D1B7" w:rsidR="007B7018" w:rsidRPr="00036DAA" w:rsidRDefault="007B7018" w:rsidP="00036DAA">
      <w:pPr>
        <w:autoSpaceDE w:val="0"/>
        <w:autoSpaceDN w:val="0"/>
        <w:adjustRightInd w:val="0"/>
        <w:spacing w:line="240" w:lineRule="auto"/>
        <w:rPr>
          <w:rFonts w:cstheme="minorHAnsi"/>
          <w:i/>
          <w:iCs/>
          <w:sz w:val="20"/>
          <w:szCs w:val="20"/>
        </w:rPr>
      </w:pPr>
      <w:r w:rsidRPr="00036DAA">
        <w:rPr>
          <w:rStyle w:val="FootnoteReference"/>
          <w:sz w:val="20"/>
          <w:szCs w:val="20"/>
        </w:rPr>
        <w:footnoteRef/>
      </w:r>
      <w:r w:rsidRPr="00036DAA">
        <w:rPr>
          <w:sz w:val="20"/>
          <w:szCs w:val="20"/>
        </w:rPr>
        <w:t xml:space="preserve"> A Graeme Auld, “</w:t>
      </w:r>
      <w:r w:rsidRPr="00036DAA">
        <w:rPr>
          <w:rFonts w:cstheme="minorHAnsi"/>
          <w:sz w:val="20"/>
          <w:szCs w:val="20"/>
        </w:rPr>
        <w:t>Contexts for Tamar:</w:t>
      </w:r>
      <w:r w:rsidRPr="00036DAA">
        <w:rPr>
          <w:sz w:val="20"/>
          <w:szCs w:val="20"/>
        </w:rPr>
        <w:t xml:space="preserve"> </w:t>
      </w:r>
      <w:r w:rsidRPr="00036DAA">
        <w:rPr>
          <w:rFonts w:cstheme="minorHAnsi"/>
          <w:sz w:val="20"/>
          <w:szCs w:val="20"/>
        </w:rPr>
        <w:t xml:space="preserve">Samuel and the Song </w:t>
      </w:r>
      <w:r>
        <w:rPr>
          <w:rFonts w:cstheme="minorHAnsi"/>
          <w:sz w:val="20"/>
          <w:szCs w:val="20"/>
        </w:rPr>
        <w:t>o</w:t>
      </w:r>
      <w:r w:rsidRPr="00036DAA">
        <w:rPr>
          <w:rFonts w:cstheme="minorHAnsi"/>
          <w:sz w:val="20"/>
          <w:szCs w:val="20"/>
        </w:rPr>
        <w:t xml:space="preserve">f Songs,” in </w:t>
      </w:r>
      <w:r w:rsidRPr="00036DAA">
        <w:rPr>
          <w:rFonts w:cstheme="minorHAnsi"/>
          <w:i/>
          <w:iCs/>
          <w:sz w:val="20"/>
          <w:szCs w:val="20"/>
        </w:rPr>
        <w:t>A Critical Engagement:</w:t>
      </w:r>
    </w:p>
    <w:p w14:paraId="134AEDC6" w14:textId="2153317A" w:rsidR="007B7018" w:rsidRPr="00036DAA" w:rsidRDefault="007B7018" w:rsidP="007F26BD">
      <w:pPr>
        <w:autoSpaceDE w:val="0"/>
        <w:autoSpaceDN w:val="0"/>
        <w:adjustRightInd w:val="0"/>
        <w:spacing w:line="240" w:lineRule="auto"/>
        <w:ind w:firstLine="0"/>
        <w:rPr>
          <w:rFonts w:cstheme="minorHAnsi"/>
          <w:sz w:val="20"/>
          <w:szCs w:val="20"/>
        </w:rPr>
      </w:pPr>
      <w:r w:rsidRPr="00036DAA">
        <w:rPr>
          <w:rFonts w:cstheme="minorHAnsi"/>
          <w:i/>
          <w:iCs/>
          <w:sz w:val="20"/>
          <w:szCs w:val="20"/>
        </w:rPr>
        <w:t>Essays on the Hebrew Bible in Honour of J. Cheryl Exum</w:t>
      </w:r>
      <w:r>
        <w:rPr>
          <w:rFonts w:cstheme="minorHAnsi"/>
          <w:sz w:val="20"/>
          <w:szCs w:val="20"/>
        </w:rPr>
        <w:t xml:space="preserve">, ed. </w:t>
      </w:r>
      <w:r w:rsidRPr="00036DAA">
        <w:rPr>
          <w:rFonts w:cstheme="minorHAnsi"/>
          <w:sz w:val="20"/>
          <w:szCs w:val="20"/>
        </w:rPr>
        <w:t>David J.</w:t>
      </w:r>
      <w:r>
        <w:rPr>
          <w:rFonts w:cstheme="minorHAnsi"/>
          <w:sz w:val="20"/>
          <w:szCs w:val="20"/>
        </w:rPr>
        <w:t xml:space="preserve"> </w:t>
      </w:r>
      <w:r w:rsidRPr="00036DAA">
        <w:rPr>
          <w:rFonts w:cstheme="minorHAnsi"/>
          <w:sz w:val="20"/>
          <w:szCs w:val="20"/>
        </w:rPr>
        <w:t>A. Clines and Ellen van Wolde</w:t>
      </w:r>
      <w:r>
        <w:rPr>
          <w:rFonts w:cstheme="minorHAnsi"/>
          <w:sz w:val="20"/>
          <w:szCs w:val="20"/>
        </w:rPr>
        <w:t xml:space="preserve"> (Sheffield: Sheffield Phoenix, 2011), </w:t>
      </w:r>
      <w:r w:rsidRPr="00036DAA">
        <w:rPr>
          <w:rFonts w:cstheme="minorHAnsi"/>
          <w:sz w:val="20"/>
          <w:szCs w:val="20"/>
        </w:rPr>
        <w:t>21-31 (29).</w:t>
      </w:r>
    </w:p>
  </w:footnote>
  <w:footnote w:id="406">
    <w:p w14:paraId="1B137EB6" w14:textId="77777777" w:rsidR="007B7018" w:rsidRPr="00C625F5" w:rsidRDefault="007B7018" w:rsidP="00DB6DF8">
      <w:pPr>
        <w:pStyle w:val="FootnoteText"/>
        <w:rPr>
          <w:iCs/>
        </w:rPr>
      </w:pPr>
      <w:r>
        <w:rPr>
          <w:rStyle w:val="FootnoteReference"/>
        </w:rPr>
        <w:footnoteRef/>
      </w:r>
      <w:r>
        <w:t xml:space="preserve"> Cartledge, </w:t>
      </w:r>
      <w:r w:rsidRPr="00BA34A3">
        <w:rPr>
          <w:rFonts w:cs="Calibri"/>
          <w:i/>
        </w:rPr>
        <w:t>1 &amp; 2 Samuel</w:t>
      </w:r>
      <w:r>
        <w:rPr>
          <w:rFonts w:cs="Calibri"/>
          <w:iCs/>
        </w:rPr>
        <w:t>, 537.</w:t>
      </w:r>
    </w:p>
  </w:footnote>
  <w:footnote w:id="407">
    <w:p w14:paraId="62B781AE" w14:textId="12829D96" w:rsidR="007B7018" w:rsidRDefault="007B7018" w:rsidP="002F0D64">
      <w:pPr>
        <w:pStyle w:val="FootnoteText"/>
      </w:pPr>
      <w:r>
        <w:rPr>
          <w:rStyle w:val="FootnoteReference"/>
        </w:rPr>
        <w:footnoteRef/>
      </w:r>
      <w:r>
        <w:t xml:space="preserve"> Karla G. Shargent, “Living on the Edge: The Liminality of Daughters in Genesis to 2 Samuel,” in Athalya </w:t>
      </w:r>
      <w:r w:rsidRPr="001F52A8">
        <w:rPr>
          <w:rFonts w:cs="Calibri"/>
        </w:rPr>
        <w:t xml:space="preserve">Brenner, ed. </w:t>
      </w:r>
      <w:r w:rsidRPr="001F52A8">
        <w:rPr>
          <w:rFonts w:cs="Calibri"/>
          <w:i/>
        </w:rPr>
        <w:t>A Feminist Companion to Samuel-Kings</w:t>
      </w:r>
      <w:r w:rsidRPr="001F52A8">
        <w:rPr>
          <w:rFonts w:cs="Calibri"/>
        </w:rPr>
        <w:t xml:space="preserve"> </w:t>
      </w:r>
      <w:r>
        <w:rPr>
          <w:rFonts w:cs="Calibri"/>
        </w:rPr>
        <w:t>(</w:t>
      </w:r>
      <w:r w:rsidRPr="001F52A8">
        <w:rPr>
          <w:rFonts w:cs="Calibri"/>
        </w:rPr>
        <w:t>Sheffield: Sheffield Academic, 1994</w:t>
      </w:r>
      <w:r>
        <w:rPr>
          <w:rFonts w:cs="Calibri"/>
        </w:rPr>
        <w:t>), 26-42 (35)</w:t>
      </w:r>
      <w:r w:rsidRPr="001F52A8">
        <w:rPr>
          <w:rFonts w:cs="Calibri"/>
        </w:rPr>
        <w:t>.</w:t>
      </w:r>
    </w:p>
  </w:footnote>
  <w:footnote w:id="408">
    <w:p w14:paraId="55F0C0F1" w14:textId="77777777" w:rsidR="007B7018" w:rsidRDefault="007B7018" w:rsidP="00DB6DF8">
      <w:pPr>
        <w:pStyle w:val="FootnoteText"/>
      </w:pPr>
      <w:r>
        <w:rPr>
          <w:rStyle w:val="FootnoteReference"/>
        </w:rPr>
        <w:footnoteRef/>
      </w:r>
      <w:r>
        <w:t xml:space="preserve"> </w:t>
      </w:r>
      <w:r w:rsidRPr="00AB6524">
        <w:rPr>
          <w:rFonts w:eastAsia="Times New Roman" w:cs="Calibri"/>
        </w:rPr>
        <w:t xml:space="preserve">Johanna W. H. van </w:t>
      </w:r>
      <w:r w:rsidRPr="00AB6524">
        <w:t xml:space="preserve">Wijk-bos, </w:t>
      </w:r>
      <w:r w:rsidRPr="00AB6524">
        <w:rPr>
          <w:rFonts w:eastAsia="Times New Roman" w:cs="Calibri"/>
          <w:i/>
          <w:iCs/>
        </w:rPr>
        <w:t>A People and a Land 2: The Road to Kingship</w:t>
      </w:r>
      <w:r w:rsidRPr="00AB6524">
        <w:rPr>
          <w:rFonts w:eastAsia="Times New Roman" w:cs="Calibri"/>
        </w:rPr>
        <w:t xml:space="preserve"> (Grand Rapids: Eerdmans, 2020),</w:t>
      </w:r>
      <w:r>
        <w:rPr>
          <w:rFonts w:eastAsia="Times New Roman" w:cs="Calibri"/>
        </w:rPr>
        <w:t xml:space="preserve"> on the passage, following Tikva </w:t>
      </w:r>
      <w:r>
        <w:t xml:space="preserve">Frymer-Kensky, </w:t>
      </w:r>
      <w:r w:rsidRPr="00957211">
        <w:rPr>
          <w:i/>
          <w:iCs/>
        </w:rPr>
        <w:t>Reading the Women of the Bible</w:t>
      </w:r>
      <w:r>
        <w:t xml:space="preserve"> (New York: Schocken, 2002), 165-66.</w:t>
      </w:r>
    </w:p>
  </w:footnote>
  <w:footnote w:id="409">
    <w:p w14:paraId="47FD8B0F" w14:textId="5FE0719C" w:rsidR="007B7018" w:rsidRPr="00F7441D" w:rsidRDefault="007B7018" w:rsidP="00336DBC">
      <w:pPr>
        <w:pStyle w:val="FootnoteText"/>
      </w:pPr>
      <w:r>
        <w:rPr>
          <w:rStyle w:val="FootnoteReference"/>
        </w:rPr>
        <w:footnoteRef/>
      </w:r>
      <w:r>
        <w:t xml:space="preserve"> Pamela Cooper-White, </w:t>
      </w:r>
      <w:r>
        <w:rPr>
          <w:i/>
          <w:iCs/>
        </w:rPr>
        <w:t xml:space="preserve">The Cry of Tamar: Violence against Women and the Church’s Response </w:t>
      </w:r>
      <w:r>
        <w:t xml:space="preserve">(Minneapolis: Fortress, 1995), 4-5. </w:t>
      </w:r>
    </w:p>
  </w:footnote>
  <w:footnote w:id="410">
    <w:p w14:paraId="0585D196" w14:textId="77777777" w:rsidR="007B7018" w:rsidRDefault="007B7018" w:rsidP="004C5993">
      <w:pPr>
        <w:pStyle w:val="FootnoteText"/>
      </w:pPr>
      <w:r>
        <w:rPr>
          <w:rStyle w:val="FootnoteReference"/>
        </w:rPr>
        <w:footnoteRef/>
      </w:r>
      <w:r>
        <w:t xml:space="preserve"> Barron, </w:t>
      </w:r>
      <w:r>
        <w:rPr>
          <w:rFonts w:cs="Calibri"/>
          <w:i/>
          <w:iCs/>
        </w:rPr>
        <w:t>2 Samuel</w:t>
      </w:r>
      <w:r>
        <w:rPr>
          <w:rFonts w:cs="Calibri"/>
        </w:rPr>
        <w:t>, 128.</w:t>
      </w:r>
    </w:p>
  </w:footnote>
  <w:footnote w:id="411">
    <w:p w14:paraId="62879366" w14:textId="77777777" w:rsidR="007B7018" w:rsidRPr="000827E6" w:rsidRDefault="007B7018" w:rsidP="003E2767">
      <w:pPr>
        <w:pStyle w:val="FootnoteText"/>
      </w:pPr>
      <w:r>
        <w:rPr>
          <w:rStyle w:val="FootnoteReference"/>
        </w:rPr>
        <w:footnoteRef/>
      </w:r>
      <w:r>
        <w:t xml:space="preserve"> Barron, </w:t>
      </w:r>
      <w:r>
        <w:rPr>
          <w:i/>
          <w:iCs/>
        </w:rPr>
        <w:t>2 Samuel</w:t>
      </w:r>
      <w:r>
        <w:t>, 129.</w:t>
      </w:r>
    </w:p>
  </w:footnote>
  <w:footnote w:id="412">
    <w:p w14:paraId="6C205F82" w14:textId="1EB77DDE" w:rsidR="007B7018" w:rsidRPr="002072C6" w:rsidRDefault="007B7018">
      <w:pPr>
        <w:pStyle w:val="FootnoteText"/>
      </w:pPr>
      <w:r>
        <w:rPr>
          <w:rStyle w:val="FootnoteReference"/>
        </w:rPr>
        <w:footnoteRef/>
      </w:r>
      <w:r>
        <w:t xml:space="preserve"> See the discussion of David’s heart/mind in Marti J. </w:t>
      </w:r>
      <w:r w:rsidRPr="001F52A8">
        <w:rPr>
          <w:rFonts w:cs="Calibri"/>
        </w:rPr>
        <w:t xml:space="preserve">Steussy, </w:t>
      </w:r>
      <w:r>
        <w:rPr>
          <w:rFonts w:cs="Calibri"/>
          <w:i/>
          <w:iCs/>
        </w:rPr>
        <w:t>David: Biblical Portraits of Power</w:t>
      </w:r>
      <w:r>
        <w:rPr>
          <w:rFonts w:cs="Calibri"/>
        </w:rPr>
        <w:t xml:space="preserve">, </w:t>
      </w:r>
      <w:r w:rsidRPr="001F52A8">
        <w:t xml:space="preserve">Studies on the Personalities of the Old Testament </w:t>
      </w:r>
      <w:r>
        <w:t>(</w:t>
      </w:r>
      <w:r w:rsidRPr="001F52A8">
        <w:t>Columbia</w:t>
      </w:r>
      <w:r>
        <w:t>, SC</w:t>
      </w:r>
      <w:r w:rsidRPr="001F52A8">
        <w:t xml:space="preserve">: University of South Carolina Press, </w:t>
      </w:r>
      <w:r>
        <w:t xml:space="preserve">1999), </w:t>
      </w:r>
      <w:r>
        <w:rPr>
          <w:rFonts w:cs="Calibri"/>
        </w:rPr>
        <w:t>53-70 (esp. 65-66).</w:t>
      </w:r>
    </w:p>
  </w:footnote>
  <w:footnote w:id="413">
    <w:p w14:paraId="4AB46412" w14:textId="77777777" w:rsidR="007B7018" w:rsidRDefault="007B7018" w:rsidP="003474D0">
      <w:pPr>
        <w:pStyle w:val="FootnoteText"/>
      </w:pPr>
      <w:r>
        <w:rPr>
          <w:rStyle w:val="FootnoteReference"/>
        </w:rPr>
        <w:footnoteRef/>
      </w:r>
      <w:r>
        <w:t xml:space="preserve"> Birch, </w:t>
      </w:r>
      <w:r w:rsidRPr="00BA34A3">
        <w:rPr>
          <w:rFonts w:cs="Calibri"/>
        </w:rPr>
        <w:t>“The First and Second Books of Samuel</w:t>
      </w:r>
      <w:r>
        <w:rPr>
          <w:rFonts w:cs="Calibri"/>
        </w:rPr>
        <w:t>,” in his comments on 14:8-11.</w:t>
      </w:r>
    </w:p>
  </w:footnote>
  <w:footnote w:id="414">
    <w:p w14:paraId="056FD5F8" w14:textId="77777777" w:rsidR="007B7018" w:rsidRPr="005F6B37" w:rsidRDefault="007B7018" w:rsidP="003474D0">
      <w:pPr>
        <w:pStyle w:val="FootnoteText"/>
      </w:pPr>
      <w:r>
        <w:rPr>
          <w:rStyle w:val="FootnoteReference"/>
        </w:rPr>
        <w:footnoteRef/>
      </w:r>
      <w:r>
        <w:t xml:space="preserve"> Auld, </w:t>
      </w:r>
      <w:r>
        <w:rPr>
          <w:i/>
          <w:iCs/>
        </w:rPr>
        <w:t>I &amp; II Samuel</w:t>
      </w:r>
      <w:r>
        <w:t>, 492.</w:t>
      </w:r>
    </w:p>
  </w:footnote>
  <w:footnote w:id="415">
    <w:p w14:paraId="2E702CE3" w14:textId="77777777" w:rsidR="007B7018" w:rsidRPr="00CA3AF6" w:rsidRDefault="007B7018" w:rsidP="003474D0">
      <w:pPr>
        <w:pStyle w:val="FootnoteText"/>
      </w:pPr>
      <w:r>
        <w:rPr>
          <w:rStyle w:val="FootnoteReference"/>
        </w:rPr>
        <w:footnoteRef/>
      </w:r>
      <w:r>
        <w:t xml:space="preserve"> Morrison, </w:t>
      </w:r>
      <w:r>
        <w:rPr>
          <w:i/>
          <w:iCs/>
        </w:rPr>
        <w:t>2 Samuel</w:t>
      </w:r>
      <w:r>
        <w:t>, 123.</w:t>
      </w:r>
    </w:p>
  </w:footnote>
  <w:footnote w:id="416">
    <w:p w14:paraId="7ED9C7B5" w14:textId="77777777" w:rsidR="007B7018" w:rsidRDefault="007B7018" w:rsidP="004B6189">
      <w:pPr>
        <w:pStyle w:val="FootnoteText"/>
      </w:pPr>
      <w:r>
        <w:rPr>
          <w:rStyle w:val="FootnoteReference"/>
        </w:rPr>
        <w:footnoteRef/>
      </w:r>
      <w:r>
        <w:t xml:space="preserve"> Joel </w:t>
      </w:r>
      <w:r>
        <w:rPr>
          <w:rFonts w:cs="Calibri"/>
        </w:rPr>
        <w:t xml:space="preserve">Rosenberg, “I and 2 Samuel,” in </w:t>
      </w:r>
      <w:r w:rsidRPr="006020B1">
        <w:rPr>
          <w:rFonts w:cs="Calibri"/>
        </w:rPr>
        <w:t>Robert Alter</w:t>
      </w:r>
      <w:r>
        <w:rPr>
          <w:rFonts w:cs="Calibri"/>
        </w:rPr>
        <w:t xml:space="preserve"> and </w:t>
      </w:r>
      <w:r w:rsidRPr="006020B1">
        <w:rPr>
          <w:rFonts w:cs="Calibri"/>
        </w:rPr>
        <w:t>Frank Kermode</w:t>
      </w:r>
      <w:r>
        <w:rPr>
          <w:rFonts w:cs="Calibri"/>
        </w:rPr>
        <w:t xml:space="preserve">, ed., </w:t>
      </w:r>
      <w:r w:rsidRPr="00236DDA">
        <w:rPr>
          <w:rFonts w:cs="Calibri"/>
          <w:i/>
          <w:iCs/>
        </w:rPr>
        <w:t>The</w:t>
      </w:r>
      <w:r>
        <w:rPr>
          <w:rFonts w:cs="Calibri"/>
          <w:i/>
          <w:iCs/>
        </w:rPr>
        <w:t xml:space="preserve"> </w:t>
      </w:r>
      <w:r w:rsidRPr="00236DDA">
        <w:rPr>
          <w:rFonts w:cs="Calibri"/>
          <w:i/>
          <w:iCs/>
        </w:rPr>
        <w:t>Literary Guide</w:t>
      </w:r>
      <w:r>
        <w:rPr>
          <w:rFonts w:cs="Calibri"/>
          <w:i/>
          <w:iCs/>
        </w:rPr>
        <w:t xml:space="preserve"> t</w:t>
      </w:r>
      <w:r w:rsidRPr="00236DDA">
        <w:rPr>
          <w:rFonts w:cs="Calibri"/>
          <w:i/>
          <w:iCs/>
        </w:rPr>
        <w:t xml:space="preserve">o </w:t>
      </w:r>
      <w:r>
        <w:rPr>
          <w:rFonts w:cs="Calibri"/>
          <w:i/>
          <w:iCs/>
        </w:rPr>
        <w:t>t</w:t>
      </w:r>
      <w:r w:rsidRPr="00236DDA">
        <w:rPr>
          <w:rFonts w:cs="Calibri"/>
          <w:i/>
          <w:iCs/>
        </w:rPr>
        <w:t>he Bible</w:t>
      </w:r>
      <w:r>
        <w:rPr>
          <w:rFonts w:cs="Calibri"/>
          <w:i/>
          <w:iCs/>
        </w:rPr>
        <w:t xml:space="preserve"> </w:t>
      </w:r>
      <w:r>
        <w:rPr>
          <w:rFonts w:cs="Calibri"/>
        </w:rPr>
        <w:t>(Cambridge, MA: Harvard University Press, 1987), 122-45 (135).</w:t>
      </w:r>
    </w:p>
  </w:footnote>
  <w:footnote w:id="417">
    <w:p w14:paraId="7D5605F0" w14:textId="77777777" w:rsidR="007B7018" w:rsidRDefault="007B7018" w:rsidP="001B65CE">
      <w:pPr>
        <w:pStyle w:val="FootnoteText"/>
      </w:pPr>
      <w:r>
        <w:rPr>
          <w:rStyle w:val="FootnoteReference"/>
        </w:rPr>
        <w:footnoteRef/>
      </w:r>
      <w:r>
        <w:t xml:space="preserve"> J. Cheryl Exum, </w:t>
      </w:r>
      <w:r w:rsidRPr="001F52A8">
        <w:rPr>
          <w:rFonts w:cs="Calibri"/>
          <w:i/>
          <w:iCs/>
        </w:rPr>
        <w:t>Tragedy</w:t>
      </w:r>
      <w:r>
        <w:rPr>
          <w:rFonts w:cs="Calibri"/>
          <w:i/>
          <w:iCs/>
        </w:rPr>
        <w:t xml:space="preserve"> and Biblical Narrative</w:t>
      </w:r>
      <w:r>
        <w:rPr>
          <w:rFonts w:cs="Calibri"/>
        </w:rPr>
        <w:t xml:space="preserve"> (Cambridge: Cambridge University Press, 1992), 130.</w:t>
      </w:r>
    </w:p>
  </w:footnote>
  <w:footnote w:id="418">
    <w:p w14:paraId="0E0003B8" w14:textId="224C4627" w:rsidR="007B7018" w:rsidRPr="008610A6" w:rsidRDefault="007B7018" w:rsidP="0069227F">
      <w:pPr>
        <w:pStyle w:val="FootnoteText"/>
        <w:rPr>
          <w:iCs/>
        </w:rPr>
      </w:pPr>
      <w:r>
        <w:rPr>
          <w:rStyle w:val="FootnoteReference"/>
        </w:rPr>
        <w:footnoteRef/>
      </w:r>
      <w:r>
        <w:t xml:space="preserve"> </w:t>
      </w:r>
      <w:r w:rsidRPr="001F52A8">
        <w:rPr>
          <w:rFonts w:cs="Calibri"/>
        </w:rPr>
        <w:t>Jeremy</w:t>
      </w:r>
      <w:r>
        <w:rPr>
          <w:rFonts w:cs="Calibri"/>
        </w:rPr>
        <w:t xml:space="preserve"> Schipper,</w:t>
      </w:r>
      <w:r w:rsidRPr="001F52A8">
        <w:rPr>
          <w:rFonts w:cs="Calibri"/>
        </w:rPr>
        <w:t xml:space="preserve"> </w:t>
      </w:r>
      <w:r>
        <w:rPr>
          <w:i/>
          <w:bdr w:val="none" w:sz="0" w:space="0" w:color="auto" w:frame="1"/>
        </w:rPr>
        <w:t>Parables and Conflict in the Hebrew Bible</w:t>
      </w:r>
      <w:r>
        <w:rPr>
          <w:iCs/>
          <w:bdr w:val="none" w:sz="0" w:space="0" w:color="auto" w:frame="1"/>
        </w:rPr>
        <w:t xml:space="preserve"> (Cambridge: Cambridge University Press, 2009, 57-73.</w:t>
      </w:r>
    </w:p>
  </w:footnote>
  <w:footnote w:id="419">
    <w:p w14:paraId="1F78F6E4" w14:textId="7733F695" w:rsidR="007B7018" w:rsidRDefault="007B7018" w:rsidP="00B86BBA">
      <w:pPr>
        <w:pStyle w:val="FootnoteText"/>
      </w:pPr>
      <w:r>
        <w:rPr>
          <w:rStyle w:val="FootnoteReference"/>
        </w:rPr>
        <w:footnoteRef/>
      </w:r>
      <w:r>
        <w:t xml:space="preserve"> Cartledge, </w:t>
      </w:r>
      <w:r w:rsidRPr="00BA34A3">
        <w:rPr>
          <w:rFonts w:cs="Calibri"/>
          <w:i/>
        </w:rPr>
        <w:t>1 &amp; 2 Samuel</w:t>
      </w:r>
      <w:r>
        <w:rPr>
          <w:rFonts w:cs="Calibri"/>
          <w:iCs/>
        </w:rPr>
        <w:t>, 544.</w:t>
      </w:r>
    </w:p>
  </w:footnote>
  <w:footnote w:id="420">
    <w:p w14:paraId="319B5DEC" w14:textId="77777777" w:rsidR="007B7018" w:rsidRPr="00033BB6" w:rsidRDefault="007B7018" w:rsidP="0069227F">
      <w:pPr>
        <w:pStyle w:val="FootnoteText"/>
        <w:rPr>
          <w:iCs/>
        </w:rPr>
      </w:pPr>
      <w:r>
        <w:rPr>
          <w:rStyle w:val="FootnoteReference"/>
        </w:rPr>
        <w:footnoteRef/>
      </w:r>
      <w:r>
        <w:t xml:space="preserve"> Smith, </w:t>
      </w:r>
      <w:r w:rsidRPr="005E3935">
        <w:rPr>
          <w:rFonts w:cs="Calibri"/>
          <w:i/>
        </w:rPr>
        <w:t>Fate of Justice and Righteousness</w:t>
      </w:r>
      <w:r>
        <w:rPr>
          <w:rFonts w:cs="Calibri"/>
          <w:iCs/>
        </w:rPr>
        <w:t>, 146.</w:t>
      </w:r>
    </w:p>
  </w:footnote>
  <w:footnote w:id="421">
    <w:p w14:paraId="4AFC418F" w14:textId="77777777" w:rsidR="007B7018" w:rsidRPr="00166084" w:rsidRDefault="007B7018" w:rsidP="0073476D">
      <w:pPr>
        <w:pStyle w:val="FootnoteText"/>
      </w:pPr>
      <w:r>
        <w:rPr>
          <w:rStyle w:val="FootnoteReference"/>
        </w:rPr>
        <w:footnoteRef/>
      </w:r>
      <w:r>
        <w:t xml:space="preserve"> Cf. Auld, </w:t>
      </w:r>
      <w:r>
        <w:rPr>
          <w:i/>
          <w:iCs/>
        </w:rPr>
        <w:t>I &amp; II Samuel</w:t>
      </w:r>
      <w:r>
        <w:t>, 484.</w:t>
      </w:r>
    </w:p>
  </w:footnote>
  <w:footnote w:id="422">
    <w:p w14:paraId="5A6BB614" w14:textId="5D73E31E" w:rsidR="007B7018" w:rsidRPr="00FA0DF3" w:rsidRDefault="007B7018" w:rsidP="007049D2">
      <w:pPr>
        <w:pStyle w:val="FootnoteText"/>
        <w:rPr>
          <w:rFonts w:cstheme="minorHAnsi"/>
        </w:rPr>
      </w:pPr>
      <w:r>
        <w:rPr>
          <w:rStyle w:val="FootnoteReference"/>
        </w:rPr>
        <w:footnoteRef/>
      </w:r>
      <w:r>
        <w:t xml:space="preserve"> SuJung Shin, “</w:t>
      </w:r>
      <w:r w:rsidRPr="00FA0DF3">
        <w:rPr>
          <w:rFonts w:cstheme="minorHAnsi"/>
        </w:rPr>
        <w:t xml:space="preserve">A </w:t>
      </w:r>
      <w:r>
        <w:rPr>
          <w:rFonts w:cstheme="minorHAnsi"/>
        </w:rPr>
        <w:t>‘</w:t>
      </w:r>
      <w:r w:rsidRPr="00FA0DF3">
        <w:rPr>
          <w:rFonts w:cstheme="minorHAnsi"/>
        </w:rPr>
        <w:t>Dialogic</w:t>
      </w:r>
      <w:r>
        <w:rPr>
          <w:rFonts w:cstheme="minorHAnsi"/>
        </w:rPr>
        <w:t>’</w:t>
      </w:r>
      <w:r w:rsidRPr="00FA0DF3">
        <w:rPr>
          <w:rFonts w:cstheme="minorHAnsi"/>
        </w:rPr>
        <w:t xml:space="preserve"> Hero David </w:t>
      </w:r>
      <w:r>
        <w:rPr>
          <w:rFonts w:cstheme="minorHAnsi"/>
        </w:rPr>
        <w:t>f</w:t>
      </w:r>
      <w:r w:rsidRPr="00FA0DF3">
        <w:rPr>
          <w:rFonts w:cstheme="minorHAnsi"/>
        </w:rPr>
        <w:t xml:space="preserve">rom </w:t>
      </w:r>
      <w:r>
        <w:rPr>
          <w:rFonts w:cstheme="minorHAnsi"/>
        </w:rPr>
        <w:t>t</w:t>
      </w:r>
      <w:r w:rsidRPr="00FA0DF3">
        <w:rPr>
          <w:rFonts w:cstheme="minorHAnsi"/>
        </w:rPr>
        <w:t xml:space="preserve">he Perspective </w:t>
      </w:r>
      <w:r>
        <w:rPr>
          <w:rFonts w:cstheme="minorHAnsi"/>
        </w:rPr>
        <w:t>o</w:t>
      </w:r>
      <w:r w:rsidRPr="00FA0DF3">
        <w:rPr>
          <w:rFonts w:cstheme="minorHAnsi"/>
        </w:rPr>
        <w:t>f</w:t>
      </w:r>
      <w:r>
        <w:rPr>
          <w:rFonts w:cstheme="minorHAnsi"/>
        </w:rPr>
        <w:t xml:space="preserve"> ‘</w:t>
      </w:r>
      <w:r w:rsidRPr="00FA0DF3">
        <w:rPr>
          <w:rFonts w:cstheme="minorHAnsi"/>
        </w:rPr>
        <w:t>Internally Persuasive Word</w:t>
      </w:r>
      <w:r>
        <w:rPr>
          <w:rFonts w:cstheme="minorHAnsi"/>
        </w:rPr>
        <w:t>’</w:t>
      </w:r>
      <w:r w:rsidRPr="00FA0DF3">
        <w:rPr>
          <w:rFonts w:cstheme="minorHAnsi"/>
        </w:rPr>
        <w:t xml:space="preserve"> </w:t>
      </w:r>
      <w:r>
        <w:rPr>
          <w:rFonts w:cstheme="minorHAnsi"/>
        </w:rPr>
        <w:t>i</w:t>
      </w:r>
      <w:r w:rsidRPr="00FA0DF3">
        <w:rPr>
          <w:rFonts w:cstheme="minorHAnsi"/>
        </w:rPr>
        <w:t xml:space="preserve">n </w:t>
      </w:r>
      <w:r>
        <w:rPr>
          <w:rFonts w:cstheme="minorHAnsi"/>
        </w:rPr>
        <w:t>t</w:t>
      </w:r>
      <w:r w:rsidRPr="00FA0DF3">
        <w:rPr>
          <w:rFonts w:cstheme="minorHAnsi"/>
        </w:rPr>
        <w:t xml:space="preserve">he Narrative </w:t>
      </w:r>
      <w:r>
        <w:rPr>
          <w:rFonts w:cstheme="minorHAnsi"/>
        </w:rPr>
        <w:t xml:space="preserve">of </w:t>
      </w:r>
      <w:r w:rsidRPr="00FA0DF3">
        <w:rPr>
          <w:rFonts w:cstheme="minorHAnsi"/>
        </w:rPr>
        <w:t>Samuel</w:t>
      </w:r>
      <w:r>
        <w:rPr>
          <w:rFonts w:cstheme="minorHAnsi"/>
        </w:rPr>
        <w:t xml:space="preserve">,” in Ahn, </w:t>
      </w:r>
      <w:r w:rsidRPr="002E26DB">
        <w:rPr>
          <w:rFonts w:cstheme="minorHAnsi"/>
          <w:i/>
          <w:iCs/>
        </w:rPr>
        <w:t>Landscapes</w:t>
      </w:r>
      <w:r>
        <w:rPr>
          <w:rFonts w:cstheme="minorHAnsi"/>
        </w:rPr>
        <w:t>, 59-72</w:t>
      </w:r>
      <w:r w:rsidRPr="00FA0DF3">
        <w:rPr>
          <w:rFonts w:cstheme="minorHAnsi"/>
        </w:rPr>
        <w:t xml:space="preserve"> </w:t>
      </w:r>
      <w:r>
        <w:rPr>
          <w:rFonts w:cstheme="minorHAnsi"/>
        </w:rPr>
        <w:t>(</w:t>
      </w:r>
      <w:r w:rsidRPr="00FA0DF3">
        <w:rPr>
          <w:rFonts w:cstheme="minorHAnsi"/>
        </w:rPr>
        <w:t>70, 71</w:t>
      </w:r>
      <w:r>
        <w:rPr>
          <w:rFonts w:cstheme="minorHAnsi"/>
        </w:rPr>
        <w:t>).</w:t>
      </w:r>
    </w:p>
  </w:footnote>
  <w:footnote w:id="423">
    <w:p w14:paraId="6557725D" w14:textId="6150CAFA" w:rsidR="007B7018" w:rsidRDefault="007B7018">
      <w:pPr>
        <w:pStyle w:val="FootnoteText"/>
      </w:pPr>
      <w:r>
        <w:rPr>
          <w:rStyle w:val="FootnoteReference"/>
        </w:rPr>
        <w:footnoteRef/>
      </w:r>
      <w:r>
        <w:t xml:space="preserve"> Barron, </w:t>
      </w:r>
      <w:r>
        <w:rPr>
          <w:i/>
          <w:iCs/>
        </w:rPr>
        <w:t>2 Samuel</w:t>
      </w:r>
      <w:r>
        <w:t>,</w:t>
      </w:r>
      <w:r>
        <w:rPr>
          <w:i/>
          <w:iCs/>
        </w:rPr>
        <w:t xml:space="preserve"> </w:t>
      </w:r>
      <w:r>
        <w:t>141.</w:t>
      </w:r>
    </w:p>
  </w:footnote>
  <w:footnote w:id="424">
    <w:p w14:paraId="172D292B" w14:textId="21F99D00" w:rsidR="007B7018" w:rsidRDefault="007B7018" w:rsidP="005D4302">
      <w:pPr>
        <w:pStyle w:val="FootnoteText"/>
      </w:pPr>
      <w:r>
        <w:rPr>
          <w:rStyle w:val="FootnoteReference"/>
        </w:rPr>
        <w:footnoteRef/>
      </w:r>
      <w:r>
        <w:t xml:space="preserve"> With two past yiqtols and six weqatals (J. P. </w:t>
      </w:r>
      <w:r w:rsidRPr="001F52A8">
        <w:rPr>
          <w:rFonts w:cs="Calibri"/>
        </w:rPr>
        <w:t xml:space="preserve">Fokkelman, </w:t>
      </w:r>
      <w:r w:rsidRPr="001F52A8">
        <w:rPr>
          <w:rFonts w:cs="Calibri"/>
          <w:i/>
          <w:iCs/>
        </w:rPr>
        <w:t>Narrative Art and Poetry in the Books of Samuel</w:t>
      </w:r>
      <w:r w:rsidRPr="001F52A8">
        <w:rPr>
          <w:rFonts w:cs="Calibri"/>
        </w:rPr>
        <w:t xml:space="preserve">. Vol. 1. </w:t>
      </w:r>
      <w:r w:rsidRPr="001F52A8">
        <w:rPr>
          <w:rFonts w:cs="Calibri"/>
          <w:i/>
          <w:iCs/>
        </w:rPr>
        <w:t>King David (II Sam. 9. – 20 &amp; 1 Kings 1 – 2)</w:t>
      </w:r>
      <w:r>
        <w:rPr>
          <w:rFonts w:cs="Calibri"/>
        </w:rPr>
        <w:t xml:space="preserve"> (</w:t>
      </w:r>
      <w:r w:rsidRPr="001F52A8">
        <w:rPr>
          <w:rFonts w:cs="Calibri"/>
        </w:rPr>
        <w:t>Assen: van Gorcum, 1981</w:t>
      </w:r>
      <w:r>
        <w:rPr>
          <w:rFonts w:cs="Calibri"/>
        </w:rPr>
        <w:t>), 165.</w:t>
      </w:r>
    </w:p>
  </w:footnote>
  <w:footnote w:id="425">
    <w:p w14:paraId="48E5FEAD" w14:textId="07F7CE92" w:rsidR="007B7018" w:rsidRPr="00FB10AB" w:rsidRDefault="007B7018">
      <w:pPr>
        <w:pStyle w:val="FootnoteText"/>
      </w:pPr>
      <w:r>
        <w:rPr>
          <w:rStyle w:val="FootnoteReference"/>
        </w:rPr>
        <w:footnoteRef/>
      </w:r>
      <w:r>
        <w:t xml:space="preserve"> </w:t>
      </w:r>
      <w:r w:rsidRPr="001F52A8">
        <w:rPr>
          <w:rFonts w:cs="Calibri"/>
        </w:rPr>
        <w:t xml:space="preserve">Fokkelman, </w:t>
      </w:r>
      <w:r w:rsidRPr="001F52A8">
        <w:rPr>
          <w:rFonts w:cs="Calibri"/>
          <w:i/>
          <w:iCs/>
        </w:rPr>
        <w:t>Narrative Art</w:t>
      </w:r>
      <w:r>
        <w:rPr>
          <w:rFonts w:cs="Calibri"/>
          <w:i/>
          <w:iCs/>
        </w:rPr>
        <w:t xml:space="preserve"> </w:t>
      </w:r>
      <w:r>
        <w:rPr>
          <w:rFonts w:cs="Calibri"/>
        </w:rPr>
        <w:t>2:170.</w:t>
      </w:r>
    </w:p>
  </w:footnote>
  <w:footnote w:id="426">
    <w:p w14:paraId="1D74E00C" w14:textId="77777777" w:rsidR="00B71032" w:rsidRPr="005A6988" w:rsidRDefault="00B71032" w:rsidP="00B71032">
      <w:pPr>
        <w:pStyle w:val="FootnoteText"/>
      </w:pPr>
      <w:r>
        <w:rPr>
          <w:rStyle w:val="FootnoteReference"/>
        </w:rPr>
        <w:footnoteRef/>
      </w:r>
      <w:r>
        <w:t xml:space="preserve"> Bar-Efrat, </w:t>
      </w:r>
      <w:r w:rsidRPr="001F52A8">
        <w:rPr>
          <w:rFonts w:cs="Calibri"/>
          <w:i/>
          <w:iCs/>
        </w:rPr>
        <w:t>Narrative Art</w:t>
      </w:r>
      <w:r>
        <w:rPr>
          <w:rFonts w:cs="Calibri"/>
        </w:rPr>
        <w:t>, 223-37.</w:t>
      </w:r>
    </w:p>
  </w:footnote>
  <w:footnote w:id="427">
    <w:p w14:paraId="68282103" w14:textId="568CBF8E" w:rsidR="007B7018" w:rsidRDefault="007B7018">
      <w:pPr>
        <w:pStyle w:val="FootnoteText"/>
      </w:pPr>
      <w:r>
        <w:rPr>
          <w:rStyle w:val="FootnoteReference"/>
        </w:rPr>
        <w:footnoteRef/>
      </w:r>
      <w:r>
        <w:t xml:space="preserve"> </w:t>
      </w:r>
      <w:r>
        <w:rPr>
          <w:rFonts w:ascii="Calibri" w:hAnsi="Calibri" w:cs="Calibri"/>
          <w:color w:val="000000"/>
        </w:rPr>
        <w:t xml:space="preserve">Andrew </w:t>
      </w:r>
      <w:r>
        <w:rPr>
          <w:rFonts w:cs="Calibri"/>
        </w:rPr>
        <w:t xml:space="preserve">Willet, </w:t>
      </w:r>
      <w:r>
        <w:rPr>
          <w:rFonts w:cs="Calibri"/>
          <w:i/>
          <w:iCs/>
        </w:rPr>
        <w:t>An Harmonie upon the Second Booke of Samuel . . . .</w:t>
      </w:r>
      <w:r>
        <w:rPr>
          <w:rFonts w:cs="Calibri"/>
        </w:rPr>
        <w:t xml:space="preserve"> (Cambridge: Universitie of Cambridge, 1614</w:t>
      </w:r>
      <w:r>
        <w:rPr>
          <w:rFonts w:ascii="Calibri" w:hAnsi="Calibri" w:cs="Calibri"/>
          <w:color w:val="000000"/>
        </w:rPr>
        <w:t>), 98.</w:t>
      </w:r>
    </w:p>
  </w:footnote>
  <w:footnote w:id="428">
    <w:p w14:paraId="6BE0BDEF" w14:textId="187E6202" w:rsidR="007B7018" w:rsidRDefault="007B7018" w:rsidP="00776AD0">
      <w:pPr>
        <w:pStyle w:val="FootnoteText"/>
      </w:pPr>
      <w:r>
        <w:rPr>
          <w:rStyle w:val="FootnoteReference"/>
        </w:rPr>
        <w:footnoteRef/>
      </w:r>
      <w:r>
        <w:t xml:space="preserve"> On interpretations of who is telling the truth between these two, see Jeremy Schipper, </w:t>
      </w:r>
      <w:r w:rsidRPr="001F52A8">
        <w:rPr>
          <w:i/>
          <w:bdr w:val="none" w:sz="0" w:space="0" w:color="auto" w:frame="1"/>
        </w:rPr>
        <w:t>Disability Studies and the Hebrew Bible: Figuring Mephibosheth in the David Story</w:t>
      </w:r>
      <w:r>
        <w:rPr>
          <w:i/>
          <w:bdr w:val="none" w:sz="0" w:space="0" w:color="auto" w:frame="1"/>
        </w:rPr>
        <w:t xml:space="preserve">, </w:t>
      </w:r>
      <w:r w:rsidRPr="001F52A8">
        <w:rPr>
          <w:iCs/>
          <w:bdr w:val="none" w:sz="0" w:space="0" w:color="auto" w:frame="1"/>
        </w:rPr>
        <w:t xml:space="preserve">LHBOTS 441 </w:t>
      </w:r>
      <w:r>
        <w:rPr>
          <w:iCs/>
          <w:bdr w:val="none" w:sz="0" w:space="0" w:color="auto" w:frame="1"/>
        </w:rPr>
        <w:t>(</w:t>
      </w:r>
      <w:r w:rsidRPr="001F52A8">
        <w:rPr>
          <w:iCs/>
          <w:bdr w:val="none" w:sz="0" w:space="0" w:color="auto" w:frame="1"/>
        </w:rPr>
        <w:t>London: T &amp; T Clark, 2006</w:t>
      </w:r>
      <w:r>
        <w:rPr>
          <w:iCs/>
          <w:bdr w:val="none" w:sz="0" w:space="0" w:color="auto" w:frame="1"/>
        </w:rPr>
        <w:t xml:space="preserve">), </w:t>
      </w:r>
      <w:r>
        <w:t>49-60.</w:t>
      </w:r>
    </w:p>
  </w:footnote>
  <w:footnote w:id="429">
    <w:p w14:paraId="40C2644B" w14:textId="24E7AC27" w:rsidR="007B7018" w:rsidRDefault="007B7018" w:rsidP="003E097F">
      <w:pPr>
        <w:pStyle w:val="FootnoteText"/>
      </w:pPr>
      <w:r>
        <w:rPr>
          <w:rStyle w:val="FootnoteReference"/>
        </w:rPr>
        <w:footnoteRef/>
      </w:r>
      <w:r>
        <w:t xml:space="preserve"> Anthony F. Campbell, </w:t>
      </w:r>
      <w:r>
        <w:rPr>
          <w:rFonts w:cs="Calibri"/>
          <w:i/>
        </w:rPr>
        <w:t>2</w:t>
      </w:r>
      <w:r w:rsidRPr="00BA34A3">
        <w:rPr>
          <w:rFonts w:cs="Calibri"/>
          <w:i/>
        </w:rPr>
        <w:t xml:space="preserve"> Samuel</w:t>
      </w:r>
      <w:r>
        <w:rPr>
          <w:rFonts w:cs="Calibri"/>
        </w:rPr>
        <w:t xml:space="preserve">, </w:t>
      </w:r>
      <w:r w:rsidRPr="00BA34A3">
        <w:rPr>
          <w:rFonts w:cs="Calibri"/>
        </w:rPr>
        <w:t>FOTL</w:t>
      </w:r>
      <w:r>
        <w:rPr>
          <w:rFonts w:cs="Calibri"/>
        </w:rPr>
        <w:t xml:space="preserve"> 8</w:t>
      </w:r>
      <w:r w:rsidRPr="00BA34A3">
        <w:rPr>
          <w:rFonts w:cs="Calibri"/>
        </w:rPr>
        <w:t xml:space="preserve"> </w:t>
      </w:r>
      <w:r>
        <w:rPr>
          <w:rFonts w:cs="Calibri"/>
        </w:rPr>
        <w:t>(</w:t>
      </w:r>
      <w:r w:rsidRPr="00BA34A3">
        <w:rPr>
          <w:rFonts w:cs="Calibri"/>
        </w:rPr>
        <w:t>Grand Rapids: Eerdmans, 200</w:t>
      </w:r>
      <w:r>
        <w:rPr>
          <w:rFonts w:cs="Calibri"/>
        </w:rPr>
        <w:t xml:space="preserve">5), 135; cf. </w:t>
      </w:r>
      <w:r w:rsidRPr="00BC2F86">
        <w:t xml:space="preserve">Rachelle Gilmour, </w:t>
      </w:r>
      <w:r w:rsidRPr="00BC2F86">
        <w:rPr>
          <w:rFonts w:cstheme="minorHAnsi"/>
          <w:i/>
          <w:iCs/>
        </w:rPr>
        <w:t xml:space="preserve">Representing the Past: </w:t>
      </w:r>
      <w:r w:rsidRPr="00BC2F86">
        <w:rPr>
          <w:rFonts w:ascii="Calibri" w:hAnsi="Calibri" w:cs="Calibri"/>
          <w:i/>
          <w:iCs/>
        </w:rPr>
        <w:t>A Literary Analysis of Narrative Historiography in</w:t>
      </w:r>
      <w:r w:rsidRPr="00BC2F86">
        <w:rPr>
          <w:rFonts w:cs="Calibri"/>
          <w:i/>
          <w:iCs/>
        </w:rPr>
        <w:t xml:space="preserve"> the Book of Samuel</w:t>
      </w:r>
      <w:r>
        <w:rPr>
          <w:rFonts w:cs="Calibri"/>
        </w:rPr>
        <w:t xml:space="preserve">, </w:t>
      </w:r>
      <w:r w:rsidRPr="00BC2F86">
        <w:rPr>
          <w:rFonts w:cs="Calibri"/>
        </w:rPr>
        <w:t xml:space="preserve">VTSup 143 </w:t>
      </w:r>
      <w:r>
        <w:rPr>
          <w:rFonts w:cs="Calibri"/>
        </w:rPr>
        <w:t>(</w:t>
      </w:r>
      <w:r w:rsidRPr="00BC2F86">
        <w:rPr>
          <w:rFonts w:cs="Calibri"/>
        </w:rPr>
        <w:t>Leiden: Brill, 2011),</w:t>
      </w:r>
      <w:r>
        <w:rPr>
          <w:rFonts w:cs="Calibri"/>
        </w:rPr>
        <w:t xml:space="preserve"> 198-99.</w:t>
      </w:r>
    </w:p>
  </w:footnote>
  <w:footnote w:id="430">
    <w:p w14:paraId="49D8F632" w14:textId="03057F84" w:rsidR="007B7018" w:rsidRPr="008F6D45" w:rsidRDefault="007B7018" w:rsidP="00731E68">
      <w:pPr>
        <w:pStyle w:val="FootnoteText"/>
      </w:pPr>
      <w:r>
        <w:rPr>
          <w:rStyle w:val="FootnoteReference"/>
        </w:rPr>
        <w:footnoteRef/>
      </w:r>
      <w:r>
        <w:t xml:space="preserve"> See Gillian Keys, </w:t>
      </w:r>
      <w:r>
        <w:rPr>
          <w:i/>
          <w:iCs/>
        </w:rPr>
        <w:t xml:space="preserve">The Wages of Sin: </w:t>
      </w:r>
      <w:r w:rsidRPr="001F52A8">
        <w:rPr>
          <w:rFonts w:cs="Calibri"/>
          <w:i/>
        </w:rPr>
        <w:t>A Reappraisal of the “Succession Narrative”</w:t>
      </w:r>
      <w:r>
        <w:rPr>
          <w:rFonts w:cs="Calibri"/>
        </w:rPr>
        <w:t xml:space="preserve">, </w:t>
      </w:r>
      <w:r>
        <w:t>JSOTSup 221 (Sheffield: Sheffield Academic, 1996).</w:t>
      </w:r>
    </w:p>
  </w:footnote>
  <w:footnote w:id="431">
    <w:p w14:paraId="49E16239" w14:textId="1F2ED65B" w:rsidR="007B7018" w:rsidRPr="00272D98" w:rsidRDefault="007B7018">
      <w:pPr>
        <w:pStyle w:val="FootnoteText"/>
      </w:pPr>
      <w:r>
        <w:rPr>
          <w:rStyle w:val="FootnoteReference"/>
        </w:rPr>
        <w:footnoteRef/>
      </w:r>
      <w:r>
        <w:t xml:space="preserve"> </w:t>
      </w:r>
      <w:r>
        <w:rPr>
          <w:rFonts w:eastAsia="Times New Roman" w:cs="Calibri"/>
        </w:rPr>
        <w:t>V</w:t>
      </w:r>
      <w:r w:rsidRPr="00AB6524">
        <w:rPr>
          <w:rFonts w:eastAsia="Times New Roman" w:cs="Calibri"/>
        </w:rPr>
        <w:t xml:space="preserve">an </w:t>
      </w:r>
      <w:r w:rsidRPr="00AB6524">
        <w:t>Wijk-bos</w:t>
      </w:r>
      <w:r>
        <w:t xml:space="preserve">, </w:t>
      </w:r>
      <w:r w:rsidRPr="00115534">
        <w:rPr>
          <w:rFonts w:eastAsia="Times New Roman" w:cs="Calibri"/>
          <w:i/>
          <w:iCs/>
          <w:color w:val="3A3A3A"/>
        </w:rPr>
        <w:t xml:space="preserve">A </w:t>
      </w:r>
      <w:r>
        <w:rPr>
          <w:rFonts w:eastAsia="Times New Roman" w:cs="Calibri"/>
          <w:i/>
          <w:iCs/>
          <w:color w:val="3A3A3A"/>
        </w:rPr>
        <w:t>P</w:t>
      </w:r>
      <w:r w:rsidRPr="00115534">
        <w:rPr>
          <w:rFonts w:eastAsia="Times New Roman" w:cs="Calibri"/>
          <w:i/>
          <w:iCs/>
          <w:color w:val="3A3A3A"/>
        </w:rPr>
        <w:t xml:space="preserve">eople and a </w:t>
      </w:r>
      <w:r>
        <w:rPr>
          <w:rFonts w:eastAsia="Times New Roman" w:cs="Calibri"/>
          <w:i/>
          <w:iCs/>
          <w:color w:val="3A3A3A"/>
        </w:rPr>
        <w:t>L</w:t>
      </w:r>
      <w:r w:rsidRPr="00115534">
        <w:rPr>
          <w:rFonts w:eastAsia="Times New Roman" w:cs="Calibri"/>
          <w:i/>
          <w:iCs/>
          <w:color w:val="3A3A3A"/>
        </w:rPr>
        <w:t>and</w:t>
      </w:r>
      <w:r>
        <w:rPr>
          <w:rFonts w:eastAsia="Times New Roman" w:cs="Calibri"/>
          <w:i/>
          <w:iCs/>
          <w:color w:val="3A3A3A"/>
        </w:rPr>
        <w:t xml:space="preserve"> 2</w:t>
      </w:r>
      <w:r>
        <w:rPr>
          <w:rFonts w:eastAsia="Times New Roman" w:cs="Calibri"/>
          <w:color w:val="3A3A3A"/>
        </w:rPr>
        <w:t>, on the passage.</w:t>
      </w:r>
    </w:p>
  </w:footnote>
  <w:footnote w:id="432">
    <w:p w14:paraId="576A2D2C" w14:textId="11A05DA6" w:rsidR="007B7018" w:rsidRDefault="007B7018" w:rsidP="00EF52C2">
      <w:pPr>
        <w:pStyle w:val="FootnoteText"/>
      </w:pPr>
      <w:r>
        <w:rPr>
          <w:rStyle w:val="FootnoteReference"/>
        </w:rPr>
        <w:footnoteRef/>
      </w:r>
      <w:r>
        <w:t xml:space="preserve"> Polzin, </w:t>
      </w:r>
      <w:r>
        <w:rPr>
          <w:rFonts w:cs="Calibri"/>
          <w:i/>
        </w:rPr>
        <w:t>David</w:t>
      </w:r>
      <w:r>
        <w:rPr>
          <w:rFonts w:cs="Calibri"/>
          <w:iCs/>
        </w:rPr>
        <w:t>,</w:t>
      </w:r>
      <w:r>
        <w:t xml:space="preserve"> 176-77.</w:t>
      </w:r>
    </w:p>
  </w:footnote>
  <w:footnote w:id="433">
    <w:p w14:paraId="52B02996" w14:textId="77777777" w:rsidR="007B7018" w:rsidRPr="00372449" w:rsidRDefault="007B7018" w:rsidP="00960350">
      <w:pPr>
        <w:pStyle w:val="FootnoteText"/>
        <w:rPr>
          <w:iCs/>
        </w:rPr>
      </w:pPr>
      <w:r>
        <w:rPr>
          <w:rStyle w:val="FootnoteReference"/>
        </w:rPr>
        <w:footnoteRef/>
      </w:r>
      <w:r>
        <w:t xml:space="preserve"> Smith, </w:t>
      </w:r>
      <w:r w:rsidRPr="005E3935">
        <w:rPr>
          <w:rFonts w:cs="Calibri"/>
          <w:i/>
        </w:rPr>
        <w:t>Fate of Justice and Righteousness</w:t>
      </w:r>
      <w:r>
        <w:rPr>
          <w:rFonts w:cs="Calibri"/>
          <w:iCs/>
        </w:rPr>
        <w:t>, 187-88.</w:t>
      </w:r>
    </w:p>
  </w:footnote>
  <w:footnote w:id="434">
    <w:p w14:paraId="1A7AABF4" w14:textId="77777777" w:rsidR="007B7018" w:rsidRDefault="007B7018" w:rsidP="00DC4FFC">
      <w:pPr>
        <w:pStyle w:val="FootnoteText"/>
      </w:pPr>
      <w:r>
        <w:rPr>
          <w:rStyle w:val="FootnoteReference"/>
        </w:rPr>
        <w:footnoteRef/>
      </w:r>
      <w:r>
        <w:t xml:space="preserve"> William Shakespeare, Hamlet, Act I, Scene 4. </w:t>
      </w:r>
    </w:p>
  </w:footnote>
  <w:footnote w:id="435">
    <w:p w14:paraId="4DBEE0FA" w14:textId="04F45D28" w:rsidR="007B7018" w:rsidRPr="00CF646B" w:rsidRDefault="007B7018">
      <w:pPr>
        <w:pStyle w:val="FootnoteText"/>
      </w:pPr>
      <w:r>
        <w:rPr>
          <w:rStyle w:val="FootnoteReference"/>
        </w:rPr>
        <w:footnoteRef/>
      </w:r>
      <w:r>
        <w:t xml:space="preserve"> See Karl Barth, </w:t>
      </w:r>
      <w:r>
        <w:rPr>
          <w:i/>
          <w:iCs/>
        </w:rPr>
        <w:t>Church Dogmatics</w:t>
      </w:r>
      <w:r>
        <w:t xml:space="preserve"> III/4 (reprinted London: T &amp; T Clark, 2010), 81.</w:t>
      </w:r>
    </w:p>
  </w:footnote>
  <w:footnote w:id="436">
    <w:p w14:paraId="107693E1" w14:textId="77777777" w:rsidR="007B7018" w:rsidRDefault="007B7018" w:rsidP="0048732B">
      <w:pPr>
        <w:pStyle w:val="FootnoteText"/>
      </w:pPr>
      <w:r>
        <w:rPr>
          <w:rStyle w:val="FootnoteReference"/>
        </w:rPr>
        <w:footnoteRef/>
      </w:r>
      <w:r>
        <w:t xml:space="preserve"> Michael Widmer</w:t>
      </w:r>
      <w:r w:rsidRPr="001E422C">
        <w:rPr>
          <w:rFonts w:cstheme="minorHAnsi"/>
        </w:rPr>
        <w:t xml:space="preserve">, </w:t>
      </w:r>
      <w:r w:rsidRPr="001E422C">
        <w:rPr>
          <w:rFonts w:cstheme="minorHAnsi"/>
          <w:i/>
          <w:iCs/>
        </w:rPr>
        <w:t>Standing in the Breach: An Old Testament Theology and Spirituality of Intercessory Prayer</w:t>
      </w:r>
      <w:r>
        <w:rPr>
          <w:rFonts w:cstheme="minorHAnsi"/>
        </w:rPr>
        <w:t xml:space="preserve"> (Winona Lake, IN: Eisenbrauns, 2015)</w:t>
      </w:r>
      <w:r>
        <w:t>, 229.</w:t>
      </w:r>
    </w:p>
  </w:footnote>
  <w:footnote w:id="437">
    <w:p w14:paraId="664DE5F9" w14:textId="18FC6E77" w:rsidR="007B7018" w:rsidRDefault="007B7018">
      <w:pPr>
        <w:pStyle w:val="FootnoteText"/>
      </w:pPr>
      <w:r>
        <w:rPr>
          <w:rStyle w:val="FootnoteReference"/>
        </w:rPr>
        <w:footnoteRef/>
      </w:r>
      <w:r>
        <w:t xml:space="preserve"> Arnold A. </w:t>
      </w:r>
      <w:r>
        <w:rPr>
          <w:rFonts w:cs="Calibri"/>
        </w:rPr>
        <w:t xml:space="preserve">Anderson,. </w:t>
      </w:r>
      <w:r>
        <w:rPr>
          <w:rFonts w:cs="Calibri"/>
          <w:i/>
          <w:iCs/>
        </w:rPr>
        <w:t>2 Samuel</w:t>
      </w:r>
      <w:r>
        <w:rPr>
          <w:rFonts w:cs="Calibri"/>
        </w:rPr>
        <w:t>, WBC 11 (Dallas: Word, 1989), 249.</w:t>
      </w:r>
    </w:p>
  </w:footnote>
  <w:footnote w:id="438">
    <w:p w14:paraId="4A614729" w14:textId="2B8101B8" w:rsidR="007B7018" w:rsidRDefault="007B7018" w:rsidP="007062BF">
      <w:pPr>
        <w:pStyle w:val="FootnoteText"/>
      </w:pPr>
      <w:r>
        <w:rPr>
          <w:rStyle w:val="FootnoteReference"/>
        </w:rPr>
        <w:footnoteRef/>
      </w:r>
      <w:r>
        <w:t xml:space="preserve"> Cf. </w:t>
      </w:r>
      <w:r w:rsidRPr="001F52A8">
        <w:rPr>
          <w:rStyle w:val="addmd"/>
          <w:rFonts w:cstheme="minorHAnsi"/>
          <w:color w:val="333333"/>
          <w:shd w:val="clear" w:color="auto" w:fill="FFFFFF"/>
        </w:rPr>
        <w:t>László T.</w:t>
      </w:r>
      <w:r>
        <w:rPr>
          <w:rStyle w:val="addmd"/>
          <w:rFonts w:cstheme="minorHAnsi"/>
          <w:color w:val="333333"/>
          <w:shd w:val="clear" w:color="auto" w:fill="FFFFFF"/>
        </w:rPr>
        <w:t xml:space="preserve"> </w:t>
      </w:r>
      <w:r w:rsidRPr="001F52A8">
        <w:rPr>
          <w:rFonts w:cstheme="minorHAnsi"/>
        </w:rPr>
        <w:t xml:space="preserve">Simon, </w:t>
      </w:r>
      <w:r w:rsidRPr="0059742C">
        <w:rPr>
          <w:rFonts w:cstheme="minorHAnsi"/>
          <w:i/>
          <w:iCs/>
          <w:color w:val="333333"/>
        </w:rPr>
        <w:t>Identity and Identification: An Exegetical and Theological Study of 2 Sam 21 – 24</w:t>
      </w:r>
      <w:r>
        <w:rPr>
          <w:rFonts w:cstheme="minorHAnsi"/>
          <w:color w:val="333333"/>
        </w:rPr>
        <w:t xml:space="preserve">, Tesi Gregoriana Serie Teologia 64 (Rome: Gregorian University Press, 2000), 70; </w:t>
      </w:r>
      <w:r>
        <w:t>LXX and Vg make this distinction, but Tg and modern English translations do not.</w:t>
      </w:r>
    </w:p>
  </w:footnote>
  <w:footnote w:id="439">
    <w:p w14:paraId="2F8CDA15" w14:textId="610C3AEE" w:rsidR="007B7018" w:rsidRDefault="007B7018">
      <w:pPr>
        <w:pStyle w:val="FootnoteText"/>
      </w:pPr>
      <w:r>
        <w:rPr>
          <w:rStyle w:val="FootnoteReference"/>
        </w:rPr>
        <w:footnoteRef/>
      </w:r>
      <w:r>
        <w:t xml:space="preserve"> Cf. </w:t>
      </w:r>
      <w:r w:rsidRPr="00304C47">
        <w:t>You, “</w:t>
      </w:r>
      <w:r w:rsidRPr="00304C47">
        <w:rPr>
          <w:rFonts w:ascii="Calibri" w:hAnsi="Calibri" w:cs="Calibri"/>
        </w:rPr>
        <w:t>The Historian’s Heroines</w:t>
      </w:r>
      <w:r>
        <w:rPr>
          <w:rFonts w:ascii="Calibri" w:hAnsi="Calibri" w:cs="Calibri"/>
        </w:rPr>
        <w:t>,” 194.</w:t>
      </w:r>
    </w:p>
  </w:footnote>
  <w:footnote w:id="440">
    <w:p w14:paraId="37581642" w14:textId="6A75AD3B" w:rsidR="007B7018" w:rsidRPr="00180691" w:rsidRDefault="007B7018">
      <w:pPr>
        <w:pStyle w:val="FootnoteText"/>
      </w:pPr>
      <w:r>
        <w:rPr>
          <w:rStyle w:val="FootnoteReference"/>
        </w:rPr>
        <w:footnoteRef/>
      </w:r>
      <w:r>
        <w:t xml:space="preserve"> Cf. the South African response to the story recorded by Gerald West, “Reading on the Boundaries: Reading 2 Samuel 21:1-14 with Rizpah,” </w:t>
      </w:r>
      <w:r>
        <w:rPr>
          <w:i/>
          <w:iCs/>
        </w:rPr>
        <w:t>Scriptura</w:t>
      </w:r>
      <w:r>
        <w:t xml:space="preserve"> 63 (1997): 527-37 (529).</w:t>
      </w:r>
    </w:p>
  </w:footnote>
  <w:footnote w:id="441">
    <w:p w14:paraId="19453996" w14:textId="7AD89F29" w:rsidR="007B7018" w:rsidRDefault="007B7018">
      <w:pPr>
        <w:pStyle w:val="FootnoteText"/>
      </w:pPr>
      <w:r>
        <w:rPr>
          <w:rStyle w:val="FootnoteReference"/>
        </w:rPr>
        <w:footnoteRef/>
      </w:r>
      <w:r>
        <w:t xml:space="preserve"> Birch, </w:t>
      </w:r>
      <w:r w:rsidRPr="00BA34A3">
        <w:rPr>
          <w:rFonts w:cs="Calibri"/>
        </w:rPr>
        <w:t>“The First and Second Books of Samuel</w:t>
      </w:r>
      <w:r>
        <w:rPr>
          <w:rFonts w:cs="Calibri"/>
        </w:rPr>
        <w:t>,” in his reflections on 21:10-14.</w:t>
      </w:r>
    </w:p>
  </w:footnote>
  <w:footnote w:id="442">
    <w:p w14:paraId="3140ABDE" w14:textId="076BF1FB" w:rsidR="007B7018" w:rsidRPr="00D43A9B" w:rsidRDefault="007B7018">
      <w:pPr>
        <w:pStyle w:val="FootnoteText"/>
        <w:rPr>
          <w:iCs/>
        </w:rPr>
      </w:pPr>
      <w:r>
        <w:rPr>
          <w:rStyle w:val="FootnoteReference"/>
        </w:rPr>
        <w:footnoteRef/>
      </w:r>
      <w:r>
        <w:t xml:space="preserve"> Peterson, </w:t>
      </w:r>
      <w:r w:rsidRPr="00BA34A3">
        <w:rPr>
          <w:rFonts w:cs="Calibri"/>
          <w:i/>
        </w:rPr>
        <w:t>First and Second Samuel</w:t>
      </w:r>
      <w:r>
        <w:rPr>
          <w:rFonts w:cs="Calibri"/>
          <w:iCs/>
        </w:rPr>
        <w:t>, 243.</w:t>
      </w:r>
    </w:p>
  </w:footnote>
  <w:footnote w:id="443">
    <w:p w14:paraId="5D8CA551" w14:textId="77777777" w:rsidR="007B7018" w:rsidRDefault="007B7018" w:rsidP="00D93D1D">
      <w:pPr>
        <w:pStyle w:val="FootnoteText"/>
      </w:pPr>
      <w:r>
        <w:rPr>
          <w:rStyle w:val="FootnoteReference"/>
        </w:rPr>
        <w:footnoteRef/>
      </w:r>
      <w:r>
        <w:t xml:space="preserve"> J. Cheryl Exum, “Rizpah,” </w:t>
      </w:r>
      <w:r>
        <w:rPr>
          <w:i/>
          <w:iCs/>
        </w:rPr>
        <w:t xml:space="preserve">Word &amp; </w:t>
      </w:r>
      <w:r w:rsidRPr="00C86F8D">
        <w:t>World</w:t>
      </w:r>
      <w:r>
        <w:t xml:space="preserve"> 17 (1997): 260-68 (</w:t>
      </w:r>
      <w:r w:rsidRPr="00C86F8D">
        <w:t>264</w:t>
      </w:r>
      <w:r>
        <w:t>).</w:t>
      </w:r>
    </w:p>
  </w:footnote>
  <w:footnote w:id="444">
    <w:p w14:paraId="67A0D437" w14:textId="172A2ADC" w:rsidR="007B7018" w:rsidRDefault="007B7018">
      <w:pPr>
        <w:pStyle w:val="FootnoteText"/>
      </w:pPr>
      <w:r>
        <w:rPr>
          <w:rStyle w:val="FootnoteReference"/>
        </w:rPr>
        <w:footnoteRef/>
      </w:r>
      <w:r>
        <w:t xml:space="preserve"> Cf. West, “Reading on the Boundaries,” 530.</w:t>
      </w:r>
    </w:p>
  </w:footnote>
  <w:footnote w:id="445">
    <w:p w14:paraId="3F38ED8B" w14:textId="1BB410FB" w:rsidR="007B7018" w:rsidRDefault="007B7018">
      <w:pPr>
        <w:pStyle w:val="FootnoteText"/>
      </w:pPr>
      <w:r>
        <w:rPr>
          <w:rStyle w:val="FootnoteReference"/>
        </w:rPr>
        <w:footnoteRef/>
      </w:r>
      <w:r>
        <w:t xml:space="preserve"> Exum, </w:t>
      </w:r>
      <w:r w:rsidRPr="001F52A8">
        <w:rPr>
          <w:rFonts w:cs="Calibri"/>
          <w:i/>
          <w:iCs/>
        </w:rPr>
        <w:t>Tragedy</w:t>
      </w:r>
      <w:r>
        <w:rPr>
          <w:rFonts w:cs="Calibri"/>
          <w:i/>
          <w:iCs/>
        </w:rPr>
        <w:t xml:space="preserve"> and Biblical Narrative</w:t>
      </w:r>
      <w:r>
        <w:rPr>
          <w:rFonts w:cs="Calibri"/>
        </w:rPr>
        <w:t>, 109.</w:t>
      </w:r>
    </w:p>
  </w:footnote>
  <w:footnote w:id="446">
    <w:p w14:paraId="5ED82153" w14:textId="6AAB4050" w:rsidR="007B7018" w:rsidRPr="0013057C" w:rsidRDefault="007B7018">
      <w:pPr>
        <w:pStyle w:val="FootnoteText"/>
        <w:rPr>
          <w:iCs/>
        </w:rPr>
      </w:pPr>
      <w:r>
        <w:rPr>
          <w:rStyle w:val="FootnoteReference"/>
        </w:rPr>
        <w:footnoteRef/>
      </w:r>
      <w:r>
        <w:t xml:space="preserve"> Morrison, </w:t>
      </w:r>
      <w:r w:rsidRPr="00BA34A3">
        <w:rPr>
          <w:rFonts w:cs="Calibri"/>
          <w:i/>
        </w:rPr>
        <w:t>2 Samuel</w:t>
      </w:r>
      <w:r>
        <w:rPr>
          <w:rFonts w:cs="Calibri"/>
          <w:iCs/>
        </w:rPr>
        <w:t>, 185.</w:t>
      </w:r>
    </w:p>
  </w:footnote>
  <w:footnote w:id="447">
    <w:p w14:paraId="5B3FC6E1" w14:textId="77777777" w:rsidR="007B7018" w:rsidRPr="008B68E9" w:rsidRDefault="007B7018" w:rsidP="00937138">
      <w:pPr>
        <w:pStyle w:val="FootnoteText"/>
      </w:pPr>
      <w:r>
        <w:rPr>
          <w:rStyle w:val="FootnoteReference"/>
        </w:rPr>
        <w:footnoteRef/>
      </w:r>
      <w:r>
        <w:t xml:space="preserve"> Auld, </w:t>
      </w:r>
      <w:r>
        <w:rPr>
          <w:i/>
          <w:iCs/>
        </w:rPr>
        <w:t>I &amp; II Samuel</w:t>
      </w:r>
      <w:r>
        <w:t>, 605.</w:t>
      </w:r>
    </w:p>
  </w:footnote>
  <w:footnote w:id="448">
    <w:p w14:paraId="11F0B47D" w14:textId="371FD497" w:rsidR="007B7018" w:rsidRDefault="007B7018">
      <w:pPr>
        <w:pStyle w:val="FootnoteText"/>
      </w:pPr>
      <w:r>
        <w:rPr>
          <w:rStyle w:val="FootnoteReference"/>
        </w:rPr>
        <w:footnoteRef/>
      </w:r>
      <w:r>
        <w:t xml:space="preserve"> In </w:t>
      </w:r>
      <w:r w:rsidRPr="003C0FB3">
        <w:rPr>
          <w:rFonts w:cstheme="minorHAnsi"/>
          <w:i/>
        </w:rPr>
        <w:t>miqrā’ôt gәdôlôt</w:t>
      </w:r>
      <w:r>
        <w:rPr>
          <w:rFonts w:cstheme="minorHAnsi"/>
          <w:iCs/>
        </w:rPr>
        <w:t>, on the verse.</w:t>
      </w:r>
    </w:p>
  </w:footnote>
  <w:footnote w:id="449">
    <w:p w14:paraId="3F6F9A89" w14:textId="46328EEB" w:rsidR="007B7018" w:rsidRDefault="007B7018">
      <w:pPr>
        <w:pStyle w:val="FootnoteText"/>
      </w:pPr>
      <w:r>
        <w:rPr>
          <w:rStyle w:val="FootnoteReference"/>
        </w:rPr>
        <w:footnoteRef/>
      </w:r>
      <w:r>
        <w:t xml:space="preserve"> Peterson, </w:t>
      </w:r>
      <w:r w:rsidRPr="00BA34A3">
        <w:rPr>
          <w:rFonts w:cs="Calibri"/>
          <w:i/>
        </w:rPr>
        <w:t>First and Second Samuel</w:t>
      </w:r>
      <w:r>
        <w:rPr>
          <w:rFonts w:cs="Calibri"/>
          <w:iCs/>
        </w:rPr>
        <w:t>, 262.</w:t>
      </w:r>
    </w:p>
  </w:footnote>
  <w:footnote w:id="450">
    <w:p w14:paraId="079BC9D6" w14:textId="2F424DB1" w:rsidR="007B7018" w:rsidRPr="008B68E9" w:rsidRDefault="007B7018">
      <w:pPr>
        <w:pStyle w:val="FootnoteText"/>
      </w:pPr>
      <w:r>
        <w:rPr>
          <w:rStyle w:val="FootnoteReference"/>
        </w:rPr>
        <w:footnoteRef/>
      </w:r>
      <w:r>
        <w:t xml:space="preserve"> Auld, </w:t>
      </w:r>
      <w:r>
        <w:rPr>
          <w:i/>
          <w:iCs/>
        </w:rPr>
        <w:t>I &amp; II Samuel</w:t>
      </w:r>
      <w:r>
        <w:t>, 605.</w:t>
      </w:r>
    </w:p>
  </w:footnote>
  <w:footnote w:id="451">
    <w:p w14:paraId="6C06ACC6" w14:textId="1884A78C" w:rsidR="007B7018" w:rsidRDefault="007B7018" w:rsidP="000167F8">
      <w:pPr>
        <w:pStyle w:val="FootnoteText"/>
      </w:pPr>
      <w:r>
        <w:rPr>
          <w:rStyle w:val="FootnoteReference"/>
        </w:rPr>
        <w:footnoteRef/>
      </w:r>
      <w:r>
        <w:t xml:space="preserve"> John Mayer,</w:t>
      </w:r>
      <w:r w:rsidRPr="00CE64A6">
        <w:rPr>
          <w:rFonts w:cs="Calibri"/>
        </w:rPr>
        <w:t xml:space="preserve"> </w:t>
      </w:r>
      <w:r w:rsidRPr="00CE64A6">
        <w:rPr>
          <w:rFonts w:cs="Calibri"/>
          <w:i/>
          <w:iCs/>
        </w:rPr>
        <w:t>Many Commentaries in One</w:t>
      </w:r>
      <w:r w:rsidRPr="00CE64A6">
        <w:rPr>
          <w:rFonts w:cs="Calibri"/>
        </w:rPr>
        <w:t xml:space="preserve"> [on Joshua through Esther] </w:t>
      </w:r>
      <w:r>
        <w:rPr>
          <w:rFonts w:cs="Calibri"/>
        </w:rPr>
        <w:t>(</w:t>
      </w:r>
      <w:r w:rsidRPr="00CE64A6">
        <w:rPr>
          <w:rFonts w:cs="Calibri"/>
        </w:rPr>
        <w:t>London: William</w:t>
      </w:r>
      <w:r>
        <w:rPr>
          <w:rFonts w:cs="Calibri"/>
        </w:rPr>
        <w:t>,</w:t>
      </w:r>
      <w:r w:rsidRPr="00CE64A6">
        <w:rPr>
          <w:rFonts w:cs="Calibri"/>
        </w:rPr>
        <w:t xml:space="preserve"> 1647</w:t>
      </w:r>
      <w:r>
        <w:rPr>
          <w:rFonts w:cs="Calibri"/>
        </w:rPr>
        <w:t>),</w:t>
      </w:r>
      <w:r>
        <w:t xml:space="preserve"> 466.</w:t>
      </w:r>
    </w:p>
  </w:footnote>
  <w:footnote w:id="452">
    <w:p w14:paraId="789B524C" w14:textId="6A9646FA" w:rsidR="007B7018" w:rsidRPr="00810B76" w:rsidRDefault="007B7018" w:rsidP="00810B76">
      <w:pPr>
        <w:pStyle w:val="FootnoteText"/>
      </w:pPr>
      <w:r>
        <w:rPr>
          <w:rStyle w:val="FootnoteReference"/>
        </w:rPr>
        <w:footnoteRef/>
      </w:r>
      <w:r>
        <w:t xml:space="preserve"> So Gersonides and Abravanel, according to </w:t>
      </w:r>
      <w:r w:rsidRPr="00810B76">
        <w:rPr>
          <w:rFonts w:eastAsia="Brill-Bold" w:cstheme="minorHAnsi"/>
          <w:bCs/>
        </w:rPr>
        <w:t>Moshe C. Sosevsky</w:t>
      </w:r>
      <w:r>
        <w:rPr>
          <w:rFonts w:eastAsia="Brill-Bold" w:cstheme="minorHAnsi"/>
          <w:bCs/>
        </w:rPr>
        <w:t>,</w:t>
      </w:r>
      <w:r w:rsidRPr="00810B76">
        <w:rPr>
          <w:rFonts w:eastAsia="Brill-Bold" w:cstheme="minorHAnsi"/>
          <w:bCs/>
        </w:rPr>
        <w:t xml:space="preserve"> </w:t>
      </w:r>
      <w:r w:rsidRPr="00810B76">
        <w:rPr>
          <w:rFonts w:eastAsia="Brill-Bold" w:cstheme="minorHAnsi"/>
          <w:bCs/>
          <w:i/>
          <w:iCs/>
        </w:rPr>
        <w:t xml:space="preserve">Samuel II </w:t>
      </w:r>
      <w:r>
        <w:rPr>
          <w:rFonts w:eastAsia="Brill-Bold" w:cstheme="minorHAnsi"/>
          <w:bCs/>
        </w:rPr>
        <w:t>(</w:t>
      </w:r>
      <w:r w:rsidRPr="00810B76">
        <w:rPr>
          <w:rFonts w:eastAsia="Brill-Bold" w:cstheme="minorHAnsi"/>
          <w:bCs/>
        </w:rPr>
        <w:t>New York: Judaica, 1989</w:t>
      </w:r>
      <w:r>
        <w:rPr>
          <w:rFonts w:eastAsia="Brill-Bold" w:cstheme="minorHAnsi"/>
          <w:bCs/>
        </w:rPr>
        <w:t>), 444</w:t>
      </w:r>
      <w:r w:rsidRPr="00810B76">
        <w:rPr>
          <w:rFonts w:eastAsia="Brill-Bold" w:cstheme="minorHAnsi"/>
          <w:bCs/>
        </w:rPr>
        <w:t xml:space="preserve">. </w:t>
      </w:r>
    </w:p>
  </w:footnote>
  <w:footnote w:id="453">
    <w:p w14:paraId="21FCFC60" w14:textId="4D36A288" w:rsidR="007B7018" w:rsidRPr="006E259E" w:rsidRDefault="007B7018">
      <w:pPr>
        <w:pStyle w:val="FootnoteText"/>
      </w:pPr>
      <w:r>
        <w:rPr>
          <w:rStyle w:val="FootnoteReference"/>
        </w:rPr>
        <w:footnoteRef/>
      </w:r>
      <w:r>
        <w:t xml:space="preserve"> Willet,</w:t>
      </w:r>
      <w:r>
        <w:rPr>
          <w:rFonts w:cs="Calibri"/>
          <w:i/>
          <w:iCs/>
        </w:rPr>
        <w:t xml:space="preserve"> Harmonie</w:t>
      </w:r>
      <w:r>
        <w:rPr>
          <w:rFonts w:cs="Calibri"/>
        </w:rPr>
        <w:t>, 143.</w:t>
      </w:r>
    </w:p>
  </w:footnote>
  <w:footnote w:id="454">
    <w:p w14:paraId="29008936" w14:textId="77777777" w:rsidR="007B7018" w:rsidRDefault="007B7018" w:rsidP="0056113D">
      <w:pPr>
        <w:pStyle w:val="FootnoteText"/>
      </w:pPr>
      <w:r>
        <w:rPr>
          <w:rStyle w:val="FootnoteReference"/>
        </w:rPr>
        <w:footnoteRef/>
      </w:r>
      <w:r>
        <w:t xml:space="preserve"> See Stephen C. </w:t>
      </w:r>
      <w:r w:rsidRPr="001F52A8">
        <w:rPr>
          <w:rFonts w:cs="Calibri"/>
        </w:rPr>
        <w:t xml:space="preserve">Russell, </w:t>
      </w:r>
      <w:r w:rsidRPr="001F52A8">
        <w:rPr>
          <w:rFonts w:cs="Calibri"/>
          <w:i/>
        </w:rPr>
        <w:t>The King and the Land: A Geography of Royal Power in the Biblical World</w:t>
      </w:r>
      <w:r>
        <w:rPr>
          <w:rFonts w:cs="Calibri"/>
        </w:rPr>
        <w:t xml:space="preserve"> (</w:t>
      </w:r>
      <w:r w:rsidRPr="001F52A8">
        <w:rPr>
          <w:rFonts w:cs="Calibri"/>
        </w:rPr>
        <w:t>Oxford: Oxford University Press, 201</w:t>
      </w:r>
      <w:r>
        <w:rPr>
          <w:rFonts w:cs="Calibri"/>
        </w:rPr>
        <w:t>6), 16-38.</w:t>
      </w:r>
    </w:p>
  </w:footnote>
  <w:footnote w:id="455">
    <w:p w14:paraId="54790A6F" w14:textId="1A9E7DB6" w:rsidR="007B7018" w:rsidRDefault="007B7018">
      <w:pPr>
        <w:pStyle w:val="FootnoteText"/>
      </w:pPr>
      <w:r>
        <w:rPr>
          <w:rStyle w:val="FootnoteReference"/>
        </w:rPr>
        <w:footnoteRef/>
      </w:r>
      <w:r>
        <w:t xml:space="preserve"> Peterson, </w:t>
      </w:r>
      <w:r w:rsidRPr="00BA34A3">
        <w:rPr>
          <w:rFonts w:cs="Calibri"/>
          <w:i/>
        </w:rPr>
        <w:t>First and Second Samuel</w:t>
      </w:r>
      <w:r>
        <w:rPr>
          <w:rFonts w:cs="Calibri"/>
          <w:iCs/>
        </w:rPr>
        <w:t>, 261.</w:t>
      </w:r>
    </w:p>
  </w:footnote>
  <w:footnote w:id="456">
    <w:p w14:paraId="606F37D2" w14:textId="73E63F8A" w:rsidR="007B7018" w:rsidRDefault="007B7018">
      <w:pPr>
        <w:pStyle w:val="FootnoteText"/>
      </w:pPr>
      <w:r>
        <w:rPr>
          <w:rStyle w:val="FootnoteReference"/>
        </w:rPr>
        <w:footnoteRef/>
      </w:r>
      <w:r>
        <w:t xml:space="preserve"> Van Wijk-Bos, </w:t>
      </w:r>
      <w:r w:rsidRPr="00115534">
        <w:rPr>
          <w:rFonts w:eastAsia="Times New Roman" w:cs="Calibri"/>
          <w:i/>
          <w:iCs/>
          <w:color w:val="3A3A3A"/>
        </w:rPr>
        <w:t xml:space="preserve">A </w:t>
      </w:r>
      <w:r>
        <w:rPr>
          <w:rFonts w:eastAsia="Times New Roman" w:cs="Calibri"/>
          <w:i/>
          <w:iCs/>
          <w:color w:val="3A3A3A"/>
        </w:rPr>
        <w:t>P</w:t>
      </w:r>
      <w:r w:rsidRPr="00115534">
        <w:rPr>
          <w:rFonts w:eastAsia="Times New Roman" w:cs="Calibri"/>
          <w:i/>
          <w:iCs/>
          <w:color w:val="3A3A3A"/>
        </w:rPr>
        <w:t xml:space="preserve">eople and a </w:t>
      </w:r>
      <w:r>
        <w:rPr>
          <w:rFonts w:eastAsia="Times New Roman" w:cs="Calibri"/>
          <w:i/>
          <w:iCs/>
          <w:color w:val="3A3A3A"/>
        </w:rPr>
        <w:t>L</w:t>
      </w:r>
      <w:r w:rsidRPr="00115534">
        <w:rPr>
          <w:rFonts w:eastAsia="Times New Roman" w:cs="Calibri"/>
          <w:i/>
          <w:iCs/>
          <w:color w:val="3A3A3A"/>
        </w:rPr>
        <w:t>and</w:t>
      </w:r>
      <w:r>
        <w:rPr>
          <w:rFonts w:eastAsia="Times New Roman" w:cs="Calibri"/>
          <w:i/>
          <w:iCs/>
          <w:color w:val="3A3A3A"/>
        </w:rPr>
        <w:t xml:space="preserve"> 2</w:t>
      </w:r>
      <w:r>
        <w:rPr>
          <w:rFonts w:eastAsia="Times New Roman" w:cs="Calibri"/>
          <w:color w:val="3A3A3A"/>
        </w:rPr>
        <w:t xml:space="preserve">, in her introduction to 2 Sam 21 – 24. </w:t>
      </w:r>
    </w:p>
  </w:footnote>
  <w:footnote w:id="457">
    <w:p w14:paraId="07A2EBB7" w14:textId="77777777" w:rsidR="007B7018" w:rsidRPr="00A70495" w:rsidRDefault="007B7018" w:rsidP="00613EFF">
      <w:pPr>
        <w:pStyle w:val="FootnoteText"/>
        <w:rPr>
          <w:iCs/>
        </w:rPr>
      </w:pPr>
      <w:r>
        <w:rPr>
          <w:rStyle w:val="FootnoteReference"/>
        </w:rPr>
        <w:footnoteRef/>
      </w:r>
      <w:r>
        <w:t xml:space="preserve"> Cartledge, </w:t>
      </w:r>
      <w:r w:rsidRPr="00BA34A3">
        <w:rPr>
          <w:rFonts w:cs="Calibri"/>
          <w:i/>
        </w:rPr>
        <w:t>1 &amp; 2 Samuel</w:t>
      </w:r>
      <w:r>
        <w:rPr>
          <w:rFonts w:cs="Calibri"/>
          <w:iCs/>
        </w:rPr>
        <w:t>, 658.</w:t>
      </w:r>
    </w:p>
  </w:footnote>
  <w:footnote w:id="458">
    <w:p w14:paraId="5F7F01C4" w14:textId="3FCAA6FA" w:rsidR="007B7018" w:rsidRDefault="007B7018" w:rsidP="001B2FFB">
      <w:pPr>
        <w:pStyle w:val="FootnoteText"/>
      </w:pPr>
      <w:r>
        <w:rPr>
          <w:rStyle w:val="FootnoteReference"/>
        </w:rPr>
        <w:footnoteRef/>
      </w:r>
      <w:r>
        <w:t xml:space="preserve"> Randall C. Bailey, “</w:t>
      </w:r>
      <w:r w:rsidRPr="00C05006">
        <w:rPr>
          <w:rFonts w:ascii="Calibri" w:hAnsi="Calibri" w:cs="Calibri"/>
        </w:rPr>
        <w:t xml:space="preserve">The Redemption </w:t>
      </w:r>
      <w:r>
        <w:rPr>
          <w:rFonts w:ascii="Calibri" w:hAnsi="Calibri" w:cs="Calibri"/>
        </w:rPr>
        <w:t>o</w:t>
      </w:r>
      <w:r w:rsidRPr="00C05006">
        <w:rPr>
          <w:rFonts w:ascii="Calibri" w:hAnsi="Calibri" w:cs="Calibri"/>
        </w:rPr>
        <w:t xml:space="preserve">f Yhwh: A Literary Critical Function </w:t>
      </w:r>
      <w:r>
        <w:rPr>
          <w:rFonts w:ascii="Calibri" w:hAnsi="Calibri" w:cs="Calibri"/>
        </w:rPr>
        <w:t>o</w:t>
      </w:r>
      <w:r w:rsidRPr="00C05006">
        <w:rPr>
          <w:rFonts w:ascii="Calibri" w:hAnsi="Calibri" w:cs="Calibri"/>
        </w:rPr>
        <w:t xml:space="preserve">f </w:t>
      </w:r>
      <w:r>
        <w:rPr>
          <w:rFonts w:ascii="Calibri" w:hAnsi="Calibri" w:cs="Calibri"/>
        </w:rPr>
        <w:t>t</w:t>
      </w:r>
      <w:r w:rsidRPr="00C05006">
        <w:rPr>
          <w:rFonts w:ascii="Calibri" w:hAnsi="Calibri" w:cs="Calibri"/>
        </w:rPr>
        <w:t xml:space="preserve">he Songs </w:t>
      </w:r>
      <w:r>
        <w:rPr>
          <w:rFonts w:ascii="Calibri" w:hAnsi="Calibri" w:cs="Calibri"/>
        </w:rPr>
        <w:t>o</w:t>
      </w:r>
      <w:r w:rsidRPr="00C05006">
        <w:rPr>
          <w:rFonts w:ascii="Calibri" w:hAnsi="Calibri" w:cs="Calibri"/>
        </w:rPr>
        <w:t xml:space="preserve">f Hannah </w:t>
      </w:r>
      <w:r>
        <w:rPr>
          <w:rFonts w:ascii="Calibri" w:hAnsi="Calibri" w:cs="Calibri"/>
        </w:rPr>
        <w:t>a</w:t>
      </w:r>
      <w:r w:rsidRPr="00C05006">
        <w:rPr>
          <w:rFonts w:ascii="Calibri" w:hAnsi="Calibri" w:cs="Calibri"/>
        </w:rPr>
        <w:t>nd David</w:t>
      </w:r>
      <w:r w:rsidRPr="00C05139">
        <w:rPr>
          <w:rFonts w:ascii="Calibri" w:hAnsi="Calibri" w:cs="Calibri"/>
        </w:rPr>
        <w:t xml:space="preserve">,” </w:t>
      </w:r>
      <w:r w:rsidRPr="00C05139">
        <w:rPr>
          <w:rFonts w:ascii="Calibri" w:hAnsi="Calibri" w:cs="Calibri"/>
          <w:i/>
          <w:iCs/>
        </w:rPr>
        <w:t xml:space="preserve">BibInt </w:t>
      </w:r>
      <w:r w:rsidRPr="00C05139">
        <w:rPr>
          <w:rFonts w:ascii="Calibri" w:hAnsi="Calibri" w:cs="Calibri"/>
        </w:rPr>
        <w:t>3 (1995): 213-31 (231)..</w:t>
      </w:r>
    </w:p>
  </w:footnote>
  <w:footnote w:id="459">
    <w:p w14:paraId="3EB60B3D" w14:textId="6A14DFAC" w:rsidR="007B7018" w:rsidRDefault="007B7018">
      <w:pPr>
        <w:pStyle w:val="FootnoteText"/>
      </w:pPr>
      <w:r>
        <w:rPr>
          <w:rStyle w:val="FootnoteReference"/>
        </w:rPr>
        <w:footnoteRef/>
      </w:r>
      <w:r>
        <w:t xml:space="preserve"> So Rashi, in </w:t>
      </w:r>
      <w:r w:rsidRPr="003C0FB3">
        <w:rPr>
          <w:rFonts w:cstheme="minorHAnsi"/>
          <w:i/>
        </w:rPr>
        <w:t>miqrā’ôt gәdôlôt</w:t>
      </w:r>
      <w:r>
        <w:rPr>
          <w:rFonts w:cstheme="minorHAnsi"/>
          <w:iCs/>
        </w:rPr>
        <w:t xml:space="preserve"> on the passage.</w:t>
      </w:r>
    </w:p>
  </w:footnote>
  <w:footnote w:id="460">
    <w:p w14:paraId="21413AB6" w14:textId="77777777" w:rsidR="007B7018" w:rsidRDefault="007B7018" w:rsidP="007C02FC">
      <w:pPr>
        <w:pStyle w:val="FootnoteText"/>
      </w:pPr>
      <w:r>
        <w:rPr>
          <w:rStyle w:val="FootnoteReference"/>
        </w:rPr>
        <w:footnoteRef/>
      </w:r>
      <w:r>
        <w:t xml:space="preserve"> Firth, </w:t>
      </w:r>
      <w:r>
        <w:rPr>
          <w:rFonts w:cstheme="minorHAnsi"/>
          <w:i/>
          <w:iCs/>
        </w:rPr>
        <w:t>1 &amp; 2 Samuel</w:t>
      </w:r>
      <w:r>
        <w:rPr>
          <w:rFonts w:cstheme="minorHAnsi"/>
        </w:rPr>
        <w:t>, 519.</w:t>
      </w:r>
    </w:p>
  </w:footnote>
  <w:footnote w:id="461">
    <w:p w14:paraId="59EDC165" w14:textId="697BA880" w:rsidR="007B7018" w:rsidRDefault="007B7018" w:rsidP="00964F47">
      <w:pPr>
        <w:pStyle w:val="FootnoteText"/>
      </w:pPr>
      <w:r>
        <w:rPr>
          <w:rStyle w:val="FootnoteReference"/>
        </w:rPr>
        <w:footnoteRef/>
      </w:r>
      <w:r>
        <w:t xml:space="preserve"> See K. L. </w:t>
      </w:r>
      <w:r w:rsidRPr="001F52A8">
        <w:rPr>
          <w:rFonts w:cs="Calibri"/>
        </w:rPr>
        <w:t>Noll,</w:t>
      </w:r>
      <w:r>
        <w:rPr>
          <w:rFonts w:cs="Calibri"/>
        </w:rPr>
        <w:t xml:space="preserve"> </w:t>
      </w:r>
      <w:r w:rsidRPr="001F52A8">
        <w:rPr>
          <w:rFonts w:cs="Calibri"/>
          <w:i/>
        </w:rPr>
        <w:t>The Faces of David</w:t>
      </w:r>
      <w:r>
        <w:rPr>
          <w:rFonts w:cs="Calibri"/>
        </w:rPr>
        <w:t>, JSOTSup 242 (</w:t>
      </w:r>
      <w:r w:rsidRPr="001F52A8">
        <w:rPr>
          <w:rFonts w:cs="Calibri"/>
        </w:rPr>
        <w:t>Sheffield: Sheffield Academic, 1997</w:t>
      </w:r>
      <w:r>
        <w:rPr>
          <w:rFonts w:cs="Calibri"/>
        </w:rPr>
        <w:t>), 118-51.</w:t>
      </w:r>
    </w:p>
  </w:footnote>
  <w:footnote w:id="462">
    <w:p w14:paraId="5D7C040A" w14:textId="07DA1FC8" w:rsidR="007B7018" w:rsidRDefault="007B7018">
      <w:pPr>
        <w:pStyle w:val="FootnoteText"/>
      </w:pPr>
      <w:r>
        <w:rPr>
          <w:rStyle w:val="FootnoteReference"/>
        </w:rPr>
        <w:footnoteRef/>
      </w:r>
      <w:r>
        <w:t xml:space="preserve"> Hertzberg, </w:t>
      </w:r>
      <w:r w:rsidRPr="009A3739">
        <w:rPr>
          <w:i/>
        </w:rPr>
        <w:t>I &amp; II Samuel</w:t>
      </w:r>
      <w:r>
        <w:rPr>
          <w:iCs/>
        </w:rPr>
        <w:t>,</w:t>
      </w:r>
      <w:r>
        <w:t xml:space="preserve"> 396.</w:t>
      </w:r>
    </w:p>
  </w:footnote>
  <w:footnote w:id="463">
    <w:p w14:paraId="0BC44C6D" w14:textId="6C134504" w:rsidR="007B7018" w:rsidRPr="003B7CDC" w:rsidRDefault="007B7018">
      <w:pPr>
        <w:pStyle w:val="FootnoteText"/>
      </w:pPr>
      <w:r>
        <w:rPr>
          <w:rStyle w:val="FootnoteReference"/>
        </w:rPr>
        <w:footnoteRef/>
      </w:r>
      <w:r>
        <w:t xml:space="preserve"> Karl Barth, </w:t>
      </w:r>
      <w:r>
        <w:rPr>
          <w:i/>
          <w:iCs/>
        </w:rPr>
        <w:t>Church Dogmatics</w:t>
      </w:r>
      <w:r>
        <w:t xml:space="preserve"> II/2 (reprinted London: T &amp; T Clark, 2010), 190.</w:t>
      </w:r>
    </w:p>
  </w:footnote>
  <w:footnote w:id="464">
    <w:p w14:paraId="47E9C923" w14:textId="77777777" w:rsidR="007B7018" w:rsidRPr="00A70495" w:rsidRDefault="007B7018" w:rsidP="00D616CF">
      <w:pPr>
        <w:pStyle w:val="FootnoteText"/>
        <w:rPr>
          <w:iCs/>
        </w:rPr>
      </w:pPr>
      <w:r>
        <w:rPr>
          <w:rStyle w:val="FootnoteReference"/>
        </w:rPr>
        <w:footnoteRef/>
      </w:r>
      <w:r>
        <w:t xml:space="preserve"> Cartledge, </w:t>
      </w:r>
      <w:r w:rsidRPr="00BA34A3">
        <w:rPr>
          <w:rFonts w:cs="Calibri"/>
          <w:i/>
        </w:rPr>
        <w:t>1 &amp; 2 Samuel</w:t>
      </w:r>
      <w:r>
        <w:rPr>
          <w:rFonts w:cs="Calibri"/>
          <w:iCs/>
        </w:rPr>
        <w:t>, 658.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8F9"/>
    <w:multiLevelType w:val="hybridMultilevel"/>
    <w:tmpl w:val="461C204C"/>
    <w:lvl w:ilvl="0" w:tplc="30800006">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07657"/>
    <w:multiLevelType w:val="hybridMultilevel"/>
    <w:tmpl w:val="8448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A09DA"/>
    <w:multiLevelType w:val="hybridMultilevel"/>
    <w:tmpl w:val="10169A0C"/>
    <w:lvl w:ilvl="0" w:tplc="59128EC8">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71FD5"/>
    <w:multiLevelType w:val="hybridMultilevel"/>
    <w:tmpl w:val="CED20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A6998"/>
    <w:multiLevelType w:val="hybridMultilevel"/>
    <w:tmpl w:val="564E4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4386D"/>
    <w:multiLevelType w:val="hybridMultilevel"/>
    <w:tmpl w:val="D10C6B20"/>
    <w:lvl w:ilvl="0" w:tplc="0534EF66">
      <w:numFmt w:val="bullet"/>
      <w:lvlText w:val=""/>
      <w:lvlJc w:val="left"/>
      <w:pPr>
        <w:ind w:left="405" w:hanging="360"/>
      </w:pPr>
      <w:rPr>
        <w:rFonts w:ascii="Wingdings" w:eastAsiaTheme="minorHAnsi" w:hAnsi="Wingdings" w:cstheme="minorHAnsi" w:hint="default"/>
        <w:color w:val="33333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14905FC"/>
    <w:multiLevelType w:val="hybridMultilevel"/>
    <w:tmpl w:val="47A614CE"/>
    <w:lvl w:ilvl="0" w:tplc="6DE67C48">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175D4"/>
    <w:multiLevelType w:val="hybridMultilevel"/>
    <w:tmpl w:val="B472EF58"/>
    <w:lvl w:ilvl="0" w:tplc="3CA6138E">
      <w:numFmt w:val="bullet"/>
      <w:lvlText w:val=""/>
      <w:lvlJc w:val="left"/>
      <w:pPr>
        <w:ind w:left="405" w:hanging="360"/>
      </w:pPr>
      <w:rPr>
        <w:rFonts w:ascii="Wingdings" w:eastAsia="Calibri" w:hAnsi="Wingdings"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DCB5CBA"/>
    <w:multiLevelType w:val="hybridMultilevel"/>
    <w:tmpl w:val="89AC2990"/>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565561"/>
    <w:multiLevelType w:val="hybridMultilevel"/>
    <w:tmpl w:val="ED2EB49E"/>
    <w:lvl w:ilvl="0" w:tplc="BDE8F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334252"/>
    <w:multiLevelType w:val="hybridMultilevel"/>
    <w:tmpl w:val="1CB6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C4B36"/>
    <w:multiLevelType w:val="hybridMultilevel"/>
    <w:tmpl w:val="0FD4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11155"/>
    <w:multiLevelType w:val="hybridMultilevel"/>
    <w:tmpl w:val="ED2EB49E"/>
    <w:lvl w:ilvl="0" w:tplc="BDE8F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5F1102"/>
    <w:multiLevelType w:val="hybridMultilevel"/>
    <w:tmpl w:val="4192EE8E"/>
    <w:lvl w:ilvl="0" w:tplc="3F2273FE">
      <w:numFmt w:val="bullet"/>
      <w:lvlText w:val=""/>
      <w:lvlJc w:val="left"/>
      <w:pPr>
        <w:ind w:left="720" w:hanging="360"/>
      </w:pPr>
      <w:rPr>
        <w:rFonts w:ascii="Wingdings" w:eastAsia="Brill-Bold"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D62EA"/>
    <w:multiLevelType w:val="hybridMultilevel"/>
    <w:tmpl w:val="F4388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652CC1"/>
    <w:multiLevelType w:val="hybridMultilevel"/>
    <w:tmpl w:val="A60C8940"/>
    <w:lvl w:ilvl="0" w:tplc="D1C89D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725797"/>
    <w:multiLevelType w:val="hybridMultilevel"/>
    <w:tmpl w:val="E3F0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B47882"/>
    <w:multiLevelType w:val="hybridMultilevel"/>
    <w:tmpl w:val="B100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D60B1D"/>
    <w:multiLevelType w:val="hybridMultilevel"/>
    <w:tmpl w:val="33721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5"/>
  </w:num>
  <w:num w:numId="6">
    <w:abstractNumId w:val="6"/>
  </w:num>
  <w:num w:numId="7">
    <w:abstractNumId w:val="12"/>
  </w:num>
  <w:num w:numId="8">
    <w:abstractNumId w:val="0"/>
  </w:num>
  <w:num w:numId="9">
    <w:abstractNumId w:val="9"/>
  </w:num>
  <w:num w:numId="10">
    <w:abstractNumId w:val="11"/>
  </w:num>
  <w:num w:numId="11">
    <w:abstractNumId w:val="7"/>
  </w:num>
  <w:num w:numId="12">
    <w:abstractNumId w:val="13"/>
  </w:num>
  <w:num w:numId="13">
    <w:abstractNumId w:val="1"/>
  </w:num>
  <w:num w:numId="14">
    <w:abstractNumId w:val="14"/>
  </w:num>
  <w:num w:numId="15">
    <w:abstractNumId w:val="18"/>
  </w:num>
  <w:num w:numId="16">
    <w:abstractNumId w:val="3"/>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C"/>
    <w:rsid w:val="0000039F"/>
    <w:rsid w:val="0000041F"/>
    <w:rsid w:val="000004F6"/>
    <w:rsid w:val="0000067C"/>
    <w:rsid w:val="00000697"/>
    <w:rsid w:val="00000A82"/>
    <w:rsid w:val="00000BF2"/>
    <w:rsid w:val="00000D4D"/>
    <w:rsid w:val="00000D6B"/>
    <w:rsid w:val="00000F20"/>
    <w:rsid w:val="00000F3B"/>
    <w:rsid w:val="000010DB"/>
    <w:rsid w:val="00001186"/>
    <w:rsid w:val="00001260"/>
    <w:rsid w:val="000013AE"/>
    <w:rsid w:val="0000141C"/>
    <w:rsid w:val="0000147A"/>
    <w:rsid w:val="00001BD1"/>
    <w:rsid w:val="00001F1E"/>
    <w:rsid w:val="000021F6"/>
    <w:rsid w:val="00002238"/>
    <w:rsid w:val="0000254D"/>
    <w:rsid w:val="000026AE"/>
    <w:rsid w:val="0000295D"/>
    <w:rsid w:val="00002EBC"/>
    <w:rsid w:val="00002EED"/>
    <w:rsid w:val="00003251"/>
    <w:rsid w:val="00003506"/>
    <w:rsid w:val="000035E4"/>
    <w:rsid w:val="00003624"/>
    <w:rsid w:val="0000393C"/>
    <w:rsid w:val="000039AE"/>
    <w:rsid w:val="00003A41"/>
    <w:rsid w:val="00003D3F"/>
    <w:rsid w:val="00003D9D"/>
    <w:rsid w:val="0000408D"/>
    <w:rsid w:val="000041F0"/>
    <w:rsid w:val="00004454"/>
    <w:rsid w:val="00004497"/>
    <w:rsid w:val="000044C0"/>
    <w:rsid w:val="00004643"/>
    <w:rsid w:val="0000476D"/>
    <w:rsid w:val="000048B3"/>
    <w:rsid w:val="000048CB"/>
    <w:rsid w:val="00004AD5"/>
    <w:rsid w:val="00004E44"/>
    <w:rsid w:val="00004ED6"/>
    <w:rsid w:val="0000507B"/>
    <w:rsid w:val="000050CC"/>
    <w:rsid w:val="00005201"/>
    <w:rsid w:val="000055C1"/>
    <w:rsid w:val="000055EF"/>
    <w:rsid w:val="00005622"/>
    <w:rsid w:val="00005756"/>
    <w:rsid w:val="0000582E"/>
    <w:rsid w:val="00005893"/>
    <w:rsid w:val="00005F69"/>
    <w:rsid w:val="00005FD1"/>
    <w:rsid w:val="00006158"/>
    <w:rsid w:val="0000630C"/>
    <w:rsid w:val="00006DCB"/>
    <w:rsid w:val="00007017"/>
    <w:rsid w:val="00007018"/>
    <w:rsid w:val="00007024"/>
    <w:rsid w:val="00007207"/>
    <w:rsid w:val="0000723A"/>
    <w:rsid w:val="000073A9"/>
    <w:rsid w:val="000079FD"/>
    <w:rsid w:val="00007C52"/>
    <w:rsid w:val="00007CD1"/>
    <w:rsid w:val="00007F40"/>
    <w:rsid w:val="0001004F"/>
    <w:rsid w:val="000100CE"/>
    <w:rsid w:val="000102A4"/>
    <w:rsid w:val="0001047C"/>
    <w:rsid w:val="0001089D"/>
    <w:rsid w:val="00010B1E"/>
    <w:rsid w:val="000112F8"/>
    <w:rsid w:val="0001147B"/>
    <w:rsid w:val="000114BE"/>
    <w:rsid w:val="000115B8"/>
    <w:rsid w:val="000116B5"/>
    <w:rsid w:val="00011BBA"/>
    <w:rsid w:val="00011C3F"/>
    <w:rsid w:val="00011F88"/>
    <w:rsid w:val="000121EB"/>
    <w:rsid w:val="000123B6"/>
    <w:rsid w:val="000125AE"/>
    <w:rsid w:val="000126B8"/>
    <w:rsid w:val="00012F0C"/>
    <w:rsid w:val="00012F95"/>
    <w:rsid w:val="00012FF1"/>
    <w:rsid w:val="0001314C"/>
    <w:rsid w:val="000131EF"/>
    <w:rsid w:val="0001329C"/>
    <w:rsid w:val="000138DF"/>
    <w:rsid w:val="000139E4"/>
    <w:rsid w:val="00013BB5"/>
    <w:rsid w:val="00013C25"/>
    <w:rsid w:val="00013E12"/>
    <w:rsid w:val="00013F2F"/>
    <w:rsid w:val="00013FF8"/>
    <w:rsid w:val="0001405C"/>
    <w:rsid w:val="00014332"/>
    <w:rsid w:val="00014617"/>
    <w:rsid w:val="000146A9"/>
    <w:rsid w:val="000147ED"/>
    <w:rsid w:val="00014AB7"/>
    <w:rsid w:val="00014B96"/>
    <w:rsid w:val="00014D67"/>
    <w:rsid w:val="00014D85"/>
    <w:rsid w:val="00014DD8"/>
    <w:rsid w:val="00014EAF"/>
    <w:rsid w:val="00015235"/>
    <w:rsid w:val="000153F9"/>
    <w:rsid w:val="0001541A"/>
    <w:rsid w:val="000154CA"/>
    <w:rsid w:val="00015546"/>
    <w:rsid w:val="00015868"/>
    <w:rsid w:val="00015973"/>
    <w:rsid w:val="000159F0"/>
    <w:rsid w:val="00015BC9"/>
    <w:rsid w:val="00015D5E"/>
    <w:rsid w:val="0001606B"/>
    <w:rsid w:val="0001608D"/>
    <w:rsid w:val="000160E9"/>
    <w:rsid w:val="000162B2"/>
    <w:rsid w:val="00016360"/>
    <w:rsid w:val="0001636C"/>
    <w:rsid w:val="000164B4"/>
    <w:rsid w:val="0001657F"/>
    <w:rsid w:val="000167F8"/>
    <w:rsid w:val="00016951"/>
    <w:rsid w:val="00016D19"/>
    <w:rsid w:val="00016E6E"/>
    <w:rsid w:val="0001717F"/>
    <w:rsid w:val="000171DC"/>
    <w:rsid w:val="00017364"/>
    <w:rsid w:val="00017639"/>
    <w:rsid w:val="0001781C"/>
    <w:rsid w:val="00017A09"/>
    <w:rsid w:val="00017BB0"/>
    <w:rsid w:val="00017C9B"/>
    <w:rsid w:val="00020013"/>
    <w:rsid w:val="000200FF"/>
    <w:rsid w:val="000202C1"/>
    <w:rsid w:val="0002062D"/>
    <w:rsid w:val="00020720"/>
    <w:rsid w:val="0002080E"/>
    <w:rsid w:val="00020849"/>
    <w:rsid w:val="00020987"/>
    <w:rsid w:val="000209FE"/>
    <w:rsid w:val="00020B87"/>
    <w:rsid w:val="00020BA8"/>
    <w:rsid w:val="00020D53"/>
    <w:rsid w:val="00020E18"/>
    <w:rsid w:val="00020F78"/>
    <w:rsid w:val="0002103E"/>
    <w:rsid w:val="00021152"/>
    <w:rsid w:val="000212B8"/>
    <w:rsid w:val="00021496"/>
    <w:rsid w:val="000214D6"/>
    <w:rsid w:val="000216E3"/>
    <w:rsid w:val="00021880"/>
    <w:rsid w:val="000218B1"/>
    <w:rsid w:val="00021A0E"/>
    <w:rsid w:val="00021A37"/>
    <w:rsid w:val="00021C69"/>
    <w:rsid w:val="00021D94"/>
    <w:rsid w:val="000223CD"/>
    <w:rsid w:val="0002240D"/>
    <w:rsid w:val="00022478"/>
    <w:rsid w:val="00022587"/>
    <w:rsid w:val="00022614"/>
    <w:rsid w:val="000228A9"/>
    <w:rsid w:val="00022EF9"/>
    <w:rsid w:val="00022FB8"/>
    <w:rsid w:val="00022FC9"/>
    <w:rsid w:val="0002330D"/>
    <w:rsid w:val="00023330"/>
    <w:rsid w:val="00023346"/>
    <w:rsid w:val="000233B8"/>
    <w:rsid w:val="000235CD"/>
    <w:rsid w:val="000235EC"/>
    <w:rsid w:val="000237B1"/>
    <w:rsid w:val="0002380A"/>
    <w:rsid w:val="00023AAE"/>
    <w:rsid w:val="00023B41"/>
    <w:rsid w:val="00023C53"/>
    <w:rsid w:val="00023D3B"/>
    <w:rsid w:val="0002408D"/>
    <w:rsid w:val="000241B7"/>
    <w:rsid w:val="000241C2"/>
    <w:rsid w:val="000242EE"/>
    <w:rsid w:val="00024519"/>
    <w:rsid w:val="00024648"/>
    <w:rsid w:val="00024796"/>
    <w:rsid w:val="0002480E"/>
    <w:rsid w:val="00024867"/>
    <w:rsid w:val="00024D43"/>
    <w:rsid w:val="00024D73"/>
    <w:rsid w:val="00024DAF"/>
    <w:rsid w:val="00025103"/>
    <w:rsid w:val="000251A5"/>
    <w:rsid w:val="00025256"/>
    <w:rsid w:val="0002530F"/>
    <w:rsid w:val="00025345"/>
    <w:rsid w:val="00025411"/>
    <w:rsid w:val="00025507"/>
    <w:rsid w:val="000257AA"/>
    <w:rsid w:val="00025871"/>
    <w:rsid w:val="00025B60"/>
    <w:rsid w:val="00025BB6"/>
    <w:rsid w:val="00025BE3"/>
    <w:rsid w:val="00025E98"/>
    <w:rsid w:val="00025F2A"/>
    <w:rsid w:val="00025F96"/>
    <w:rsid w:val="00025F99"/>
    <w:rsid w:val="000261AB"/>
    <w:rsid w:val="0002620A"/>
    <w:rsid w:val="00026251"/>
    <w:rsid w:val="00026375"/>
    <w:rsid w:val="000264C0"/>
    <w:rsid w:val="000265B4"/>
    <w:rsid w:val="000266BF"/>
    <w:rsid w:val="000266CC"/>
    <w:rsid w:val="00026998"/>
    <w:rsid w:val="00026D6F"/>
    <w:rsid w:val="00026E51"/>
    <w:rsid w:val="00027047"/>
    <w:rsid w:val="0002705D"/>
    <w:rsid w:val="00027471"/>
    <w:rsid w:val="00027671"/>
    <w:rsid w:val="00027800"/>
    <w:rsid w:val="0002793C"/>
    <w:rsid w:val="00030309"/>
    <w:rsid w:val="000304BB"/>
    <w:rsid w:val="0003071A"/>
    <w:rsid w:val="00030756"/>
    <w:rsid w:val="000307C6"/>
    <w:rsid w:val="00030863"/>
    <w:rsid w:val="00030944"/>
    <w:rsid w:val="00030A4E"/>
    <w:rsid w:val="00030AAD"/>
    <w:rsid w:val="00030B16"/>
    <w:rsid w:val="00030B8C"/>
    <w:rsid w:val="00030CEE"/>
    <w:rsid w:val="00030E0B"/>
    <w:rsid w:val="000313A2"/>
    <w:rsid w:val="000315BC"/>
    <w:rsid w:val="000317A0"/>
    <w:rsid w:val="00031897"/>
    <w:rsid w:val="000318D9"/>
    <w:rsid w:val="0003197B"/>
    <w:rsid w:val="00031AEA"/>
    <w:rsid w:val="00031D66"/>
    <w:rsid w:val="00031E02"/>
    <w:rsid w:val="00031F5D"/>
    <w:rsid w:val="00031F5F"/>
    <w:rsid w:val="0003204B"/>
    <w:rsid w:val="000320BF"/>
    <w:rsid w:val="00032101"/>
    <w:rsid w:val="00032247"/>
    <w:rsid w:val="00032253"/>
    <w:rsid w:val="000324B5"/>
    <w:rsid w:val="0003256D"/>
    <w:rsid w:val="00032688"/>
    <w:rsid w:val="00032693"/>
    <w:rsid w:val="000329B1"/>
    <w:rsid w:val="00032A83"/>
    <w:rsid w:val="00032A97"/>
    <w:rsid w:val="00032ACC"/>
    <w:rsid w:val="00032AD0"/>
    <w:rsid w:val="00032AFD"/>
    <w:rsid w:val="00032B3F"/>
    <w:rsid w:val="00032DC5"/>
    <w:rsid w:val="00032DE8"/>
    <w:rsid w:val="00032F0E"/>
    <w:rsid w:val="00032F1B"/>
    <w:rsid w:val="00033153"/>
    <w:rsid w:val="00033168"/>
    <w:rsid w:val="0003317D"/>
    <w:rsid w:val="00033398"/>
    <w:rsid w:val="00033694"/>
    <w:rsid w:val="00033844"/>
    <w:rsid w:val="00033BB6"/>
    <w:rsid w:val="00033EB8"/>
    <w:rsid w:val="0003445F"/>
    <w:rsid w:val="000345DE"/>
    <w:rsid w:val="0003473F"/>
    <w:rsid w:val="000348F3"/>
    <w:rsid w:val="00034BBD"/>
    <w:rsid w:val="00034CDC"/>
    <w:rsid w:val="00034D12"/>
    <w:rsid w:val="00034D91"/>
    <w:rsid w:val="000352EB"/>
    <w:rsid w:val="000354A6"/>
    <w:rsid w:val="00035503"/>
    <w:rsid w:val="00035517"/>
    <w:rsid w:val="00035518"/>
    <w:rsid w:val="0003595F"/>
    <w:rsid w:val="000359CB"/>
    <w:rsid w:val="00035A8A"/>
    <w:rsid w:val="00035B90"/>
    <w:rsid w:val="00035CF3"/>
    <w:rsid w:val="00035DBE"/>
    <w:rsid w:val="000362AA"/>
    <w:rsid w:val="000364ED"/>
    <w:rsid w:val="00036523"/>
    <w:rsid w:val="00036591"/>
    <w:rsid w:val="000366F6"/>
    <w:rsid w:val="000367AE"/>
    <w:rsid w:val="00036871"/>
    <w:rsid w:val="00036B18"/>
    <w:rsid w:val="00036DAA"/>
    <w:rsid w:val="00036F76"/>
    <w:rsid w:val="000375F7"/>
    <w:rsid w:val="000376A1"/>
    <w:rsid w:val="000376BA"/>
    <w:rsid w:val="000376CC"/>
    <w:rsid w:val="000378A3"/>
    <w:rsid w:val="00037996"/>
    <w:rsid w:val="00037B16"/>
    <w:rsid w:val="00037D58"/>
    <w:rsid w:val="00037DDA"/>
    <w:rsid w:val="00037E68"/>
    <w:rsid w:val="00037E8F"/>
    <w:rsid w:val="00040123"/>
    <w:rsid w:val="000404DF"/>
    <w:rsid w:val="0004075E"/>
    <w:rsid w:val="000408AD"/>
    <w:rsid w:val="000408D2"/>
    <w:rsid w:val="00040B56"/>
    <w:rsid w:val="00040E05"/>
    <w:rsid w:val="00040EC4"/>
    <w:rsid w:val="00040FB6"/>
    <w:rsid w:val="00041056"/>
    <w:rsid w:val="000411A8"/>
    <w:rsid w:val="0004123E"/>
    <w:rsid w:val="00041465"/>
    <w:rsid w:val="00041795"/>
    <w:rsid w:val="00041DD3"/>
    <w:rsid w:val="00041F08"/>
    <w:rsid w:val="00041F58"/>
    <w:rsid w:val="000424A2"/>
    <w:rsid w:val="0004251B"/>
    <w:rsid w:val="00042677"/>
    <w:rsid w:val="000426DC"/>
    <w:rsid w:val="0004296C"/>
    <w:rsid w:val="000429B8"/>
    <w:rsid w:val="00042AFF"/>
    <w:rsid w:val="00042B61"/>
    <w:rsid w:val="00042B6C"/>
    <w:rsid w:val="00042BE0"/>
    <w:rsid w:val="00042C62"/>
    <w:rsid w:val="00042CAA"/>
    <w:rsid w:val="00042D16"/>
    <w:rsid w:val="00042DD5"/>
    <w:rsid w:val="00042DFE"/>
    <w:rsid w:val="00042FE3"/>
    <w:rsid w:val="000433A8"/>
    <w:rsid w:val="000434A7"/>
    <w:rsid w:val="00043506"/>
    <w:rsid w:val="00043992"/>
    <w:rsid w:val="00043E88"/>
    <w:rsid w:val="00043EF8"/>
    <w:rsid w:val="000442C0"/>
    <w:rsid w:val="0004455F"/>
    <w:rsid w:val="00044567"/>
    <w:rsid w:val="000448D7"/>
    <w:rsid w:val="00044942"/>
    <w:rsid w:val="00044962"/>
    <w:rsid w:val="00044CAA"/>
    <w:rsid w:val="00044CDD"/>
    <w:rsid w:val="00044D7E"/>
    <w:rsid w:val="00044F8B"/>
    <w:rsid w:val="00045050"/>
    <w:rsid w:val="00045342"/>
    <w:rsid w:val="00045355"/>
    <w:rsid w:val="000454B7"/>
    <w:rsid w:val="000456B5"/>
    <w:rsid w:val="00045889"/>
    <w:rsid w:val="000458C1"/>
    <w:rsid w:val="00045A89"/>
    <w:rsid w:val="00045AEF"/>
    <w:rsid w:val="00045AF6"/>
    <w:rsid w:val="00045D5E"/>
    <w:rsid w:val="00045E91"/>
    <w:rsid w:val="00046132"/>
    <w:rsid w:val="00046335"/>
    <w:rsid w:val="000464FD"/>
    <w:rsid w:val="00046510"/>
    <w:rsid w:val="00046529"/>
    <w:rsid w:val="0004668C"/>
    <w:rsid w:val="0004690D"/>
    <w:rsid w:val="000469F2"/>
    <w:rsid w:val="00046D4D"/>
    <w:rsid w:val="00046F58"/>
    <w:rsid w:val="00047078"/>
    <w:rsid w:val="00047122"/>
    <w:rsid w:val="00047142"/>
    <w:rsid w:val="0004716A"/>
    <w:rsid w:val="00047269"/>
    <w:rsid w:val="00047386"/>
    <w:rsid w:val="000473B1"/>
    <w:rsid w:val="0004756F"/>
    <w:rsid w:val="00047593"/>
    <w:rsid w:val="00047A55"/>
    <w:rsid w:val="00047ADB"/>
    <w:rsid w:val="00047B7B"/>
    <w:rsid w:val="00047CFF"/>
    <w:rsid w:val="00047F88"/>
    <w:rsid w:val="00047FF2"/>
    <w:rsid w:val="0005005B"/>
    <w:rsid w:val="000500B1"/>
    <w:rsid w:val="000501AA"/>
    <w:rsid w:val="0005048B"/>
    <w:rsid w:val="000504DC"/>
    <w:rsid w:val="0005058C"/>
    <w:rsid w:val="0005076B"/>
    <w:rsid w:val="0005076E"/>
    <w:rsid w:val="0005096B"/>
    <w:rsid w:val="000509E8"/>
    <w:rsid w:val="00050DBA"/>
    <w:rsid w:val="00050DC0"/>
    <w:rsid w:val="00050EDC"/>
    <w:rsid w:val="00050F2E"/>
    <w:rsid w:val="000512EE"/>
    <w:rsid w:val="00051308"/>
    <w:rsid w:val="0005138E"/>
    <w:rsid w:val="000513E1"/>
    <w:rsid w:val="000513ED"/>
    <w:rsid w:val="00051517"/>
    <w:rsid w:val="00051550"/>
    <w:rsid w:val="00051580"/>
    <w:rsid w:val="00051696"/>
    <w:rsid w:val="000516AB"/>
    <w:rsid w:val="00051757"/>
    <w:rsid w:val="00051801"/>
    <w:rsid w:val="0005182C"/>
    <w:rsid w:val="00051A77"/>
    <w:rsid w:val="00051B03"/>
    <w:rsid w:val="00051C06"/>
    <w:rsid w:val="00051D24"/>
    <w:rsid w:val="00051D59"/>
    <w:rsid w:val="00051EC7"/>
    <w:rsid w:val="00052015"/>
    <w:rsid w:val="00052027"/>
    <w:rsid w:val="0005241A"/>
    <w:rsid w:val="000525BB"/>
    <w:rsid w:val="00052713"/>
    <w:rsid w:val="000528FB"/>
    <w:rsid w:val="00052A0B"/>
    <w:rsid w:val="00052A6C"/>
    <w:rsid w:val="00052D65"/>
    <w:rsid w:val="00052D95"/>
    <w:rsid w:val="00052F65"/>
    <w:rsid w:val="0005324C"/>
    <w:rsid w:val="00053388"/>
    <w:rsid w:val="000534EC"/>
    <w:rsid w:val="00053600"/>
    <w:rsid w:val="00053849"/>
    <w:rsid w:val="00053C13"/>
    <w:rsid w:val="00053F84"/>
    <w:rsid w:val="0005401C"/>
    <w:rsid w:val="0005426A"/>
    <w:rsid w:val="00054397"/>
    <w:rsid w:val="000543A2"/>
    <w:rsid w:val="0005465E"/>
    <w:rsid w:val="000546A9"/>
    <w:rsid w:val="000546AD"/>
    <w:rsid w:val="00054738"/>
    <w:rsid w:val="000547EF"/>
    <w:rsid w:val="00054B2D"/>
    <w:rsid w:val="00054C0A"/>
    <w:rsid w:val="00054DA4"/>
    <w:rsid w:val="00054E94"/>
    <w:rsid w:val="00054EEE"/>
    <w:rsid w:val="000550FC"/>
    <w:rsid w:val="0005521D"/>
    <w:rsid w:val="00055486"/>
    <w:rsid w:val="00055521"/>
    <w:rsid w:val="000555D9"/>
    <w:rsid w:val="00055637"/>
    <w:rsid w:val="000557BA"/>
    <w:rsid w:val="000557D0"/>
    <w:rsid w:val="000558C3"/>
    <w:rsid w:val="00055A8A"/>
    <w:rsid w:val="00055B40"/>
    <w:rsid w:val="00055F8F"/>
    <w:rsid w:val="00056180"/>
    <w:rsid w:val="0005618F"/>
    <w:rsid w:val="0005666C"/>
    <w:rsid w:val="00056A14"/>
    <w:rsid w:val="00056BCE"/>
    <w:rsid w:val="00056CAA"/>
    <w:rsid w:val="00056DBC"/>
    <w:rsid w:val="00056F1E"/>
    <w:rsid w:val="00057463"/>
    <w:rsid w:val="000574BF"/>
    <w:rsid w:val="000576C8"/>
    <w:rsid w:val="00057BEB"/>
    <w:rsid w:val="00057DA0"/>
    <w:rsid w:val="00057FC4"/>
    <w:rsid w:val="0006018E"/>
    <w:rsid w:val="000601D7"/>
    <w:rsid w:val="00060238"/>
    <w:rsid w:val="00060707"/>
    <w:rsid w:val="00060756"/>
    <w:rsid w:val="00060826"/>
    <w:rsid w:val="00060A27"/>
    <w:rsid w:val="00060CEB"/>
    <w:rsid w:val="0006101F"/>
    <w:rsid w:val="0006121D"/>
    <w:rsid w:val="000612EC"/>
    <w:rsid w:val="0006134C"/>
    <w:rsid w:val="0006142A"/>
    <w:rsid w:val="00061460"/>
    <w:rsid w:val="00061478"/>
    <w:rsid w:val="000614E8"/>
    <w:rsid w:val="000614F9"/>
    <w:rsid w:val="000615F5"/>
    <w:rsid w:val="00061605"/>
    <w:rsid w:val="00061697"/>
    <w:rsid w:val="000617F4"/>
    <w:rsid w:val="0006187C"/>
    <w:rsid w:val="00061B02"/>
    <w:rsid w:val="00061C1B"/>
    <w:rsid w:val="00061CB1"/>
    <w:rsid w:val="00061CB9"/>
    <w:rsid w:val="000620E5"/>
    <w:rsid w:val="00062219"/>
    <w:rsid w:val="000624C2"/>
    <w:rsid w:val="00062641"/>
    <w:rsid w:val="000626CC"/>
    <w:rsid w:val="000628AE"/>
    <w:rsid w:val="00062E04"/>
    <w:rsid w:val="00062E32"/>
    <w:rsid w:val="00062E52"/>
    <w:rsid w:val="00062F38"/>
    <w:rsid w:val="0006316D"/>
    <w:rsid w:val="00063356"/>
    <w:rsid w:val="000634F4"/>
    <w:rsid w:val="0006364F"/>
    <w:rsid w:val="00063B23"/>
    <w:rsid w:val="00063C58"/>
    <w:rsid w:val="00063CC6"/>
    <w:rsid w:val="0006418D"/>
    <w:rsid w:val="00064197"/>
    <w:rsid w:val="00064428"/>
    <w:rsid w:val="000644F4"/>
    <w:rsid w:val="00064712"/>
    <w:rsid w:val="000647AC"/>
    <w:rsid w:val="00064C8B"/>
    <w:rsid w:val="00064EC6"/>
    <w:rsid w:val="000650C5"/>
    <w:rsid w:val="000652AA"/>
    <w:rsid w:val="00065371"/>
    <w:rsid w:val="000653EB"/>
    <w:rsid w:val="000653F8"/>
    <w:rsid w:val="00065427"/>
    <w:rsid w:val="0006549B"/>
    <w:rsid w:val="00065638"/>
    <w:rsid w:val="0006592E"/>
    <w:rsid w:val="00065975"/>
    <w:rsid w:val="00065C6B"/>
    <w:rsid w:val="00065FFA"/>
    <w:rsid w:val="0006603C"/>
    <w:rsid w:val="0006603E"/>
    <w:rsid w:val="00066267"/>
    <w:rsid w:val="000663FB"/>
    <w:rsid w:val="000664DF"/>
    <w:rsid w:val="00066506"/>
    <w:rsid w:val="00066730"/>
    <w:rsid w:val="00066BAE"/>
    <w:rsid w:val="00066EAF"/>
    <w:rsid w:val="00067306"/>
    <w:rsid w:val="000675B9"/>
    <w:rsid w:val="000675D9"/>
    <w:rsid w:val="00067659"/>
    <w:rsid w:val="00067765"/>
    <w:rsid w:val="00067789"/>
    <w:rsid w:val="000677E3"/>
    <w:rsid w:val="00067CE7"/>
    <w:rsid w:val="00070236"/>
    <w:rsid w:val="00070286"/>
    <w:rsid w:val="000702E8"/>
    <w:rsid w:val="000704B6"/>
    <w:rsid w:val="000704F0"/>
    <w:rsid w:val="00070527"/>
    <w:rsid w:val="000708DC"/>
    <w:rsid w:val="00070F22"/>
    <w:rsid w:val="000712A8"/>
    <w:rsid w:val="000713DB"/>
    <w:rsid w:val="00071465"/>
    <w:rsid w:val="000714D3"/>
    <w:rsid w:val="000715D2"/>
    <w:rsid w:val="00071653"/>
    <w:rsid w:val="00071693"/>
    <w:rsid w:val="000716BB"/>
    <w:rsid w:val="00071AB6"/>
    <w:rsid w:val="00071DC6"/>
    <w:rsid w:val="00071EBA"/>
    <w:rsid w:val="00071EC8"/>
    <w:rsid w:val="00072063"/>
    <w:rsid w:val="0007240C"/>
    <w:rsid w:val="00072484"/>
    <w:rsid w:val="00072662"/>
    <w:rsid w:val="00072800"/>
    <w:rsid w:val="0007286B"/>
    <w:rsid w:val="00072BDB"/>
    <w:rsid w:val="00072E07"/>
    <w:rsid w:val="00072E0E"/>
    <w:rsid w:val="00072E64"/>
    <w:rsid w:val="0007302D"/>
    <w:rsid w:val="00073068"/>
    <w:rsid w:val="000730BF"/>
    <w:rsid w:val="0007311A"/>
    <w:rsid w:val="0007335C"/>
    <w:rsid w:val="0007364D"/>
    <w:rsid w:val="0007364E"/>
    <w:rsid w:val="00073716"/>
    <w:rsid w:val="00073831"/>
    <w:rsid w:val="000738F8"/>
    <w:rsid w:val="00073A62"/>
    <w:rsid w:val="00073B59"/>
    <w:rsid w:val="00073C4C"/>
    <w:rsid w:val="00073E49"/>
    <w:rsid w:val="00073F74"/>
    <w:rsid w:val="00074142"/>
    <w:rsid w:val="00074276"/>
    <w:rsid w:val="000744AB"/>
    <w:rsid w:val="000745AB"/>
    <w:rsid w:val="00074630"/>
    <w:rsid w:val="0007492D"/>
    <w:rsid w:val="00074959"/>
    <w:rsid w:val="000749A2"/>
    <w:rsid w:val="00074C8C"/>
    <w:rsid w:val="00074D20"/>
    <w:rsid w:val="00074D43"/>
    <w:rsid w:val="000750D8"/>
    <w:rsid w:val="000751BF"/>
    <w:rsid w:val="000751E5"/>
    <w:rsid w:val="00075265"/>
    <w:rsid w:val="000752A6"/>
    <w:rsid w:val="00075583"/>
    <w:rsid w:val="000756CA"/>
    <w:rsid w:val="00075A6E"/>
    <w:rsid w:val="00075B38"/>
    <w:rsid w:val="00075C01"/>
    <w:rsid w:val="00075CED"/>
    <w:rsid w:val="00075E22"/>
    <w:rsid w:val="000760F2"/>
    <w:rsid w:val="000761F8"/>
    <w:rsid w:val="0007637C"/>
    <w:rsid w:val="00076463"/>
    <w:rsid w:val="000764B8"/>
    <w:rsid w:val="000767F7"/>
    <w:rsid w:val="0007688E"/>
    <w:rsid w:val="00076929"/>
    <w:rsid w:val="00076A25"/>
    <w:rsid w:val="00076AB1"/>
    <w:rsid w:val="00076C16"/>
    <w:rsid w:val="00076C4D"/>
    <w:rsid w:val="00076CB6"/>
    <w:rsid w:val="00076DDB"/>
    <w:rsid w:val="00076DF4"/>
    <w:rsid w:val="00076E0D"/>
    <w:rsid w:val="00076FF7"/>
    <w:rsid w:val="000775BC"/>
    <w:rsid w:val="00077634"/>
    <w:rsid w:val="00077BF0"/>
    <w:rsid w:val="00077E85"/>
    <w:rsid w:val="00077FD6"/>
    <w:rsid w:val="0008003F"/>
    <w:rsid w:val="00080053"/>
    <w:rsid w:val="00080090"/>
    <w:rsid w:val="0008032A"/>
    <w:rsid w:val="000803E8"/>
    <w:rsid w:val="00080EC3"/>
    <w:rsid w:val="00080EC8"/>
    <w:rsid w:val="0008129C"/>
    <w:rsid w:val="0008161D"/>
    <w:rsid w:val="000818FA"/>
    <w:rsid w:val="00081920"/>
    <w:rsid w:val="00081928"/>
    <w:rsid w:val="00081CD9"/>
    <w:rsid w:val="00081E50"/>
    <w:rsid w:val="00081EE1"/>
    <w:rsid w:val="00081FB2"/>
    <w:rsid w:val="000823FF"/>
    <w:rsid w:val="000825FB"/>
    <w:rsid w:val="000827E6"/>
    <w:rsid w:val="00082AA4"/>
    <w:rsid w:val="00082DCE"/>
    <w:rsid w:val="00082E7A"/>
    <w:rsid w:val="00082EA6"/>
    <w:rsid w:val="00082F61"/>
    <w:rsid w:val="00082FA2"/>
    <w:rsid w:val="00083115"/>
    <w:rsid w:val="000831AB"/>
    <w:rsid w:val="00083323"/>
    <w:rsid w:val="0008335C"/>
    <w:rsid w:val="0008370D"/>
    <w:rsid w:val="00083A8D"/>
    <w:rsid w:val="000845BB"/>
    <w:rsid w:val="00084663"/>
    <w:rsid w:val="000848BE"/>
    <w:rsid w:val="00084940"/>
    <w:rsid w:val="0008497D"/>
    <w:rsid w:val="00084ABE"/>
    <w:rsid w:val="00084CA9"/>
    <w:rsid w:val="00084E5E"/>
    <w:rsid w:val="000850C7"/>
    <w:rsid w:val="00085273"/>
    <w:rsid w:val="000852B2"/>
    <w:rsid w:val="00085402"/>
    <w:rsid w:val="0008541C"/>
    <w:rsid w:val="000854EB"/>
    <w:rsid w:val="00085646"/>
    <w:rsid w:val="000856EB"/>
    <w:rsid w:val="00085811"/>
    <w:rsid w:val="0008587E"/>
    <w:rsid w:val="00085AB4"/>
    <w:rsid w:val="00085D02"/>
    <w:rsid w:val="00085DD6"/>
    <w:rsid w:val="000860A3"/>
    <w:rsid w:val="00086130"/>
    <w:rsid w:val="00086262"/>
    <w:rsid w:val="0008626B"/>
    <w:rsid w:val="000862A0"/>
    <w:rsid w:val="00086324"/>
    <w:rsid w:val="00086346"/>
    <w:rsid w:val="00086347"/>
    <w:rsid w:val="00086551"/>
    <w:rsid w:val="000868BC"/>
    <w:rsid w:val="00086A19"/>
    <w:rsid w:val="00086A1B"/>
    <w:rsid w:val="00086B83"/>
    <w:rsid w:val="00086C67"/>
    <w:rsid w:val="00086CB3"/>
    <w:rsid w:val="00086CE7"/>
    <w:rsid w:val="00086EF8"/>
    <w:rsid w:val="00086FDC"/>
    <w:rsid w:val="00087187"/>
    <w:rsid w:val="000871AA"/>
    <w:rsid w:val="000871E7"/>
    <w:rsid w:val="00087733"/>
    <w:rsid w:val="00087C56"/>
    <w:rsid w:val="00087C8B"/>
    <w:rsid w:val="0009019E"/>
    <w:rsid w:val="000902E4"/>
    <w:rsid w:val="0009040D"/>
    <w:rsid w:val="000904FC"/>
    <w:rsid w:val="0009057B"/>
    <w:rsid w:val="000905AC"/>
    <w:rsid w:val="00090894"/>
    <w:rsid w:val="000908B9"/>
    <w:rsid w:val="0009098A"/>
    <w:rsid w:val="00090AAC"/>
    <w:rsid w:val="00090B7A"/>
    <w:rsid w:val="00090C4A"/>
    <w:rsid w:val="00090CC2"/>
    <w:rsid w:val="00090DB9"/>
    <w:rsid w:val="00090DF5"/>
    <w:rsid w:val="00090F5F"/>
    <w:rsid w:val="00090FC0"/>
    <w:rsid w:val="00091083"/>
    <w:rsid w:val="00091191"/>
    <w:rsid w:val="000913EF"/>
    <w:rsid w:val="000916CC"/>
    <w:rsid w:val="0009190D"/>
    <w:rsid w:val="00091B60"/>
    <w:rsid w:val="00091BA5"/>
    <w:rsid w:val="00091ED2"/>
    <w:rsid w:val="00091F15"/>
    <w:rsid w:val="00092143"/>
    <w:rsid w:val="00092191"/>
    <w:rsid w:val="000921B5"/>
    <w:rsid w:val="00092233"/>
    <w:rsid w:val="000923BC"/>
    <w:rsid w:val="00092561"/>
    <w:rsid w:val="00092703"/>
    <w:rsid w:val="00092820"/>
    <w:rsid w:val="000928CB"/>
    <w:rsid w:val="00092BB6"/>
    <w:rsid w:val="00092BBF"/>
    <w:rsid w:val="000930A5"/>
    <w:rsid w:val="000930CB"/>
    <w:rsid w:val="00093485"/>
    <w:rsid w:val="00093599"/>
    <w:rsid w:val="00093A5D"/>
    <w:rsid w:val="00093E4F"/>
    <w:rsid w:val="00093F2E"/>
    <w:rsid w:val="00093F4E"/>
    <w:rsid w:val="000941D9"/>
    <w:rsid w:val="000944A2"/>
    <w:rsid w:val="00094836"/>
    <w:rsid w:val="00094930"/>
    <w:rsid w:val="00094959"/>
    <w:rsid w:val="00094E24"/>
    <w:rsid w:val="00094E7C"/>
    <w:rsid w:val="00094E9C"/>
    <w:rsid w:val="00094FEC"/>
    <w:rsid w:val="000950B3"/>
    <w:rsid w:val="00095156"/>
    <w:rsid w:val="0009522B"/>
    <w:rsid w:val="000953A2"/>
    <w:rsid w:val="0009599B"/>
    <w:rsid w:val="00095C9C"/>
    <w:rsid w:val="00095E74"/>
    <w:rsid w:val="00095F59"/>
    <w:rsid w:val="00096844"/>
    <w:rsid w:val="000968E5"/>
    <w:rsid w:val="00096CAF"/>
    <w:rsid w:val="00096D47"/>
    <w:rsid w:val="00096DD2"/>
    <w:rsid w:val="000970D3"/>
    <w:rsid w:val="00097491"/>
    <w:rsid w:val="000974F0"/>
    <w:rsid w:val="00097556"/>
    <w:rsid w:val="000976CC"/>
    <w:rsid w:val="00097925"/>
    <w:rsid w:val="000979E0"/>
    <w:rsid w:val="00097AAE"/>
    <w:rsid w:val="00097C88"/>
    <w:rsid w:val="00097D4B"/>
    <w:rsid w:val="00097E8F"/>
    <w:rsid w:val="000A00C2"/>
    <w:rsid w:val="000A0269"/>
    <w:rsid w:val="000A033C"/>
    <w:rsid w:val="000A0356"/>
    <w:rsid w:val="000A0520"/>
    <w:rsid w:val="000A0610"/>
    <w:rsid w:val="000A0704"/>
    <w:rsid w:val="000A0715"/>
    <w:rsid w:val="000A07E1"/>
    <w:rsid w:val="000A0C11"/>
    <w:rsid w:val="000A0C84"/>
    <w:rsid w:val="000A0F41"/>
    <w:rsid w:val="000A0F8A"/>
    <w:rsid w:val="000A0FA4"/>
    <w:rsid w:val="000A0FE7"/>
    <w:rsid w:val="000A11EE"/>
    <w:rsid w:val="000A1221"/>
    <w:rsid w:val="000A13C1"/>
    <w:rsid w:val="000A13DD"/>
    <w:rsid w:val="000A15A9"/>
    <w:rsid w:val="000A16A8"/>
    <w:rsid w:val="000A1841"/>
    <w:rsid w:val="000A1B3B"/>
    <w:rsid w:val="000A1CE3"/>
    <w:rsid w:val="000A1D45"/>
    <w:rsid w:val="000A1DB5"/>
    <w:rsid w:val="000A1DE9"/>
    <w:rsid w:val="000A1F4B"/>
    <w:rsid w:val="000A20EC"/>
    <w:rsid w:val="000A21B9"/>
    <w:rsid w:val="000A21FB"/>
    <w:rsid w:val="000A229D"/>
    <w:rsid w:val="000A22AC"/>
    <w:rsid w:val="000A25CD"/>
    <w:rsid w:val="000A266F"/>
    <w:rsid w:val="000A267E"/>
    <w:rsid w:val="000A2D73"/>
    <w:rsid w:val="000A2DD7"/>
    <w:rsid w:val="000A3025"/>
    <w:rsid w:val="000A32B5"/>
    <w:rsid w:val="000A33C6"/>
    <w:rsid w:val="000A3639"/>
    <w:rsid w:val="000A39B9"/>
    <w:rsid w:val="000A3B0D"/>
    <w:rsid w:val="000A3B7A"/>
    <w:rsid w:val="000A3BFF"/>
    <w:rsid w:val="000A3C13"/>
    <w:rsid w:val="000A3CCE"/>
    <w:rsid w:val="000A3D97"/>
    <w:rsid w:val="000A3DDA"/>
    <w:rsid w:val="000A3F2A"/>
    <w:rsid w:val="000A3F76"/>
    <w:rsid w:val="000A3F9C"/>
    <w:rsid w:val="000A4076"/>
    <w:rsid w:val="000A42F7"/>
    <w:rsid w:val="000A4412"/>
    <w:rsid w:val="000A4426"/>
    <w:rsid w:val="000A4443"/>
    <w:rsid w:val="000A44BC"/>
    <w:rsid w:val="000A44DC"/>
    <w:rsid w:val="000A4591"/>
    <w:rsid w:val="000A45A0"/>
    <w:rsid w:val="000A477F"/>
    <w:rsid w:val="000A480E"/>
    <w:rsid w:val="000A4943"/>
    <w:rsid w:val="000A4EF3"/>
    <w:rsid w:val="000A4F7E"/>
    <w:rsid w:val="000A5022"/>
    <w:rsid w:val="000A56CE"/>
    <w:rsid w:val="000A5874"/>
    <w:rsid w:val="000A58A1"/>
    <w:rsid w:val="000A592E"/>
    <w:rsid w:val="000A5A3A"/>
    <w:rsid w:val="000A5BA8"/>
    <w:rsid w:val="000A5C96"/>
    <w:rsid w:val="000A5F46"/>
    <w:rsid w:val="000A5FB1"/>
    <w:rsid w:val="000A61B3"/>
    <w:rsid w:val="000A62B5"/>
    <w:rsid w:val="000A63AA"/>
    <w:rsid w:val="000A63E3"/>
    <w:rsid w:val="000A6496"/>
    <w:rsid w:val="000A6690"/>
    <w:rsid w:val="000A67DD"/>
    <w:rsid w:val="000A6A03"/>
    <w:rsid w:val="000A6AC0"/>
    <w:rsid w:val="000A6AF3"/>
    <w:rsid w:val="000A6BD8"/>
    <w:rsid w:val="000A6C07"/>
    <w:rsid w:val="000A6C1A"/>
    <w:rsid w:val="000A6C48"/>
    <w:rsid w:val="000A7000"/>
    <w:rsid w:val="000A7060"/>
    <w:rsid w:val="000A73C0"/>
    <w:rsid w:val="000A7461"/>
    <w:rsid w:val="000A74E8"/>
    <w:rsid w:val="000A7684"/>
    <w:rsid w:val="000A771E"/>
    <w:rsid w:val="000A77CF"/>
    <w:rsid w:val="000A7A0F"/>
    <w:rsid w:val="000A7A31"/>
    <w:rsid w:val="000A7D5F"/>
    <w:rsid w:val="000B00CE"/>
    <w:rsid w:val="000B0271"/>
    <w:rsid w:val="000B0373"/>
    <w:rsid w:val="000B0894"/>
    <w:rsid w:val="000B0935"/>
    <w:rsid w:val="000B0962"/>
    <w:rsid w:val="000B0A0F"/>
    <w:rsid w:val="000B0A2D"/>
    <w:rsid w:val="000B0A62"/>
    <w:rsid w:val="000B0BD6"/>
    <w:rsid w:val="000B0D20"/>
    <w:rsid w:val="000B0F03"/>
    <w:rsid w:val="000B0F62"/>
    <w:rsid w:val="000B1081"/>
    <w:rsid w:val="000B12FE"/>
    <w:rsid w:val="000B13FC"/>
    <w:rsid w:val="000B1669"/>
    <w:rsid w:val="000B17FC"/>
    <w:rsid w:val="000B1905"/>
    <w:rsid w:val="000B1A03"/>
    <w:rsid w:val="000B1AE2"/>
    <w:rsid w:val="000B1B27"/>
    <w:rsid w:val="000B1C72"/>
    <w:rsid w:val="000B211C"/>
    <w:rsid w:val="000B2219"/>
    <w:rsid w:val="000B2631"/>
    <w:rsid w:val="000B2C43"/>
    <w:rsid w:val="000B2EA5"/>
    <w:rsid w:val="000B31F4"/>
    <w:rsid w:val="000B333D"/>
    <w:rsid w:val="000B3342"/>
    <w:rsid w:val="000B3464"/>
    <w:rsid w:val="000B35B4"/>
    <w:rsid w:val="000B3823"/>
    <w:rsid w:val="000B3A27"/>
    <w:rsid w:val="000B3E64"/>
    <w:rsid w:val="000B3E7D"/>
    <w:rsid w:val="000B3EC6"/>
    <w:rsid w:val="000B3F9C"/>
    <w:rsid w:val="000B3FD1"/>
    <w:rsid w:val="000B402A"/>
    <w:rsid w:val="000B416A"/>
    <w:rsid w:val="000B42A9"/>
    <w:rsid w:val="000B42AE"/>
    <w:rsid w:val="000B42E9"/>
    <w:rsid w:val="000B448D"/>
    <w:rsid w:val="000B45A2"/>
    <w:rsid w:val="000B45AE"/>
    <w:rsid w:val="000B4711"/>
    <w:rsid w:val="000B4723"/>
    <w:rsid w:val="000B492C"/>
    <w:rsid w:val="000B492E"/>
    <w:rsid w:val="000B4947"/>
    <w:rsid w:val="000B4F7D"/>
    <w:rsid w:val="000B50AF"/>
    <w:rsid w:val="000B50D2"/>
    <w:rsid w:val="000B5190"/>
    <w:rsid w:val="000B51EE"/>
    <w:rsid w:val="000B53A3"/>
    <w:rsid w:val="000B53B0"/>
    <w:rsid w:val="000B53BE"/>
    <w:rsid w:val="000B5767"/>
    <w:rsid w:val="000B5873"/>
    <w:rsid w:val="000B59F4"/>
    <w:rsid w:val="000B5D38"/>
    <w:rsid w:val="000B5DFC"/>
    <w:rsid w:val="000B64CB"/>
    <w:rsid w:val="000B6521"/>
    <w:rsid w:val="000B681F"/>
    <w:rsid w:val="000B683F"/>
    <w:rsid w:val="000B6AA9"/>
    <w:rsid w:val="000B6DBD"/>
    <w:rsid w:val="000B6E0C"/>
    <w:rsid w:val="000B6F12"/>
    <w:rsid w:val="000B7060"/>
    <w:rsid w:val="000B70EB"/>
    <w:rsid w:val="000B7107"/>
    <w:rsid w:val="000B7444"/>
    <w:rsid w:val="000B7567"/>
    <w:rsid w:val="000B7661"/>
    <w:rsid w:val="000B77D6"/>
    <w:rsid w:val="000B7AFE"/>
    <w:rsid w:val="000B7BAC"/>
    <w:rsid w:val="000B7EAC"/>
    <w:rsid w:val="000C0371"/>
    <w:rsid w:val="000C0431"/>
    <w:rsid w:val="000C0776"/>
    <w:rsid w:val="000C0A87"/>
    <w:rsid w:val="000C0ABF"/>
    <w:rsid w:val="000C0BCC"/>
    <w:rsid w:val="000C0BFD"/>
    <w:rsid w:val="000C0C48"/>
    <w:rsid w:val="000C0D4A"/>
    <w:rsid w:val="000C0DAF"/>
    <w:rsid w:val="000C0F09"/>
    <w:rsid w:val="000C0FDF"/>
    <w:rsid w:val="000C1007"/>
    <w:rsid w:val="000C104E"/>
    <w:rsid w:val="000C13D9"/>
    <w:rsid w:val="000C1444"/>
    <w:rsid w:val="000C1459"/>
    <w:rsid w:val="000C151C"/>
    <w:rsid w:val="000C160B"/>
    <w:rsid w:val="000C1880"/>
    <w:rsid w:val="000C189D"/>
    <w:rsid w:val="000C19B8"/>
    <w:rsid w:val="000C1A63"/>
    <w:rsid w:val="000C1C5D"/>
    <w:rsid w:val="000C1C8A"/>
    <w:rsid w:val="000C1D13"/>
    <w:rsid w:val="000C1E06"/>
    <w:rsid w:val="000C1E08"/>
    <w:rsid w:val="000C1FF6"/>
    <w:rsid w:val="000C2086"/>
    <w:rsid w:val="000C25F0"/>
    <w:rsid w:val="000C27A5"/>
    <w:rsid w:val="000C27E6"/>
    <w:rsid w:val="000C295E"/>
    <w:rsid w:val="000C2F84"/>
    <w:rsid w:val="000C32C7"/>
    <w:rsid w:val="000C3480"/>
    <w:rsid w:val="000C35B8"/>
    <w:rsid w:val="000C3622"/>
    <w:rsid w:val="000C3C4D"/>
    <w:rsid w:val="000C3C64"/>
    <w:rsid w:val="000C3D06"/>
    <w:rsid w:val="000C3FFF"/>
    <w:rsid w:val="000C40E0"/>
    <w:rsid w:val="000C463E"/>
    <w:rsid w:val="000C47F3"/>
    <w:rsid w:val="000C482C"/>
    <w:rsid w:val="000C4A66"/>
    <w:rsid w:val="000C4B5F"/>
    <w:rsid w:val="000C4B8B"/>
    <w:rsid w:val="000C4C51"/>
    <w:rsid w:val="000C4D1A"/>
    <w:rsid w:val="000C4DD6"/>
    <w:rsid w:val="000C4DF7"/>
    <w:rsid w:val="000C50E4"/>
    <w:rsid w:val="000C5191"/>
    <w:rsid w:val="000C5258"/>
    <w:rsid w:val="000C52FF"/>
    <w:rsid w:val="000C54DE"/>
    <w:rsid w:val="000C55D7"/>
    <w:rsid w:val="000C56C8"/>
    <w:rsid w:val="000C56D3"/>
    <w:rsid w:val="000C573C"/>
    <w:rsid w:val="000C59C9"/>
    <w:rsid w:val="000C5AE6"/>
    <w:rsid w:val="000C5C52"/>
    <w:rsid w:val="000C5D18"/>
    <w:rsid w:val="000C5EEB"/>
    <w:rsid w:val="000C5F9D"/>
    <w:rsid w:val="000C608D"/>
    <w:rsid w:val="000C617E"/>
    <w:rsid w:val="000C65F6"/>
    <w:rsid w:val="000C660D"/>
    <w:rsid w:val="000C66C1"/>
    <w:rsid w:val="000C697B"/>
    <w:rsid w:val="000C6D67"/>
    <w:rsid w:val="000C6F8D"/>
    <w:rsid w:val="000C722A"/>
    <w:rsid w:val="000C74EC"/>
    <w:rsid w:val="000C7600"/>
    <w:rsid w:val="000C7876"/>
    <w:rsid w:val="000C78FC"/>
    <w:rsid w:val="000C78FE"/>
    <w:rsid w:val="000C7987"/>
    <w:rsid w:val="000C79AD"/>
    <w:rsid w:val="000C7A2B"/>
    <w:rsid w:val="000C7CF1"/>
    <w:rsid w:val="000C7D96"/>
    <w:rsid w:val="000D0085"/>
    <w:rsid w:val="000D01F8"/>
    <w:rsid w:val="000D0584"/>
    <w:rsid w:val="000D06A2"/>
    <w:rsid w:val="000D09A2"/>
    <w:rsid w:val="000D0A8A"/>
    <w:rsid w:val="000D0AA8"/>
    <w:rsid w:val="000D0BD3"/>
    <w:rsid w:val="000D0C3A"/>
    <w:rsid w:val="000D0EB5"/>
    <w:rsid w:val="000D1265"/>
    <w:rsid w:val="000D133D"/>
    <w:rsid w:val="000D1505"/>
    <w:rsid w:val="000D15F9"/>
    <w:rsid w:val="000D1632"/>
    <w:rsid w:val="000D168B"/>
    <w:rsid w:val="000D1753"/>
    <w:rsid w:val="000D1942"/>
    <w:rsid w:val="000D1B0C"/>
    <w:rsid w:val="000D1C03"/>
    <w:rsid w:val="000D1C69"/>
    <w:rsid w:val="000D1C96"/>
    <w:rsid w:val="000D1F17"/>
    <w:rsid w:val="000D2070"/>
    <w:rsid w:val="000D227E"/>
    <w:rsid w:val="000D26A2"/>
    <w:rsid w:val="000D27B4"/>
    <w:rsid w:val="000D27CA"/>
    <w:rsid w:val="000D283C"/>
    <w:rsid w:val="000D2A58"/>
    <w:rsid w:val="000D2AA3"/>
    <w:rsid w:val="000D2C34"/>
    <w:rsid w:val="000D2D3E"/>
    <w:rsid w:val="000D2ED7"/>
    <w:rsid w:val="000D2F18"/>
    <w:rsid w:val="000D310C"/>
    <w:rsid w:val="000D32BC"/>
    <w:rsid w:val="000D3A6B"/>
    <w:rsid w:val="000D3B7D"/>
    <w:rsid w:val="000D3EDA"/>
    <w:rsid w:val="000D3FAD"/>
    <w:rsid w:val="000D41BD"/>
    <w:rsid w:val="000D42A2"/>
    <w:rsid w:val="000D462E"/>
    <w:rsid w:val="000D46CB"/>
    <w:rsid w:val="000D4B4A"/>
    <w:rsid w:val="000D4B95"/>
    <w:rsid w:val="000D4F5A"/>
    <w:rsid w:val="000D503D"/>
    <w:rsid w:val="000D5211"/>
    <w:rsid w:val="000D53CF"/>
    <w:rsid w:val="000D54CF"/>
    <w:rsid w:val="000D56AB"/>
    <w:rsid w:val="000D5717"/>
    <w:rsid w:val="000D5778"/>
    <w:rsid w:val="000D5B16"/>
    <w:rsid w:val="000D5DD3"/>
    <w:rsid w:val="000D60E0"/>
    <w:rsid w:val="000D6342"/>
    <w:rsid w:val="000D664E"/>
    <w:rsid w:val="000D66B2"/>
    <w:rsid w:val="000D68F9"/>
    <w:rsid w:val="000D699C"/>
    <w:rsid w:val="000D6A4E"/>
    <w:rsid w:val="000D6A94"/>
    <w:rsid w:val="000D6C8F"/>
    <w:rsid w:val="000D6D20"/>
    <w:rsid w:val="000D6F4A"/>
    <w:rsid w:val="000D7213"/>
    <w:rsid w:val="000D7294"/>
    <w:rsid w:val="000D7334"/>
    <w:rsid w:val="000D747E"/>
    <w:rsid w:val="000D7571"/>
    <w:rsid w:val="000D7861"/>
    <w:rsid w:val="000D7872"/>
    <w:rsid w:val="000D7920"/>
    <w:rsid w:val="000D7A23"/>
    <w:rsid w:val="000D7B4A"/>
    <w:rsid w:val="000E00DA"/>
    <w:rsid w:val="000E0130"/>
    <w:rsid w:val="000E04B5"/>
    <w:rsid w:val="000E06B0"/>
    <w:rsid w:val="000E071A"/>
    <w:rsid w:val="000E08F1"/>
    <w:rsid w:val="000E0A1E"/>
    <w:rsid w:val="000E0CB9"/>
    <w:rsid w:val="000E122C"/>
    <w:rsid w:val="000E143A"/>
    <w:rsid w:val="000E1699"/>
    <w:rsid w:val="000E180F"/>
    <w:rsid w:val="000E1876"/>
    <w:rsid w:val="000E19FB"/>
    <w:rsid w:val="000E1B76"/>
    <w:rsid w:val="000E1F7C"/>
    <w:rsid w:val="000E2009"/>
    <w:rsid w:val="000E21CA"/>
    <w:rsid w:val="000E23AC"/>
    <w:rsid w:val="000E2720"/>
    <w:rsid w:val="000E2EFD"/>
    <w:rsid w:val="000E2FC0"/>
    <w:rsid w:val="000E35BA"/>
    <w:rsid w:val="000E35FA"/>
    <w:rsid w:val="000E3642"/>
    <w:rsid w:val="000E364F"/>
    <w:rsid w:val="000E388D"/>
    <w:rsid w:val="000E394A"/>
    <w:rsid w:val="000E3A63"/>
    <w:rsid w:val="000E3BE2"/>
    <w:rsid w:val="000E3CE1"/>
    <w:rsid w:val="000E3DD0"/>
    <w:rsid w:val="000E3E98"/>
    <w:rsid w:val="000E4007"/>
    <w:rsid w:val="000E405B"/>
    <w:rsid w:val="000E41F0"/>
    <w:rsid w:val="000E451F"/>
    <w:rsid w:val="000E4545"/>
    <w:rsid w:val="000E46A3"/>
    <w:rsid w:val="000E470A"/>
    <w:rsid w:val="000E482D"/>
    <w:rsid w:val="000E489C"/>
    <w:rsid w:val="000E49A0"/>
    <w:rsid w:val="000E4A8D"/>
    <w:rsid w:val="000E4AF9"/>
    <w:rsid w:val="000E4BFE"/>
    <w:rsid w:val="000E4C38"/>
    <w:rsid w:val="000E4D14"/>
    <w:rsid w:val="000E51B7"/>
    <w:rsid w:val="000E5397"/>
    <w:rsid w:val="000E551E"/>
    <w:rsid w:val="000E563C"/>
    <w:rsid w:val="000E57F9"/>
    <w:rsid w:val="000E5843"/>
    <w:rsid w:val="000E59F5"/>
    <w:rsid w:val="000E5A4A"/>
    <w:rsid w:val="000E5A6E"/>
    <w:rsid w:val="000E5CDD"/>
    <w:rsid w:val="000E5D1D"/>
    <w:rsid w:val="000E6108"/>
    <w:rsid w:val="000E63A7"/>
    <w:rsid w:val="000E660B"/>
    <w:rsid w:val="000E6817"/>
    <w:rsid w:val="000E6B48"/>
    <w:rsid w:val="000E6D71"/>
    <w:rsid w:val="000E6DC5"/>
    <w:rsid w:val="000E6E4E"/>
    <w:rsid w:val="000E705A"/>
    <w:rsid w:val="000E7164"/>
    <w:rsid w:val="000E71E9"/>
    <w:rsid w:val="000E724F"/>
    <w:rsid w:val="000E73D7"/>
    <w:rsid w:val="000E73F1"/>
    <w:rsid w:val="000E7A44"/>
    <w:rsid w:val="000E7AAA"/>
    <w:rsid w:val="000E7B8C"/>
    <w:rsid w:val="000F0042"/>
    <w:rsid w:val="000F0081"/>
    <w:rsid w:val="000F0281"/>
    <w:rsid w:val="000F0394"/>
    <w:rsid w:val="000F0534"/>
    <w:rsid w:val="000F07D7"/>
    <w:rsid w:val="000F0847"/>
    <w:rsid w:val="000F08D3"/>
    <w:rsid w:val="000F08F3"/>
    <w:rsid w:val="000F0A04"/>
    <w:rsid w:val="000F0C24"/>
    <w:rsid w:val="000F0C9E"/>
    <w:rsid w:val="000F0CD0"/>
    <w:rsid w:val="000F0E19"/>
    <w:rsid w:val="000F1125"/>
    <w:rsid w:val="000F1316"/>
    <w:rsid w:val="000F13CE"/>
    <w:rsid w:val="000F1417"/>
    <w:rsid w:val="000F1526"/>
    <w:rsid w:val="000F17D2"/>
    <w:rsid w:val="000F1815"/>
    <w:rsid w:val="000F1A40"/>
    <w:rsid w:val="000F1AA4"/>
    <w:rsid w:val="000F1AFC"/>
    <w:rsid w:val="000F1BBC"/>
    <w:rsid w:val="000F1BFB"/>
    <w:rsid w:val="000F1D74"/>
    <w:rsid w:val="000F1F67"/>
    <w:rsid w:val="000F22BF"/>
    <w:rsid w:val="000F248C"/>
    <w:rsid w:val="000F268E"/>
    <w:rsid w:val="000F2A01"/>
    <w:rsid w:val="000F2BF7"/>
    <w:rsid w:val="000F2DED"/>
    <w:rsid w:val="000F2F55"/>
    <w:rsid w:val="000F2FD2"/>
    <w:rsid w:val="000F3038"/>
    <w:rsid w:val="000F303A"/>
    <w:rsid w:val="000F338E"/>
    <w:rsid w:val="000F3467"/>
    <w:rsid w:val="000F366D"/>
    <w:rsid w:val="000F36BD"/>
    <w:rsid w:val="000F38E5"/>
    <w:rsid w:val="000F3D09"/>
    <w:rsid w:val="000F3DE4"/>
    <w:rsid w:val="000F3EB3"/>
    <w:rsid w:val="000F402E"/>
    <w:rsid w:val="000F4098"/>
    <w:rsid w:val="000F4103"/>
    <w:rsid w:val="000F429A"/>
    <w:rsid w:val="000F44A3"/>
    <w:rsid w:val="000F4703"/>
    <w:rsid w:val="000F47FF"/>
    <w:rsid w:val="000F4879"/>
    <w:rsid w:val="000F49FC"/>
    <w:rsid w:val="000F4E5F"/>
    <w:rsid w:val="000F50AB"/>
    <w:rsid w:val="000F5108"/>
    <w:rsid w:val="000F52A0"/>
    <w:rsid w:val="000F553B"/>
    <w:rsid w:val="000F5714"/>
    <w:rsid w:val="000F5A06"/>
    <w:rsid w:val="000F5B64"/>
    <w:rsid w:val="000F5CE7"/>
    <w:rsid w:val="000F5DF7"/>
    <w:rsid w:val="000F6128"/>
    <w:rsid w:val="000F6510"/>
    <w:rsid w:val="000F6AD5"/>
    <w:rsid w:val="000F6B4E"/>
    <w:rsid w:val="000F6BE1"/>
    <w:rsid w:val="000F6E61"/>
    <w:rsid w:val="000F6F89"/>
    <w:rsid w:val="000F71D1"/>
    <w:rsid w:val="000F722D"/>
    <w:rsid w:val="000F7405"/>
    <w:rsid w:val="000F7479"/>
    <w:rsid w:val="000F7480"/>
    <w:rsid w:val="000F74D6"/>
    <w:rsid w:val="000F77AD"/>
    <w:rsid w:val="000F790E"/>
    <w:rsid w:val="000F7948"/>
    <w:rsid w:val="000F79CC"/>
    <w:rsid w:val="000F7AA3"/>
    <w:rsid w:val="000F7C46"/>
    <w:rsid w:val="000F7CB1"/>
    <w:rsid w:val="000F7F70"/>
    <w:rsid w:val="00100054"/>
    <w:rsid w:val="001000DE"/>
    <w:rsid w:val="00100168"/>
    <w:rsid w:val="00100199"/>
    <w:rsid w:val="00100407"/>
    <w:rsid w:val="001009D1"/>
    <w:rsid w:val="00100A6F"/>
    <w:rsid w:val="00100A94"/>
    <w:rsid w:val="00100AF4"/>
    <w:rsid w:val="00100D8D"/>
    <w:rsid w:val="00101151"/>
    <w:rsid w:val="001014CE"/>
    <w:rsid w:val="001015AD"/>
    <w:rsid w:val="0010161F"/>
    <w:rsid w:val="00101643"/>
    <w:rsid w:val="00101676"/>
    <w:rsid w:val="00101781"/>
    <w:rsid w:val="00101C73"/>
    <w:rsid w:val="00101D22"/>
    <w:rsid w:val="001020E7"/>
    <w:rsid w:val="0010216E"/>
    <w:rsid w:val="00102252"/>
    <w:rsid w:val="00102258"/>
    <w:rsid w:val="00102553"/>
    <w:rsid w:val="00102956"/>
    <w:rsid w:val="00102A78"/>
    <w:rsid w:val="00102AAF"/>
    <w:rsid w:val="00102B2C"/>
    <w:rsid w:val="00102B82"/>
    <w:rsid w:val="00102BCC"/>
    <w:rsid w:val="00102D8A"/>
    <w:rsid w:val="00102E32"/>
    <w:rsid w:val="00102FEF"/>
    <w:rsid w:val="00103397"/>
    <w:rsid w:val="0010387D"/>
    <w:rsid w:val="00103D84"/>
    <w:rsid w:val="00103EA9"/>
    <w:rsid w:val="0010408C"/>
    <w:rsid w:val="0010414D"/>
    <w:rsid w:val="00104361"/>
    <w:rsid w:val="001044C6"/>
    <w:rsid w:val="001045AE"/>
    <w:rsid w:val="00104A23"/>
    <w:rsid w:val="00104B82"/>
    <w:rsid w:val="00104BD9"/>
    <w:rsid w:val="00104C4E"/>
    <w:rsid w:val="00104D32"/>
    <w:rsid w:val="00104E0F"/>
    <w:rsid w:val="00104F2B"/>
    <w:rsid w:val="00105139"/>
    <w:rsid w:val="0010528C"/>
    <w:rsid w:val="001053ED"/>
    <w:rsid w:val="00105505"/>
    <w:rsid w:val="001055AB"/>
    <w:rsid w:val="001055D1"/>
    <w:rsid w:val="0010575A"/>
    <w:rsid w:val="00105846"/>
    <w:rsid w:val="001058F5"/>
    <w:rsid w:val="001059A2"/>
    <w:rsid w:val="00105A64"/>
    <w:rsid w:val="00105BF9"/>
    <w:rsid w:val="00105CCD"/>
    <w:rsid w:val="00105FA3"/>
    <w:rsid w:val="0010630F"/>
    <w:rsid w:val="001064F5"/>
    <w:rsid w:val="00106532"/>
    <w:rsid w:val="00106562"/>
    <w:rsid w:val="0010689B"/>
    <w:rsid w:val="001069A7"/>
    <w:rsid w:val="00106AA1"/>
    <w:rsid w:val="00106AE2"/>
    <w:rsid w:val="00106B98"/>
    <w:rsid w:val="0010718E"/>
    <w:rsid w:val="0010748C"/>
    <w:rsid w:val="00107774"/>
    <w:rsid w:val="0010780E"/>
    <w:rsid w:val="00107937"/>
    <w:rsid w:val="00107969"/>
    <w:rsid w:val="001079E2"/>
    <w:rsid w:val="00107D2A"/>
    <w:rsid w:val="00107E2A"/>
    <w:rsid w:val="00107E36"/>
    <w:rsid w:val="00110130"/>
    <w:rsid w:val="001101C2"/>
    <w:rsid w:val="00110235"/>
    <w:rsid w:val="00110293"/>
    <w:rsid w:val="001102B9"/>
    <w:rsid w:val="0011031A"/>
    <w:rsid w:val="001104E1"/>
    <w:rsid w:val="0011054D"/>
    <w:rsid w:val="00110722"/>
    <w:rsid w:val="0011096B"/>
    <w:rsid w:val="001109E8"/>
    <w:rsid w:val="00110A6E"/>
    <w:rsid w:val="00110CA7"/>
    <w:rsid w:val="00110EAC"/>
    <w:rsid w:val="00110EAF"/>
    <w:rsid w:val="00110EFB"/>
    <w:rsid w:val="0011106D"/>
    <w:rsid w:val="00111137"/>
    <w:rsid w:val="0011193B"/>
    <w:rsid w:val="00111D67"/>
    <w:rsid w:val="00111DF3"/>
    <w:rsid w:val="00111E3B"/>
    <w:rsid w:val="00111FB2"/>
    <w:rsid w:val="00111FB4"/>
    <w:rsid w:val="001121DE"/>
    <w:rsid w:val="00112375"/>
    <w:rsid w:val="00112408"/>
    <w:rsid w:val="00112493"/>
    <w:rsid w:val="001124D5"/>
    <w:rsid w:val="001126A6"/>
    <w:rsid w:val="00112841"/>
    <w:rsid w:val="0011291C"/>
    <w:rsid w:val="00112A03"/>
    <w:rsid w:val="00112A4B"/>
    <w:rsid w:val="00112B79"/>
    <w:rsid w:val="00112CAD"/>
    <w:rsid w:val="00113136"/>
    <w:rsid w:val="00113170"/>
    <w:rsid w:val="0011317F"/>
    <w:rsid w:val="001131BC"/>
    <w:rsid w:val="0011345D"/>
    <w:rsid w:val="001134AA"/>
    <w:rsid w:val="001135A5"/>
    <w:rsid w:val="001136FD"/>
    <w:rsid w:val="00113870"/>
    <w:rsid w:val="00113B86"/>
    <w:rsid w:val="00113D3B"/>
    <w:rsid w:val="00113F85"/>
    <w:rsid w:val="00113FE4"/>
    <w:rsid w:val="001141AA"/>
    <w:rsid w:val="00114A4D"/>
    <w:rsid w:val="00114B96"/>
    <w:rsid w:val="00114BF5"/>
    <w:rsid w:val="00114EFC"/>
    <w:rsid w:val="00114F21"/>
    <w:rsid w:val="0011508C"/>
    <w:rsid w:val="00115276"/>
    <w:rsid w:val="00115487"/>
    <w:rsid w:val="001154EA"/>
    <w:rsid w:val="00115534"/>
    <w:rsid w:val="00115568"/>
    <w:rsid w:val="0011589C"/>
    <w:rsid w:val="00115C41"/>
    <w:rsid w:val="00115C92"/>
    <w:rsid w:val="00116081"/>
    <w:rsid w:val="00116144"/>
    <w:rsid w:val="0011626F"/>
    <w:rsid w:val="0011665C"/>
    <w:rsid w:val="0011674D"/>
    <w:rsid w:val="001167CD"/>
    <w:rsid w:val="00116886"/>
    <w:rsid w:val="001169F5"/>
    <w:rsid w:val="00116B68"/>
    <w:rsid w:val="00116C39"/>
    <w:rsid w:val="00116CB6"/>
    <w:rsid w:val="00116E38"/>
    <w:rsid w:val="00117026"/>
    <w:rsid w:val="00117113"/>
    <w:rsid w:val="0011732E"/>
    <w:rsid w:val="00117360"/>
    <w:rsid w:val="001173CA"/>
    <w:rsid w:val="00117557"/>
    <w:rsid w:val="0011762A"/>
    <w:rsid w:val="001176A9"/>
    <w:rsid w:val="001176E0"/>
    <w:rsid w:val="001177D4"/>
    <w:rsid w:val="00117C02"/>
    <w:rsid w:val="00117D67"/>
    <w:rsid w:val="00117E4A"/>
    <w:rsid w:val="00117E77"/>
    <w:rsid w:val="00117FC3"/>
    <w:rsid w:val="00120051"/>
    <w:rsid w:val="001202D3"/>
    <w:rsid w:val="001203F0"/>
    <w:rsid w:val="00120757"/>
    <w:rsid w:val="0012076F"/>
    <w:rsid w:val="001207D1"/>
    <w:rsid w:val="00120A11"/>
    <w:rsid w:val="00120A28"/>
    <w:rsid w:val="00120AB3"/>
    <w:rsid w:val="00120B9B"/>
    <w:rsid w:val="00120C0A"/>
    <w:rsid w:val="00120C0B"/>
    <w:rsid w:val="00120E47"/>
    <w:rsid w:val="00120F50"/>
    <w:rsid w:val="001210B5"/>
    <w:rsid w:val="0012152E"/>
    <w:rsid w:val="00121599"/>
    <w:rsid w:val="00121B08"/>
    <w:rsid w:val="00121B6E"/>
    <w:rsid w:val="00121B9F"/>
    <w:rsid w:val="00121E08"/>
    <w:rsid w:val="00121F6C"/>
    <w:rsid w:val="00122083"/>
    <w:rsid w:val="0012212E"/>
    <w:rsid w:val="001221B9"/>
    <w:rsid w:val="0012241C"/>
    <w:rsid w:val="0012253D"/>
    <w:rsid w:val="0012254D"/>
    <w:rsid w:val="0012254E"/>
    <w:rsid w:val="0012281A"/>
    <w:rsid w:val="001229C6"/>
    <w:rsid w:val="00122AC4"/>
    <w:rsid w:val="00122CA4"/>
    <w:rsid w:val="00122D64"/>
    <w:rsid w:val="00122D86"/>
    <w:rsid w:val="00122EE7"/>
    <w:rsid w:val="00122F8F"/>
    <w:rsid w:val="0012315E"/>
    <w:rsid w:val="00123278"/>
    <w:rsid w:val="0012342C"/>
    <w:rsid w:val="00123825"/>
    <w:rsid w:val="001238EC"/>
    <w:rsid w:val="0012391C"/>
    <w:rsid w:val="00123923"/>
    <w:rsid w:val="00123C42"/>
    <w:rsid w:val="00123E79"/>
    <w:rsid w:val="00123EC0"/>
    <w:rsid w:val="00123FEC"/>
    <w:rsid w:val="001242E1"/>
    <w:rsid w:val="001243B9"/>
    <w:rsid w:val="001245BB"/>
    <w:rsid w:val="00124773"/>
    <w:rsid w:val="001248B7"/>
    <w:rsid w:val="00124EC9"/>
    <w:rsid w:val="00124FA5"/>
    <w:rsid w:val="001251C1"/>
    <w:rsid w:val="001251CC"/>
    <w:rsid w:val="00125234"/>
    <w:rsid w:val="00125272"/>
    <w:rsid w:val="0012545B"/>
    <w:rsid w:val="00125613"/>
    <w:rsid w:val="00125900"/>
    <w:rsid w:val="00125B68"/>
    <w:rsid w:val="00125B9D"/>
    <w:rsid w:val="00125DC6"/>
    <w:rsid w:val="00125FF0"/>
    <w:rsid w:val="00126211"/>
    <w:rsid w:val="0012638E"/>
    <w:rsid w:val="001264E2"/>
    <w:rsid w:val="00126C24"/>
    <w:rsid w:val="00126CC8"/>
    <w:rsid w:val="00126D84"/>
    <w:rsid w:val="0012714A"/>
    <w:rsid w:val="00127222"/>
    <w:rsid w:val="00127256"/>
    <w:rsid w:val="001273B4"/>
    <w:rsid w:val="00127453"/>
    <w:rsid w:val="00127738"/>
    <w:rsid w:val="00127833"/>
    <w:rsid w:val="00127B05"/>
    <w:rsid w:val="00127B10"/>
    <w:rsid w:val="00127C46"/>
    <w:rsid w:val="00127E21"/>
    <w:rsid w:val="00130057"/>
    <w:rsid w:val="0013013C"/>
    <w:rsid w:val="001301E2"/>
    <w:rsid w:val="00130259"/>
    <w:rsid w:val="00130305"/>
    <w:rsid w:val="0013057C"/>
    <w:rsid w:val="0013067E"/>
    <w:rsid w:val="0013094C"/>
    <w:rsid w:val="00130CA6"/>
    <w:rsid w:val="00130E50"/>
    <w:rsid w:val="00130EBB"/>
    <w:rsid w:val="00131022"/>
    <w:rsid w:val="0013123B"/>
    <w:rsid w:val="0013128D"/>
    <w:rsid w:val="001312BF"/>
    <w:rsid w:val="00131360"/>
    <w:rsid w:val="001313B4"/>
    <w:rsid w:val="0013165E"/>
    <w:rsid w:val="001316C3"/>
    <w:rsid w:val="0013185E"/>
    <w:rsid w:val="00131977"/>
    <w:rsid w:val="00131A3D"/>
    <w:rsid w:val="00131DEC"/>
    <w:rsid w:val="00131DEE"/>
    <w:rsid w:val="00131F37"/>
    <w:rsid w:val="00131F62"/>
    <w:rsid w:val="00132142"/>
    <w:rsid w:val="001328FC"/>
    <w:rsid w:val="00132B63"/>
    <w:rsid w:val="00132D5E"/>
    <w:rsid w:val="00132DB1"/>
    <w:rsid w:val="00132DF6"/>
    <w:rsid w:val="00132FDC"/>
    <w:rsid w:val="0013305C"/>
    <w:rsid w:val="00133137"/>
    <w:rsid w:val="0013314B"/>
    <w:rsid w:val="001331D8"/>
    <w:rsid w:val="0013343F"/>
    <w:rsid w:val="001335C5"/>
    <w:rsid w:val="00133620"/>
    <w:rsid w:val="00133741"/>
    <w:rsid w:val="00133826"/>
    <w:rsid w:val="001338F1"/>
    <w:rsid w:val="00133A46"/>
    <w:rsid w:val="00133B05"/>
    <w:rsid w:val="00133B20"/>
    <w:rsid w:val="00133F55"/>
    <w:rsid w:val="001340CA"/>
    <w:rsid w:val="00134284"/>
    <w:rsid w:val="0013430B"/>
    <w:rsid w:val="00134470"/>
    <w:rsid w:val="001344DF"/>
    <w:rsid w:val="0013475E"/>
    <w:rsid w:val="001347AB"/>
    <w:rsid w:val="00134A0C"/>
    <w:rsid w:val="00134B50"/>
    <w:rsid w:val="00134C30"/>
    <w:rsid w:val="00134CA3"/>
    <w:rsid w:val="00134CFB"/>
    <w:rsid w:val="00134D87"/>
    <w:rsid w:val="00134E2A"/>
    <w:rsid w:val="00134EAE"/>
    <w:rsid w:val="00134FE9"/>
    <w:rsid w:val="00135116"/>
    <w:rsid w:val="001351B6"/>
    <w:rsid w:val="0013529E"/>
    <w:rsid w:val="0013544B"/>
    <w:rsid w:val="0013550B"/>
    <w:rsid w:val="001355DA"/>
    <w:rsid w:val="001357B7"/>
    <w:rsid w:val="001358C0"/>
    <w:rsid w:val="00135C50"/>
    <w:rsid w:val="00135D8C"/>
    <w:rsid w:val="00135F7B"/>
    <w:rsid w:val="00135FC3"/>
    <w:rsid w:val="00136016"/>
    <w:rsid w:val="0013626F"/>
    <w:rsid w:val="0013631C"/>
    <w:rsid w:val="001363AE"/>
    <w:rsid w:val="001364A7"/>
    <w:rsid w:val="00136525"/>
    <w:rsid w:val="001366D1"/>
    <w:rsid w:val="0013670E"/>
    <w:rsid w:val="001368CD"/>
    <w:rsid w:val="00136931"/>
    <w:rsid w:val="00136A89"/>
    <w:rsid w:val="00136A9B"/>
    <w:rsid w:val="00136F47"/>
    <w:rsid w:val="0013718E"/>
    <w:rsid w:val="0013723A"/>
    <w:rsid w:val="001372A1"/>
    <w:rsid w:val="001376F4"/>
    <w:rsid w:val="001377FC"/>
    <w:rsid w:val="00137835"/>
    <w:rsid w:val="001378B9"/>
    <w:rsid w:val="00137AEB"/>
    <w:rsid w:val="00137BAB"/>
    <w:rsid w:val="00137E10"/>
    <w:rsid w:val="00137F7E"/>
    <w:rsid w:val="00140712"/>
    <w:rsid w:val="0014086F"/>
    <w:rsid w:val="0014091E"/>
    <w:rsid w:val="00140A4E"/>
    <w:rsid w:val="00140B69"/>
    <w:rsid w:val="00140D04"/>
    <w:rsid w:val="00140F6E"/>
    <w:rsid w:val="001415B9"/>
    <w:rsid w:val="00141946"/>
    <w:rsid w:val="00141ABA"/>
    <w:rsid w:val="00141D95"/>
    <w:rsid w:val="00141E51"/>
    <w:rsid w:val="001420E0"/>
    <w:rsid w:val="00142516"/>
    <w:rsid w:val="001425E6"/>
    <w:rsid w:val="00142678"/>
    <w:rsid w:val="001427A5"/>
    <w:rsid w:val="00142831"/>
    <w:rsid w:val="00142889"/>
    <w:rsid w:val="00142947"/>
    <w:rsid w:val="001429B5"/>
    <w:rsid w:val="00142D8B"/>
    <w:rsid w:val="00142F89"/>
    <w:rsid w:val="001432E8"/>
    <w:rsid w:val="00143340"/>
    <w:rsid w:val="00143382"/>
    <w:rsid w:val="001435F5"/>
    <w:rsid w:val="001437B2"/>
    <w:rsid w:val="00143861"/>
    <w:rsid w:val="0014396F"/>
    <w:rsid w:val="00143BAB"/>
    <w:rsid w:val="00143D2B"/>
    <w:rsid w:val="00144093"/>
    <w:rsid w:val="00144776"/>
    <w:rsid w:val="001448B9"/>
    <w:rsid w:val="00144CA9"/>
    <w:rsid w:val="00144E3B"/>
    <w:rsid w:val="001451EC"/>
    <w:rsid w:val="00145B6A"/>
    <w:rsid w:val="00145C55"/>
    <w:rsid w:val="00145CD7"/>
    <w:rsid w:val="00145DDF"/>
    <w:rsid w:val="00145F01"/>
    <w:rsid w:val="00145F3B"/>
    <w:rsid w:val="00145FC9"/>
    <w:rsid w:val="0014615C"/>
    <w:rsid w:val="00146433"/>
    <w:rsid w:val="001464A5"/>
    <w:rsid w:val="0014689E"/>
    <w:rsid w:val="001468F4"/>
    <w:rsid w:val="00146A42"/>
    <w:rsid w:val="00146A7C"/>
    <w:rsid w:val="00146AF0"/>
    <w:rsid w:val="00146C63"/>
    <w:rsid w:val="00146DDE"/>
    <w:rsid w:val="00146E86"/>
    <w:rsid w:val="00147131"/>
    <w:rsid w:val="0014726F"/>
    <w:rsid w:val="00147298"/>
    <w:rsid w:val="001472E8"/>
    <w:rsid w:val="001473CC"/>
    <w:rsid w:val="001477C9"/>
    <w:rsid w:val="001478EB"/>
    <w:rsid w:val="001479E8"/>
    <w:rsid w:val="00147A91"/>
    <w:rsid w:val="00147ABC"/>
    <w:rsid w:val="00147D25"/>
    <w:rsid w:val="00147D5D"/>
    <w:rsid w:val="00147E3C"/>
    <w:rsid w:val="00150056"/>
    <w:rsid w:val="00150169"/>
    <w:rsid w:val="001501EC"/>
    <w:rsid w:val="001502FE"/>
    <w:rsid w:val="001503F3"/>
    <w:rsid w:val="001507B3"/>
    <w:rsid w:val="001507E8"/>
    <w:rsid w:val="00150864"/>
    <w:rsid w:val="00150B85"/>
    <w:rsid w:val="00150B9B"/>
    <w:rsid w:val="00150DFB"/>
    <w:rsid w:val="00150E0C"/>
    <w:rsid w:val="00150FCD"/>
    <w:rsid w:val="00151334"/>
    <w:rsid w:val="00151343"/>
    <w:rsid w:val="00151386"/>
    <w:rsid w:val="001513A8"/>
    <w:rsid w:val="001513DF"/>
    <w:rsid w:val="001513FA"/>
    <w:rsid w:val="0015148B"/>
    <w:rsid w:val="001515ED"/>
    <w:rsid w:val="001519F2"/>
    <w:rsid w:val="00151B33"/>
    <w:rsid w:val="00151C37"/>
    <w:rsid w:val="001523FB"/>
    <w:rsid w:val="0015240A"/>
    <w:rsid w:val="00152562"/>
    <w:rsid w:val="0015271C"/>
    <w:rsid w:val="00152D94"/>
    <w:rsid w:val="00152EA0"/>
    <w:rsid w:val="00152FAE"/>
    <w:rsid w:val="00153096"/>
    <w:rsid w:val="00153245"/>
    <w:rsid w:val="00153252"/>
    <w:rsid w:val="00153353"/>
    <w:rsid w:val="00153447"/>
    <w:rsid w:val="001536D4"/>
    <w:rsid w:val="0015373F"/>
    <w:rsid w:val="0015380C"/>
    <w:rsid w:val="001538AA"/>
    <w:rsid w:val="00153975"/>
    <w:rsid w:val="00153A17"/>
    <w:rsid w:val="00153FB0"/>
    <w:rsid w:val="00154069"/>
    <w:rsid w:val="00154252"/>
    <w:rsid w:val="001542FA"/>
    <w:rsid w:val="001543D1"/>
    <w:rsid w:val="0015440E"/>
    <w:rsid w:val="001544EB"/>
    <w:rsid w:val="0015465E"/>
    <w:rsid w:val="00154864"/>
    <w:rsid w:val="001548A8"/>
    <w:rsid w:val="00154A69"/>
    <w:rsid w:val="00154CA6"/>
    <w:rsid w:val="00154F5C"/>
    <w:rsid w:val="00155131"/>
    <w:rsid w:val="00155153"/>
    <w:rsid w:val="001551C0"/>
    <w:rsid w:val="0015535F"/>
    <w:rsid w:val="00155541"/>
    <w:rsid w:val="00155650"/>
    <w:rsid w:val="0015575E"/>
    <w:rsid w:val="001557A2"/>
    <w:rsid w:val="001559C1"/>
    <w:rsid w:val="001559F0"/>
    <w:rsid w:val="00155B05"/>
    <w:rsid w:val="00155B99"/>
    <w:rsid w:val="00155BA3"/>
    <w:rsid w:val="00155C64"/>
    <w:rsid w:val="00155C96"/>
    <w:rsid w:val="00155D1A"/>
    <w:rsid w:val="00155D74"/>
    <w:rsid w:val="00155E00"/>
    <w:rsid w:val="00155E0A"/>
    <w:rsid w:val="00155E8B"/>
    <w:rsid w:val="001560C2"/>
    <w:rsid w:val="001565A5"/>
    <w:rsid w:val="0015672C"/>
    <w:rsid w:val="0015684E"/>
    <w:rsid w:val="00156A61"/>
    <w:rsid w:val="00156BCF"/>
    <w:rsid w:val="00156BD4"/>
    <w:rsid w:val="00156C41"/>
    <w:rsid w:val="00157000"/>
    <w:rsid w:val="00157154"/>
    <w:rsid w:val="001573BF"/>
    <w:rsid w:val="00157402"/>
    <w:rsid w:val="00157444"/>
    <w:rsid w:val="00157556"/>
    <w:rsid w:val="00157628"/>
    <w:rsid w:val="00157658"/>
    <w:rsid w:val="00157677"/>
    <w:rsid w:val="001576A1"/>
    <w:rsid w:val="001576C7"/>
    <w:rsid w:val="001579C9"/>
    <w:rsid w:val="00157A93"/>
    <w:rsid w:val="00157B6A"/>
    <w:rsid w:val="00160185"/>
    <w:rsid w:val="0016029F"/>
    <w:rsid w:val="00160479"/>
    <w:rsid w:val="0016052D"/>
    <w:rsid w:val="001608C7"/>
    <w:rsid w:val="00160AFD"/>
    <w:rsid w:val="00160B64"/>
    <w:rsid w:val="00160D77"/>
    <w:rsid w:val="00160E36"/>
    <w:rsid w:val="00161065"/>
    <w:rsid w:val="00161077"/>
    <w:rsid w:val="00161122"/>
    <w:rsid w:val="00161183"/>
    <w:rsid w:val="00161375"/>
    <w:rsid w:val="00161598"/>
    <w:rsid w:val="001617FD"/>
    <w:rsid w:val="00161A22"/>
    <w:rsid w:val="00161A71"/>
    <w:rsid w:val="00161F4B"/>
    <w:rsid w:val="00161F82"/>
    <w:rsid w:val="00162200"/>
    <w:rsid w:val="001622D1"/>
    <w:rsid w:val="0016230F"/>
    <w:rsid w:val="001625D0"/>
    <w:rsid w:val="00162604"/>
    <w:rsid w:val="0016274A"/>
    <w:rsid w:val="001629A9"/>
    <w:rsid w:val="00162A04"/>
    <w:rsid w:val="00162A13"/>
    <w:rsid w:val="00162C17"/>
    <w:rsid w:val="00162CB3"/>
    <w:rsid w:val="00162EE3"/>
    <w:rsid w:val="0016304B"/>
    <w:rsid w:val="001632C5"/>
    <w:rsid w:val="00163749"/>
    <w:rsid w:val="00163960"/>
    <w:rsid w:val="00163B50"/>
    <w:rsid w:val="00163DD1"/>
    <w:rsid w:val="00163E7C"/>
    <w:rsid w:val="00163F00"/>
    <w:rsid w:val="00164201"/>
    <w:rsid w:val="0016463A"/>
    <w:rsid w:val="001646D3"/>
    <w:rsid w:val="0016474C"/>
    <w:rsid w:val="0016496A"/>
    <w:rsid w:val="00164DB5"/>
    <w:rsid w:val="00164EE2"/>
    <w:rsid w:val="00164F9D"/>
    <w:rsid w:val="0016508B"/>
    <w:rsid w:val="001651AF"/>
    <w:rsid w:val="0016522C"/>
    <w:rsid w:val="00165308"/>
    <w:rsid w:val="001653CB"/>
    <w:rsid w:val="001654C2"/>
    <w:rsid w:val="00165537"/>
    <w:rsid w:val="0016560A"/>
    <w:rsid w:val="00165675"/>
    <w:rsid w:val="0016579C"/>
    <w:rsid w:val="00165AF9"/>
    <w:rsid w:val="00165C70"/>
    <w:rsid w:val="00165D38"/>
    <w:rsid w:val="00165EED"/>
    <w:rsid w:val="00166084"/>
    <w:rsid w:val="00166351"/>
    <w:rsid w:val="001663D0"/>
    <w:rsid w:val="001664B0"/>
    <w:rsid w:val="001667EA"/>
    <w:rsid w:val="00166826"/>
    <w:rsid w:val="00166972"/>
    <w:rsid w:val="001669DF"/>
    <w:rsid w:val="00166A05"/>
    <w:rsid w:val="00166A21"/>
    <w:rsid w:val="00166D95"/>
    <w:rsid w:val="00166E85"/>
    <w:rsid w:val="00166F96"/>
    <w:rsid w:val="00167025"/>
    <w:rsid w:val="001671F6"/>
    <w:rsid w:val="001675B7"/>
    <w:rsid w:val="001675ED"/>
    <w:rsid w:val="00167A56"/>
    <w:rsid w:val="00167A66"/>
    <w:rsid w:val="00167DF5"/>
    <w:rsid w:val="00167E29"/>
    <w:rsid w:val="0017000C"/>
    <w:rsid w:val="001700EA"/>
    <w:rsid w:val="001701F7"/>
    <w:rsid w:val="001704F3"/>
    <w:rsid w:val="00170971"/>
    <w:rsid w:val="00170E70"/>
    <w:rsid w:val="00170F3E"/>
    <w:rsid w:val="00170FB0"/>
    <w:rsid w:val="0017104B"/>
    <w:rsid w:val="00171100"/>
    <w:rsid w:val="0017123E"/>
    <w:rsid w:val="001712B6"/>
    <w:rsid w:val="001714CC"/>
    <w:rsid w:val="00171A33"/>
    <w:rsid w:val="00171C7F"/>
    <w:rsid w:val="00171CE4"/>
    <w:rsid w:val="00171CF7"/>
    <w:rsid w:val="00171DC6"/>
    <w:rsid w:val="00171F8E"/>
    <w:rsid w:val="001720D5"/>
    <w:rsid w:val="001722AA"/>
    <w:rsid w:val="00172398"/>
    <w:rsid w:val="00172451"/>
    <w:rsid w:val="0017246E"/>
    <w:rsid w:val="00172594"/>
    <w:rsid w:val="00172612"/>
    <w:rsid w:val="001729BE"/>
    <w:rsid w:val="00172A33"/>
    <w:rsid w:val="00173045"/>
    <w:rsid w:val="00173225"/>
    <w:rsid w:val="001732CE"/>
    <w:rsid w:val="0017334E"/>
    <w:rsid w:val="0017368D"/>
    <w:rsid w:val="0017375A"/>
    <w:rsid w:val="00173947"/>
    <w:rsid w:val="001739BD"/>
    <w:rsid w:val="00173B8A"/>
    <w:rsid w:val="00173C4E"/>
    <w:rsid w:val="00173CA0"/>
    <w:rsid w:val="00173ECD"/>
    <w:rsid w:val="00173EF4"/>
    <w:rsid w:val="00173F97"/>
    <w:rsid w:val="0017407D"/>
    <w:rsid w:val="001744E8"/>
    <w:rsid w:val="0017460F"/>
    <w:rsid w:val="00174763"/>
    <w:rsid w:val="001747C6"/>
    <w:rsid w:val="0017480F"/>
    <w:rsid w:val="00174B76"/>
    <w:rsid w:val="00174EF3"/>
    <w:rsid w:val="0017539C"/>
    <w:rsid w:val="0017540B"/>
    <w:rsid w:val="00175446"/>
    <w:rsid w:val="001754E6"/>
    <w:rsid w:val="001755E0"/>
    <w:rsid w:val="00175688"/>
    <w:rsid w:val="001756AE"/>
    <w:rsid w:val="001756E4"/>
    <w:rsid w:val="00175720"/>
    <w:rsid w:val="0017592B"/>
    <w:rsid w:val="00175B03"/>
    <w:rsid w:val="00175B35"/>
    <w:rsid w:val="00175B63"/>
    <w:rsid w:val="00175D46"/>
    <w:rsid w:val="00175EFF"/>
    <w:rsid w:val="00176088"/>
    <w:rsid w:val="00176181"/>
    <w:rsid w:val="001763AA"/>
    <w:rsid w:val="0017645D"/>
    <w:rsid w:val="00176484"/>
    <w:rsid w:val="00176565"/>
    <w:rsid w:val="001766A0"/>
    <w:rsid w:val="0017686A"/>
    <w:rsid w:val="001768E3"/>
    <w:rsid w:val="0017691B"/>
    <w:rsid w:val="00176A10"/>
    <w:rsid w:val="00176B31"/>
    <w:rsid w:val="00176C9F"/>
    <w:rsid w:val="00176DE8"/>
    <w:rsid w:val="00176F0B"/>
    <w:rsid w:val="00176FD5"/>
    <w:rsid w:val="0017708B"/>
    <w:rsid w:val="001771BB"/>
    <w:rsid w:val="00177240"/>
    <w:rsid w:val="00177324"/>
    <w:rsid w:val="001774F0"/>
    <w:rsid w:val="0017750F"/>
    <w:rsid w:val="00177586"/>
    <w:rsid w:val="001777FD"/>
    <w:rsid w:val="00177818"/>
    <w:rsid w:val="0017792E"/>
    <w:rsid w:val="00177964"/>
    <w:rsid w:val="001779A7"/>
    <w:rsid w:val="001779B8"/>
    <w:rsid w:val="001801E6"/>
    <w:rsid w:val="0018054D"/>
    <w:rsid w:val="0018057D"/>
    <w:rsid w:val="00180691"/>
    <w:rsid w:val="00180772"/>
    <w:rsid w:val="001809B7"/>
    <w:rsid w:val="00180B2E"/>
    <w:rsid w:val="00180B42"/>
    <w:rsid w:val="00180D70"/>
    <w:rsid w:val="00180D82"/>
    <w:rsid w:val="00180D8B"/>
    <w:rsid w:val="00180DBC"/>
    <w:rsid w:val="00180E79"/>
    <w:rsid w:val="00180F2C"/>
    <w:rsid w:val="0018109B"/>
    <w:rsid w:val="001810F2"/>
    <w:rsid w:val="00181526"/>
    <w:rsid w:val="00181671"/>
    <w:rsid w:val="0018179C"/>
    <w:rsid w:val="00181857"/>
    <w:rsid w:val="00181863"/>
    <w:rsid w:val="001819F1"/>
    <w:rsid w:val="00181D35"/>
    <w:rsid w:val="001820B5"/>
    <w:rsid w:val="00182138"/>
    <w:rsid w:val="001821B5"/>
    <w:rsid w:val="001823CC"/>
    <w:rsid w:val="001823F3"/>
    <w:rsid w:val="00182566"/>
    <w:rsid w:val="001825F6"/>
    <w:rsid w:val="001825FC"/>
    <w:rsid w:val="00182B6F"/>
    <w:rsid w:val="00182CBC"/>
    <w:rsid w:val="00182DFA"/>
    <w:rsid w:val="001831E3"/>
    <w:rsid w:val="001834AB"/>
    <w:rsid w:val="001834B4"/>
    <w:rsid w:val="0018361C"/>
    <w:rsid w:val="001836FD"/>
    <w:rsid w:val="0018391F"/>
    <w:rsid w:val="00183A64"/>
    <w:rsid w:val="00183A79"/>
    <w:rsid w:val="00183B59"/>
    <w:rsid w:val="00183BE9"/>
    <w:rsid w:val="00183C01"/>
    <w:rsid w:val="00183E18"/>
    <w:rsid w:val="00183E79"/>
    <w:rsid w:val="001842D3"/>
    <w:rsid w:val="001843EF"/>
    <w:rsid w:val="00184425"/>
    <w:rsid w:val="00184473"/>
    <w:rsid w:val="0018490F"/>
    <w:rsid w:val="00184A89"/>
    <w:rsid w:val="00184A9E"/>
    <w:rsid w:val="00184BBA"/>
    <w:rsid w:val="00184E61"/>
    <w:rsid w:val="00184F4C"/>
    <w:rsid w:val="00184F83"/>
    <w:rsid w:val="0018537E"/>
    <w:rsid w:val="001855A5"/>
    <w:rsid w:val="001855A6"/>
    <w:rsid w:val="0018570B"/>
    <w:rsid w:val="00185980"/>
    <w:rsid w:val="00185AA0"/>
    <w:rsid w:val="00185EAF"/>
    <w:rsid w:val="00185F1F"/>
    <w:rsid w:val="00186069"/>
    <w:rsid w:val="00186351"/>
    <w:rsid w:val="0018660F"/>
    <w:rsid w:val="00186631"/>
    <w:rsid w:val="00186684"/>
    <w:rsid w:val="001867A9"/>
    <w:rsid w:val="00186929"/>
    <w:rsid w:val="00186A45"/>
    <w:rsid w:val="00186ADB"/>
    <w:rsid w:val="00186B13"/>
    <w:rsid w:val="00186B40"/>
    <w:rsid w:val="00186C92"/>
    <w:rsid w:val="00186CF1"/>
    <w:rsid w:val="00186EB8"/>
    <w:rsid w:val="00186F87"/>
    <w:rsid w:val="00187146"/>
    <w:rsid w:val="00187306"/>
    <w:rsid w:val="0018759E"/>
    <w:rsid w:val="00187E38"/>
    <w:rsid w:val="00187F8F"/>
    <w:rsid w:val="001900E8"/>
    <w:rsid w:val="0019010C"/>
    <w:rsid w:val="00190216"/>
    <w:rsid w:val="0019022F"/>
    <w:rsid w:val="00190A1F"/>
    <w:rsid w:val="00190B34"/>
    <w:rsid w:val="00190D3E"/>
    <w:rsid w:val="00190E04"/>
    <w:rsid w:val="00190E54"/>
    <w:rsid w:val="00190FD3"/>
    <w:rsid w:val="0019103B"/>
    <w:rsid w:val="0019185A"/>
    <w:rsid w:val="00191886"/>
    <w:rsid w:val="00191937"/>
    <w:rsid w:val="001919DC"/>
    <w:rsid w:val="001919E6"/>
    <w:rsid w:val="00191A95"/>
    <w:rsid w:val="00191AFC"/>
    <w:rsid w:val="00191EB3"/>
    <w:rsid w:val="001920EB"/>
    <w:rsid w:val="00192102"/>
    <w:rsid w:val="00192A40"/>
    <w:rsid w:val="00192BD0"/>
    <w:rsid w:val="00192D83"/>
    <w:rsid w:val="00192DC7"/>
    <w:rsid w:val="00192E36"/>
    <w:rsid w:val="00192EAD"/>
    <w:rsid w:val="001931BF"/>
    <w:rsid w:val="001932CA"/>
    <w:rsid w:val="001933BA"/>
    <w:rsid w:val="00193BFE"/>
    <w:rsid w:val="00193C48"/>
    <w:rsid w:val="00193D43"/>
    <w:rsid w:val="00194511"/>
    <w:rsid w:val="00194708"/>
    <w:rsid w:val="001948A4"/>
    <w:rsid w:val="00194912"/>
    <w:rsid w:val="00194AFF"/>
    <w:rsid w:val="00194D72"/>
    <w:rsid w:val="00194F19"/>
    <w:rsid w:val="0019500B"/>
    <w:rsid w:val="0019515C"/>
    <w:rsid w:val="00195165"/>
    <w:rsid w:val="001951C6"/>
    <w:rsid w:val="0019526D"/>
    <w:rsid w:val="001952A8"/>
    <w:rsid w:val="001953B7"/>
    <w:rsid w:val="001953F2"/>
    <w:rsid w:val="001958DF"/>
    <w:rsid w:val="00195A47"/>
    <w:rsid w:val="00195AAB"/>
    <w:rsid w:val="00195D02"/>
    <w:rsid w:val="00195D43"/>
    <w:rsid w:val="00195E47"/>
    <w:rsid w:val="00195E98"/>
    <w:rsid w:val="00195FAC"/>
    <w:rsid w:val="00196017"/>
    <w:rsid w:val="001960AF"/>
    <w:rsid w:val="001960B1"/>
    <w:rsid w:val="001964D5"/>
    <w:rsid w:val="0019652E"/>
    <w:rsid w:val="001966C8"/>
    <w:rsid w:val="001967A6"/>
    <w:rsid w:val="001967F5"/>
    <w:rsid w:val="00196815"/>
    <w:rsid w:val="00196886"/>
    <w:rsid w:val="00196A15"/>
    <w:rsid w:val="00196A22"/>
    <w:rsid w:val="00196AE3"/>
    <w:rsid w:val="00196BCB"/>
    <w:rsid w:val="00196C85"/>
    <w:rsid w:val="00196DB8"/>
    <w:rsid w:val="00196F06"/>
    <w:rsid w:val="0019713D"/>
    <w:rsid w:val="001971D4"/>
    <w:rsid w:val="00197253"/>
    <w:rsid w:val="001973DD"/>
    <w:rsid w:val="0019747C"/>
    <w:rsid w:val="001974A3"/>
    <w:rsid w:val="001974C2"/>
    <w:rsid w:val="00197578"/>
    <w:rsid w:val="00197825"/>
    <w:rsid w:val="00197881"/>
    <w:rsid w:val="00197917"/>
    <w:rsid w:val="00197972"/>
    <w:rsid w:val="001979A8"/>
    <w:rsid w:val="00197A92"/>
    <w:rsid w:val="00197B77"/>
    <w:rsid w:val="00197CC2"/>
    <w:rsid w:val="00197D66"/>
    <w:rsid w:val="00197E3A"/>
    <w:rsid w:val="001A0005"/>
    <w:rsid w:val="001A0118"/>
    <w:rsid w:val="001A02EC"/>
    <w:rsid w:val="001A035F"/>
    <w:rsid w:val="001A03AB"/>
    <w:rsid w:val="001A0550"/>
    <w:rsid w:val="001A058D"/>
    <w:rsid w:val="001A085F"/>
    <w:rsid w:val="001A0878"/>
    <w:rsid w:val="001A08D5"/>
    <w:rsid w:val="001A0F63"/>
    <w:rsid w:val="001A1251"/>
    <w:rsid w:val="001A1278"/>
    <w:rsid w:val="001A1311"/>
    <w:rsid w:val="001A1405"/>
    <w:rsid w:val="001A17F6"/>
    <w:rsid w:val="001A1D46"/>
    <w:rsid w:val="001A2250"/>
    <w:rsid w:val="001A225D"/>
    <w:rsid w:val="001A22D7"/>
    <w:rsid w:val="001A2454"/>
    <w:rsid w:val="001A2732"/>
    <w:rsid w:val="001A29C8"/>
    <w:rsid w:val="001A2B1A"/>
    <w:rsid w:val="001A2B6B"/>
    <w:rsid w:val="001A2D16"/>
    <w:rsid w:val="001A2E7D"/>
    <w:rsid w:val="001A2F59"/>
    <w:rsid w:val="001A2F85"/>
    <w:rsid w:val="001A30DD"/>
    <w:rsid w:val="001A314E"/>
    <w:rsid w:val="001A340F"/>
    <w:rsid w:val="001A3715"/>
    <w:rsid w:val="001A37C7"/>
    <w:rsid w:val="001A389E"/>
    <w:rsid w:val="001A38F9"/>
    <w:rsid w:val="001A3AD8"/>
    <w:rsid w:val="001A3AE8"/>
    <w:rsid w:val="001A3B7A"/>
    <w:rsid w:val="001A3F5A"/>
    <w:rsid w:val="001A4091"/>
    <w:rsid w:val="001A4412"/>
    <w:rsid w:val="001A44BF"/>
    <w:rsid w:val="001A45C8"/>
    <w:rsid w:val="001A4631"/>
    <w:rsid w:val="001A464D"/>
    <w:rsid w:val="001A470B"/>
    <w:rsid w:val="001A476E"/>
    <w:rsid w:val="001A48C1"/>
    <w:rsid w:val="001A4B19"/>
    <w:rsid w:val="001A4B5E"/>
    <w:rsid w:val="001A4DBD"/>
    <w:rsid w:val="001A4EBB"/>
    <w:rsid w:val="001A4F3E"/>
    <w:rsid w:val="001A527F"/>
    <w:rsid w:val="001A55CB"/>
    <w:rsid w:val="001A5676"/>
    <w:rsid w:val="001A59CB"/>
    <w:rsid w:val="001A5A36"/>
    <w:rsid w:val="001A5AE2"/>
    <w:rsid w:val="001A5C6B"/>
    <w:rsid w:val="001A5C80"/>
    <w:rsid w:val="001A5E50"/>
    <w:rsid w:val="001A61E9"/>
    <w:rsid w:val="001A65CC"/>
    <w:rsid w:val="001A65E3"/>
    <w:rsid w:val="001A6789"/>
    <w:rsid w:val="001A6AD4"/>
    <w:rsid w:val="001A6CC1"/>
    <w:rsid w:val="001A6D46"/>
    <w:rsid w:val="001A6FD7"/>
    <w:rsid w:val="001A71C4"/>
    <w:rsid w:val="001A72AB"/>
    <w:rsid w:val="001A7582"/>
    <w:rsid w:val="001A7838"/>
    <w:rsid w:val="001A7923"/>
    <w:rsid w:val="001A7BFB"/>
    <w:rsid w:val="001A7CDC"/>
    <w:rsid w:val="001A7F83"/>
    <w:rsid w:val="001B0494"/>
    <w:rsid w:val="001B04C6"/>
    <w:rsid w:val="001B0651"/>
    <w:rsid w:val="001B06F5"/>
    <w:rsid w:val="001B0795"/>
    <w:rsid w:val="001B0817"/>
    <w:rsid w:val="001B0AA4"/>
    <w:rsid w:val="001B0AAF"/>
    <w:rsid w:val="001B0B3C"/>
    <w:rsid w:val="001B0C00"/>
    <w:rsid w:val="001B0E98"/>
    <w:rsid w:val="001B1092"/>
    <w:rsid w:val="001B13A3"/>
    <w:rsid w:val="001B1423"/>
    <w:rsid w:val="001B14E5"/>
    <w:rsid w:val="001B1523"/>
    <w:rsid w:val="001B189A"/>
    <w:rsid w:val="001B1A5E"/>
    <w:rsid w:val="001B1D17"/>
    <w:rsid w:val="001B1D3A"/>
    <w:rsid w:val="001B2000"/>
    <w:rsid w:val="001B2209"/>
    <w:rsid w:val="001B229C"/>
    <w:rsid w:val="001B22B2"/>
    <w:rsid w:val="001B249F"/>
    <w:rsid w:val="001B2855"/>
    <w:rsid w:val="001B286C"/>
    <w:rsid w:val="001B28AA"/>
    <w:rsid w:val="001B2A48"/>
    <w:rsid w:val="001B2AAB"/>
    <w:rsid w:val="001B2BC6"/>
    <w:rsid w:val="001B2C3A"/>
    <w:rsid w:val="001B2CE9"/>
    <w:rsid w:val="001B2D73"/>
    <w:rsid w:val="001B2DA8"/>
    <w:rsid w:val="001B2EEB"/>
    <w:rsid w:val="001B2FFB"/>
    <w:rsid w:val="001B337D"/>
    <w:rsid w:val="001B337F"/>
    <w:rsid w:val="001B346C"/>
    <w:rsid w:val="001B35F8"/>
    <w:rsid w:val="001B3D4D"/>
    <w:rsid w:val="001B4332"/>
    <w:rsid w:val="001B43CA"/>
    <w:rsid w:val="001B45EA"/>
    <w:rsid w:val="001B4AA8"/>
    <w:rsid w:val="001B4AFD"/>
    <w:rsid w:val="001B4D75"/>
    <w:rsid w:val="001B4E6D"/>
    <w:rsid w:val="001B4EF7"/>
    <w:rsid w:val="001B4F6F"/>
    <w:rsid w:val="001B51E2"/>
    <w:rsid w:val="001B55B8"/>
    <w:rsid w:val="001B55EF"/>
    <w:rsid w:val="001B5652"/>
    <w:rsid w:val="001B5775"/>
    <w:rsid w:val="001B57E7"/>
    <w:rsid w:val="001B5ABB"/>
    <w:rsid w:val="001B5B27"/>
    <w:rsid w:val="001B5CD7"/>
    <w:rsid w:val="001B5E50"/>
    <w:rsid w:val="001B5E82"/>
    <w:rsid w:val="001B5ECF"/>
    <w:rsid w:val="001B5F84"/>
    <w:rsid w:val="001B6005"/>
    <w:rsid w:val="001B629B"/>
    <w:rsid w:val="001B6435"/>
    <w:rsid w:val="001B6438"/>
    <w:rsid w:val="001B64CB"/>
    <w:rsid w:val="001B65CE"/>
    <w:rsid w:val="001B6707"/>
    <w:rsid w:val="001B6835"/>
    <w:rsid w:val="001B6AF3"/>
    <w:rsid w:val="001B6CCD"/>
    <w:rsid w:val="001B7072"/>
    <w:rsid w:val="001B718A"/>
    <w:rsid w:val="001B7402"/>
    <w:rsid w:val="001B75ED"/>
    <w:rsid w:val="001B7630"/>
    <w:rsid w:val="001B7A63"/>
    <w:rsid w:val="001B7EA9"/>
    <w:rsid w:val="001B7FE1"/>
    <w:rsid w:val="001C006D"/>
    <w:rsid w:val="001C00E7"/>
    <w:rsid w:val="001C0173"/>
    <w:rsid w:val="001C0175"/>
    <w:rsid w:val="001C02A9"/>
    <w:rsid w:val="001C0358"/>
    <w:rsid w:val="001C0365"/>
    <w:rsid w:val="001C0858"/>
    <w:rsid w:val="001C087F"/>
    <w:rsid w:val="001C0900"/>
    <w:rsid w:val="001C0986"/>
    <w:rsid w:val="001C0AA5"/>
    <w:rsid w:val="001C0D96"/>
    <w:rsid w:val="001C111D"/>
    <w:rsid w:val="001C11BB"/>
    <w:rsid w:val="001C13DD"/>
    <w:rsid w:val="001C155B"/>
    <w:rsid w:val="001C163A"/>
    <w:rsid w:val="001C166B"/>
    <w:rsid w:val="001C1ACA"/>
    <w:rsid w:val="001C1B29"/>
    <w:rsid w:val="001C1E3D"/>
    <w:rsid w:val="001C1EA1"/>
    <w:rsid w:val="001C1FBE"/>
    <w:rsid w:val="001C2149"/>
    <w:rsid w:val="001C241F"/>
    <w:rsid w:val="001C261C"/>
    <w:rsid w:val="001C2630"/>
    <w:rsid w:val="001C2719"/>
    <w:rsid w:val="001C2734"/>
    <w:rsid w:val="001C280D"/>
    <w:rsid w:val="001C29A6"/>
    <w:rsid w:val="001C2A49"/>
    <w:rsid w:val="001C2AA4"/>
    <w:rsid w:val="001C2CAB"/>
    <w:rsid w:val="001C2E60"/>
    <w:rsid w:val="001C2EA6"/>
    <w:rsid w:val="001C2F73"/>
    <w:rsid w:val="001C34BF"/>
    <w:rsid w:val="001C3683"/>
    <w:rsid w:val="001C3882"/>
    <w:rsid w:val="001C38A7"/>
    <w:rsid w:val="001C3CBE"/>
    <w:rsid w:val="001C40C0"/>
    <w:rsid w:val="001C418A"/>
    <w:rsid w:val="001C41C3"/>
    <w:rsid w:val="001C436B"/>
    <w:rsid w:val="001C4552"/>
    <w:rsid w:val="001C45F2"/>
    <w:rsid w:val="001C46DE"/>
    <w:rsid w:val="001C46FD"/>
    <w:rsid w:val="001C47B4"/>
    <w:rsid w:val="001C47D3"/>
    <w:rsid w:val="001C4989"/>
    <w:rsid w:val="001C4BDF"/>
    <w:rsid w:val="001C4BE6"/>
    <w:rsid w:val="001C4E3E"/>
    <w:rsid w:val="001C4EDC"/>
    <w:rsid w:val="001C4F51"/>
    <w:rsid w:val="001C4F65"/>
    <w:rsid w:val="001C4FC0"/>
    <w:rsid w:val="001C5167"/>
    <w:rsid w:val="001C5351"/>
    <w:rsid w:val="001C5352"/>
    <w:rsid w:val="001C53E6"/>
    <w:rsid w:val="001C55CC"/>
    <w:rsid w:val="001C564B"/>
    <w:rsid w:val="001C56EB"/>
    <w:rsid w:val="001C573C"/>
    <w:rsid w:val="001C598A"/>
    <w:rsid w:val="001C5AB2"/>
    <w:rsid w:val="001C5AE9"/>
    <w:rsid w:val="001C5C7B"/>
    <w:rsid w:val="001C5D4F"/>
    <w:rsid w:val="001C5D88"/>
    <w:rsid w:val="001C5EA0"/>
    <w:rsid w:val="001C6146"/>
    <w:rsid w:val="001C6163"/>
    <w:rsid w:val="001C662D"/>
    <w:rsid w:val="001C67A9"/>
    <w:rsid w:val="001C6998"/>
    <w:rsid w:val="001C6A19"/>
    <w:rsid w:val="001C6A3A"/>
    <w:rsid w:val="001C6CE1"/>
    <w:rsid w:val="001C6D28"/>
    <w:rsid w:val="001C6D7B"/>
    <w:rsid w:val="001C6EDB"/>
    <w:rsid w:val="001C708A"/>
    <w:rsid w:val="001C729B"/>
    <w:rsid w:val="001C72E2"/>
    <w:rsid w:val="001C7481"/>
    <w:rsid w:val="001C7803"/>
    <w:rsid w:val="001C7AA8"/>
    <w:rsid w:val="001C7B6E"/>
    <w:rsid w:val="001C7B9E"/>
    <w:rsid w:val="001C7FF5"/>
    <w:rsid w:val="001D00AE"/>
    <w:rsid w:val="001D037F"/>
    <w:rsid w:val="001D04DB"/>
    <w:rsid w:val="001D0A89"/>
    <w:rsid w:val="001D0B73"/>
    <w:rsid w:val="001D10F8"/>
    <w:rsid w:val="001D15FB"/>
    <w:rsid w:val="001D1740"/>
    <w:rsid w:val="001D18B8"/>
    <w:rsid w:val="001D198D"/>
    <w:rsid w:val="001D1A6A"/>
    <w:rsid w:val="001D1D7D"/>
    <w:rsid w:val="001D1DEE"/>
    <w:rsid w:val="001D2030"/>
    <w:rsid w:val="001D2032"/>
    <w:rsid w:val="001D237C"/>
    <w:rsid w:val="001D23DE"/>
    <w:rsid w:val="001D25A4"/>
    <w:rsid w:val="001D2969"/>
    <w:rsid w:val="001D2F16"/>
    <w:rsid w:val="001D3052"/>
    <w:rsid w:val="001D309B"/>
    <w:rsid w:val="001D3158"/>
    <w:rsid w:val="001D324B"/>
    <w:rsid w:val="001D3292"/>
    <w:rsid w:val="001D32A6"/>
    <w:rsid w:val="001D3362"/>
    <w:rsid w:val="001D36AF"/>
    <w:rsid w:val="001D3792"/>
    <w:rsid w:val="001D3970"/>
    <w:rsid w:val="001D3C01"/>
    <w:rsid w:val="001D3D3A"/>
    <w:rsid w:val="001D404A"/>
    <w:rsid w:val="001D4742"/>
    <w:rsid w:val="001D49AD"/>
    <w:rsid w:val="001D4A0B"/>
    <w:rsid w:val="001D4D23"/>
    <w:rsid w:val="001D4E59"/>
    <w:rsid w:val="001D4E8A"/>
    <w:rsid w:val="001D4FE2"/>
    <w:rsid w:val="001D535A"/>
    <w:rsid w:val="001D5547"/>
    <w:rsid w:val="001D564C"/>
    <w:rsid w:val="001D58ED"/>
    <w:rsid w:val="001D5B23"/>
    <w:rsid w:val="001D5CE6"/>
    <w:rsid w:val="001D5D5B"/>
    <w:rsid w:val="001D6270"/>
    <w:rsid w:val="001D6290"/>
    <w:rsid w:val="001D644F"/>
    <w:rsid w:val="001D64CB"/>
    <w:rsid w:val="001D650A"/>
    <w:rsid w:val="001D6591"/>
    <w:rsid w:val="001D6E11"/>
    <w:rsid w:val="001D6E3C"/>
    <w:rsid w:val="001D6FE0"/>
    <w:rsid w:val="001D70B3"/>
    <w:rsid w:val="001D710F"/>
    <w:rsid w:val="001D7130"/>
    <w:rsid w:val="001D717D"/>
    <w:rsid w:val="001D728A"/>
    <w:rsid w:val="001D7357"/>
    <w:rsid w:val="001D7627"/>
    <w:rsid w:val="001D7982"/>
    <w:rsid w:val="001D7C3D"/>
    <w:rsid w:val="001D7DC3"/>
    <w:rsid w:val="001D7E22"/>
    <w:rsid w:val="001D7FE9"/>
    <w:rsid w:val="001E04FF"/>
    <w:rsid w:val="001E0518"/>
    <w:rsid w:val="001E062C"/>
    <w:rsid w:val="001E066D"/>
    <w:rsid w:val="001E0748"/>
    <w:rsid w:val="001E07C8"/>
    <w:rsid w:val="001E0DAA"/>
    <w:rsid w:val="001E0EFA"/>
    <w:rsid w:val="001E0FD7"/>
    <w:rsid w:val="001E1045"/>
    <w:rsid w:val="001E109A"/>
    <w:rsid w:val="001E1368"/>
    <w:rsid w:val="001E1859"/>
    <w:rsid w:val="001E187D"/>
    <w:rsid w:val="001E1C32"/>
    <w:rsid w:val="001E1CD7"/>
    <w:rsid w:val="001E1E73"/>
    <w:rsid w:val="001E1E7D"/>
    <w:rsid w:val="001E2033"/>
    <w:rsid w:val="001E23FC"/>
    <w:rsid w:val="001E25F1"/>
    <w:rsid w:val="001E261F"/>
    <w:rsid w:val="001E2692"/>
    <w:rsid w:val="001E291E"/>
    <w:rsid w:val="001E29A0"/>
    <w:rsid w:val="001E2B45"/>
    <w:rsid w:val="001E2D21"/>
    <w:rsid w:val="001E2F28"/>
    <w:rsid w:val="001E2F6D"/>
    <w:rsid w:val="001E2FA2"/>
    <w:rsid w:val="001E324B"/>
    <w:rsid w:val="001E3301"/>
    <w:rsid w:val="001E333D"/>
    <w:rsid w:val="001E399F"/>
    <w:rsid w:val="001E3A32"/>
    <w:rsid w:val="001E3C81"/>
    <w:rsid w:val="001E3CF4"/>
    <w:rsid w:val="001E3D05"/>
    <w:rsid w:val="001E3DCC"/>
    <w:rsid w:val="001E407D"/>
    <w:rsid w:val="001E422C"/>
    <w:rsid w:val="001E42C5"/>
    <w:rsid w:val="001E44A1"/>
    <w:rsid w:val="001E4581"/>
    <w:rsid w:val="001E45E9"/>
    <w:rsid w:val="001E4BAC"/>
    <w:rsid w:val="001E4E0C"/>
    <w:rsid w:val="001E4E2E"/>
    <w:rsid w:val="001E4FF9"/>
    <w:rsid w:val="001E5099"/>
    <w:rsid w:val="001E51F3"/>
    <w:rsid w:val="001E53DA"/>
    <w:rsid w:val="001E5404"/>
    <w:rsid w:val="001E58B4"/>
    <w:rsid w:val="001E591E"/>
    <w:rsid w:val="001E5972"/>
    <w:rsid w:val="001E5A96"/>
    <w:rsid w:val="001E5ABE"/>
    <w:rsid w:val="001E5AEB"/>
    <w:rsid w:val="001E5C8E"/>
    <w:rsid w:val="001E5DF9"/>
    <w:rsid w:val="001E5E60"/>
    <w:rsid w:val="001E6088"/>
    <w:rsid w:val="001E61F3"/>
    <w:rsid w:val="001E6327"/>
    <w:rsid w:val="001E6390"/>
    <w:rsid w:val="001E64AB"/>
    <w:rsid w:val="001E667A"/>
    <w:rsid w:val="001E6743"/>
    <w:rsid w:val="001E6961"/>
    <w:rsid w:val="001E6A28"/>
    <w:rsid w:val="001E6A60"/>
    <w:rsid w:val="001E6C0C"/>
    <w:rsid w:val="001E6C63"/>
    <w:rsid w:val="001E6CE5"/>
    <w:rsid w:val="001E6E6A"/>
    <w:rsid w:val="001E70FE"/>
    <w:rsid w:val="001E7213"/>
    <w:rsid w:val="001E72B0"/>
    <w:rsid w:val="001E72BD"/>
    <w:rsid w:val="001E7368"/>
    <w:rsid w:val="001E73CB"/>
    <w:rsid w:val="001E74E5"/>
    <w:rsid w:val="001E7A3A"/>
    <w:rsid w:val="001E7A9A"/>
    <w:rsid w:val="001E7BC1"/>
    <w:rsid w:val="001E7DB0"/>
    <w:rsid w:val="001E7E12"/>
    <w:rsid w:val="001E7ED0"/>
    <w:rsid w:val="001E7FFE"/>
    <w:rsid w:val="001F024B"/>
    <w:rsid w:val="001F0331"/>
    <w:rsid w:val="001F06E8"/>
    <w:rsid w:val="001F0754"/>
    <w:rsid w:val="001F0768"/>
    <w:rsid w:val="001F0914"/>
    <w:rsid w:val="001F0AD9"/>
    <w:rsid w:val="001F100C"/>
    <w:rsid w:val="001F1166"/>
    <w:rsid w:val="001F1297"/>
    <w:rsid w:val="001F1395"/>
    <w:rsid w:val="001F144E"/>
    <w:rsid w:val="001F164C"/>
    <w:rsid w:val="001F168A"/>
    <w:rsid w:val="001F170A"/>
    <w:rsid w:val="001F19D3"/>
    <w:rsid w:val="001F1A11"/>
    <w:rsid w:val="001F1B1B"/>
    <w:rsid w:val="001F1C76"/>
    <w:rsid w:val="001F1D33"/>
    <w:rsid w:val="001F1E15"/>
    <w:rsid w:val="001F1ED5"/>
    <w:rsid w:val="001F20CB"/>
    <w:rsid w:val="001F23C6"/>
    <w:rsid w:val="001F248B"/>
    <w:rsid w:val="001F24FC"/>
    <w:rsid w:val="001F268D"/>
    <w:rsid w:val="001F27EE"/>
    <w:rsid w:val="001F2829"/>
    <w:rsid w:val="001F2A98"/>
    <w:rsid w:val="001F2FCD"/>
    <w:rsid w:val="001F3073"/>
    <w:rsid w:val="001F30CE"/>
    <w:rsid w:val="001F30E1"/>
    <w:rsid w:val="001F31E3"/>
    <w:rsid w:val="001F3272"/>
    <w:rsid w:val="001F327C"/>
    <w:rsid w:val="001F332C"/>
    <w:rsid w:val="001F33A9"/>
    <w:rsid w:val="001F33BE"/>
    <w:rsid w:val="001F35ED"/>
    <w:rsid w:val="001F373D"/>
    <w:rsid w:val="001F37A7"/>
    <w:rsid w:val="001F3916"/>
    <w:rsid w:val="001F3B6B"/>
    <w:rsid w:val="001F3B9E"/>
    <w:rsid w:val="001F3C11"/>
    <w:rsid w:val="001F3C5E"/>
    <w:rsid w:val="001F3F15"/>
    <w:rsid w:val="001F3F5B"/>
    <w:rsid w:val="001F443D"/>
    <w:rsid w:val="001F46D2"/>
    <w:rsid w:val="001F4868"/>
    <w:rsid w:val="001F488E"/>
    <w:rsid w:val="001F4AB9"/>
    <w:rsid w:val="001F4AF6"/>
    <w:rsid w:val="001F4BAF"/>
    <w:rsid w:val="001F4F2A"/>
    <w:rsid w:val="001F501A"/>
    <w:rsid w:val="001F52A8"/>
    <w:rsid w:val="001F5348"/>
    <w:rsid w:val="001F574E"/>
    <w:rsid w:val="001F5ACA"/>
    <w:rsid w:val="001F5D06"/>
    <w:rsid w:val="001F5EB5"/>
    <w:rsid w:val="001F5F4B"/>
    <w:rsid w:val="001F6447"/>
    <w:rsid w:val="001F669C"/>
    <w:rsid w:val="001F67E5"/>
    <w:rsid w:val="001F690A"/>
    <w:rsid w:val="001F699D"/>
    <w:rsid w:val="001F6A06"/>
    <w:rsid w:val="001F6C09"/>
    <w:rsid w:val="001F6CA3"/>
    <w:rsid w:val="001F6EAB"/>
    <w:rsid w:val="001F6FBC"/>
    <w:rsid w:val="001F72B5"/>
    <w:rsid w:val="001F74A5"/>
    <w:rsid w:val="001F74BA"/>
    <w:rsid w:val="001F7510"/>
    <w:rsid w:val="001F754A"/>
    <w:rsid w:val="001F7805"/>
    <w:rsid w:val="001F787F"/>
    <w:rsid w:val="001F7992"/>
    <w:rsid w:val="001F7A03"/>
    <w:rsid w:val="001F7B21"/>
    <w:rsid w:val="001F7C25"/>
    <w:rsid w:val="001F7E1C"/>
    <w:rsid w:val="002000ED"/>
    <w:rsid w:val="00200126"/>
    <w:rsid w:val="00200156"/>
    <w:rsid w:val="002001C0"/>
    <w:rsid w:val="00200562"/>
    <w:rsid w:val="002007DC"/>
    <w:rsid w:val="002009CE"/>
    <w:rsid w:val="00200A49"/>
    <w:rsid w:val="00200A85"/>
    <w:rsid w:val="00200BC6"/>
    <w:rsid w:val="00200D13"/>
    <w:rsid w:val="00200D6E"/>
    <w:rsid w:val="00200D76"/>
    <w:rsid w:val="00200DF8"/>
    <w:rsid w:val="00200E38"/>
    <w:rsid w:val="00200FE0"/>
    <w:rsid w:val="00201133"/>
    <w:rsid w:val="002013A0"/>
    <w:rsid w:val="002014E5"/>
    <w:rsid w:val="00201593"/>
    <w:rsid w:val="00201627"/>
    <w:rsid w:val="002016B1"/>
    <w:rsid w:val="00201747"/>
    <w:rsid w:val="00201963"/>
    <w:rsid w:val="00201B5B"/>
    <w:rsid w:val="00201B88"/>
    <w:rsid w:val="00201CB0"/>
    <w:rsid w:val="00201FA8"/>
    <w:rsid w:val="002021D6"/>
    <w:rsid w:val="00202304"/>
    <w:rsid w:val="00202373"/>
    <w:rsid w:val="002023E2"/>
    <w:rsid w:val="002025DC"/>
    <w:rsid w:val="0020275F"/>
    <w:rsid w:val="00202B4C"/>
    <w:rsid w:val="00202BBB"/>
    <w:rsid w:val="00202BE6"/>
    <w:rsid w:val="00202C20"/>
    <w:rsid w:val="00202CE6"/>
    <w:rsid w:val="00202E84"/>
    <w:rsid w:val="00202EEB"/>
    <w:rsid w:val="002030C2"/>
    <w:rsid w:val="002030F6"/>
    <w:rsid w:val="0020335F"/>
    <w:rsid w:val="00203554"/>
    <w:rsid w:val="00203628"/>
    <w:rsid w:val="002036DB"/>
    <w:rsid w:val="0020371C"/>
    <w:rsid w:val="002037BE"/>
    <w:rsid w:val="002038AE"/>
    <w:rsid w:val="00203A3F"/>
    <w:rsid w:val="00203BA0"/>
    <w:rsid w:val="00203CD8"/>
    <w:rsid w:val="00203D51"/>
    <w:rsid w:val="00203E59"/>
    <w:rsid w:val="00203EAD"/>
    <w:rsid w:val="002040CD"/>
    <w:rsid w:val="002040F7"/>
    <w:rsid w:val="0020412C"/>
    <w:rsid w:val="00204236"/>
    <w:rsid w:val="00204252"/>
    <w:rsid w:val="002042B6"/>
    <w:rsid w:val="00204301"/>
    <w:rsid w:val="00204335"/>
    <w:rsid w:val="0020472E"/>
    <w:rsid w:val="00204754"/>
    <w:rsid w:val="002047F4"/>
    <w:rsid w:val="00204A2A"/>
    <w:rsid w:val="00204C17"/>
    <w:rsid w:val="00204C4A"/>
    <w:rsid w:val="00204D4D"/>
    <w:rsid w:val="00204D72"/>
    <w:rsid w:val="00204D97"/>
    <w:rsid w:val="00205067"/>
    <w:rsid w:val="00205256"/>
    <w:rsid w:val="00205512"/>
    <w:rsid w:val="00205640"/>
    <w:rsid w:val="002057C3"/>
    <w:rsid w:val="00205806"/>
    <w:rsid w:val="00205865"/>
    <w:rsid w:val="00205A5E"/>
    <w:rsid w:val="00205C7D"/>
    <w:rsid w:val="00205CC8"/>
    <w:rsid w:val="00205D3E"/>
    <w:rsid w:val="00205E78"/>
    <w:rsid w:val="00205F1B"/>
    <w:rsid w:val="00206001"/>
    <w:rsid w:val="00206100"/>
    <w:rsid w:val="0020619C"/>
    <w:rsid w:val="002061DC"/>
    <w:rsid w:val="0020660A"/>
    <w:rsid w:val="00206654"/>
    <w:rsid w:val="00206656"/>
    <w:rsid w:val="002066F7"/>
    <w:rsid w:val="002066FF"/>
    <w:rsid w:val="00206799"/>
    <w:rsid w:val="002067D2"/>
    <w:rsid w:val="002068B4"/>
    <w:rsid w:val="00206908"/>
    <w:rsid w:val="002069FD"/>
    <w:rsid w:val="00206BC4"/>
    <w:rsid w:val="00206D34"/>
    <w:rsid w:val="00206E84"/>
    <w:rsid w:val="00207193"/>
    <w:rsid w:val="0020725F"/>
    <w:rsid w:val="002072C6"/>
    <w:rsid w:val="002073E2"/>
    <w:rsid w:val="002074DB"/>
    <w:rsid w:val="00207544"/>
    <w:rsid w:val="00207668"/>
    <w:rsid w:val="0020768E"/>
    <w:rsid w:val="00207742"/>
    <w:rsid w:val="002078AE"/>
    <w:rsid w:val="00207EA9"/>
    <w:rsid w:val="00207EB4"/>
    <w:rsid w:val="00210066"/>
    <w:rsid w:val="002100CB"/>
    <w:rsid w:val="00210113"/>
    <w:rsid w:val="00210273"/>
    <w:rsid w:val="0021035F"/>
    <w:rsid w:val="0021043D"/>
    <w:rsid w:val="002105F4"/>
    <w:rsid w:val="002106BC"/>
    <w:rsid w:val="002107CE"/>
    <w:rsid w:val="002108E7"/>
    <w:rsid w:val="002109F7"/>
    <w:rsid w:val="00210AD7"/>
    <w:rsid w:val="00210C14"/>
    <w:rsid w:val="00210C1F"/>
    <w:rsid w:val="00210E38"/>
    <w:rsid w:val="0021108A"/>
    <w:rsid w:val="0021108D"/>
    <w:rsid w:val="00211932"/>
    <w:rsid w:val="0021198C"/>
    <w:rsid w:val="00211AC3"/>
    <w:rsid w:val="00211B77"/>
    <w:rsid w:val="00211BA3"/>
    <w:rsid w:val="00211C3E"/>
    <w:rsid w:val="00211E33"/>
    <w:rsid w:val="00212033"/>
    <w:rsid w:val="0021214D"/>
    <w:rsid w:val="002121F1"/>
    <w:rsid w:val="00212679"/>
    <w:rsid w:val="002128AF"/>
    <w:rsid w:val="00212BCC"/>
    <w:rsid w:val="00212C8C"/>
    <w:rsid w:val="00212E7A"/>
    <w:rsid w:val="00212FD7"/>
    <w:rsid w:val="00213098"/>
    <w:rsid w:val="00213141"/>
    <w:rsid w:val="0021322B"/>
    <w:rsid w:val="0021373F"/>
    <w:rsid w:val="0021399D"/>
    <w:rsid w:val="00213A48"/>
    <w:rsid w:val="00213B52"/>
    <w:rsid w:val="00213B57"/>
    <w:rsid w:val="00213BD9"/>
    <w:rsid w:val="00213C76"/>
    <w:rsid w:val="00213F86"/>
    <w:rsid w:val="00213FFA"/>
    <w:rsid w:val="0021414F"/>
    <w:rsid w:val="0021443B"/>
    <w:rsid w:val="0021465C"/>
    <w:rsid w:val="002147E9"/>
    <w:rsid w:val="00214A75"/>
    <w:rsid w:val="00214A8A"/>
    <w:rsid w:val="00215081"/>
    <w:rsid w:val="00215120"/>
    <w:rsid w:val="00215189"/>
    <w:rsid w:val="00215346"/>
    <w:rsid w:val="00215527"/>
    <w:rsid w:val="0021577D"/>
    <w:rsid w:val="002157AD"/>
    <w:rsid w:val="0021586A"/>
    <w:rsid w:val="00215B62"/>
    <w:rsid w:val="00215B63"/>
    <w:rsid w:val="00215CA5"/>
    <w:rsid w:val="00215DAD"/>
    <w:rsid w:val="00215FD4"/>
    <w:rsid w:val="00216126"/>
    <w:rsid w:val="00216150"/>
    <w:rsid w:val="00216164"/>
    <w:rsid w:val="002161C4"/>
    <w:rsid w:val="00216308"/>
    <w:rsid w:val="002163E3"/>
    <w:rsid w:val="002165F7"/>
    <w:rsid w:val="002168CA"/>
    <w:rsid w:val="002169A2"/>
    <w:rsid w:val="00216BF8"/>
    <w:rsid w:val="00216E12"/>
    <w:rsid w:val="00216E43"/>
    <w:rsid w:val="00216E55"/>
    <w:rsid w:val="00216EE8"/>
    <w:rsid w:val="00216F1A"/>
    <w:rsid w:val="002171C3"/>
    <w:rsid w:val="00217203"/>
    <w:rsid w:val="00217228"/>
    <w:rsid w:val="0021729D"/>
    <w:rsid w:val="002173D3"/>
    <w:rsid w:val="00217769"/>
    <w:rsid w:val="00217C33"/>
    <w:rsid w:val="00217C8E"/>
    <w:rsid w:val="00217D6D"/>
    <w:rsid w:val="00217FDF"/>
    <w:rsid w:val="00220458"/>
    <w:rsid w:val="00220477"/>
    <w:rsid w:val="002204F4"/>
    <w:rsid w:val="0022061F"/>
    <w:rsid w:val="002206E0"/>
    <w:rsid w:val="002208B6"/>
    <w:rsid w:val="00220967"/>
    <w:rsid w:val="00220C38"/>
    <w:rsid w:val="00220E5C"/>
    <w:rsid w:val="00220ED3"/>
    <w:rsid w:val="00220F29"/>
    <w:rsid w:val="0022111C"/>
    <w:rsid w:val="00221176"/>
    <w:rsid w:val="002213F6"/>
    <w:rsid w:val="0022142E"/>
    <w:rsid w:val="00221430"/>
    <w:rsid w:val="002215F9"/>
    <w:rsid w:val="002216F2"/>
    <w:rsid w:val="002218D1"/>
    <w:rsid w:val="002218FD"/>
    <w:rsid w:val="00221BE9"/>
    <w:rsid w:val="00221E0B"/>
    <w:rsid w:val="00221F3F"/>
    <w:rsid w:val="00221FE1"/>
    <w:rsid w:val="00222065"/>
    <w:rsid w:val="002220E4"/>
    <w:rsid w:val="002221AA"/>
    <w:rsid w:val="002222AF"/>
    <w:rsid w:val="0022267D"/>
    <w:rsid w:val="00222857"/>
    <w:rsid w:val="00222BD5"/>
    <w:rsid w:val="00222D1F"/>
    <w:rsid w:val="00222DAD"/>
    <w:rsid w:val="00222E1A"/>
    <w:rsid w:val="0022312C"/>
    <w:rsid w:val="002234F9"/>
    <w:rsid w:val="0022399F"/>
    <w:rsid w:val="00223B15"/>
    <w:rsid w:val="00223BD8"/>
    <w:rsid w:val="00223D22"/>
    <w:rsid w:val="00223D36"/>
    <w:rsid w:val="00223D54"/>
    <w:rsid w:val="00223F5B"/>
    <w:rsid w:val="00223FBE"/>
    <w:rsid w:val="002241B7"/>
    <w:rsid w:val="002241BD"/>
    <w:rsid w:val="002242FE"/>
    <w:rsid w:val="0022431C"/>
    <w:rsid w:val="002245D3"/>
    <w:rsid w:val="00224609"/>
    <w:rsid w:val="00224640"/>
    <w:rsid w:val="00224682"/>
    <w:rsid w:val="00224D60"/>
    <w:rsid w:val="0022500A"/>
    <w:rsid w:val="00225307"/>
    <w:rsid w:val="0022537E"/>
    <w:rsid w:val="00225393"/>
    <w:rsid w:val="0022555A"/>
    <w:rsid w:val="00225626"/>
    <w:rsid w:val="00225896"/>
    <w:rsid w:val="0022610C"/>
    <w:rsid w:val="002261AD"/>
    <w:rsid w:val="0022626D"/>
    <w:rsid w:val="00226292"/>
    <w:rsid w:val="0022639E"/>
    <w:rsid w:val="002265EE"/>
    <w:rsid w:val="0022671B"/>
    <w:rsid w:val="00226867"/>
    <w:rsid w:val="002269A7"/>
    <w:rsid w:val="00226A5D"/>
    <w:rsid w:val="00226B3D"/>
    <w:rsid w:val="00226BC0"/>
    <w:rsid w:val="00226E92"/>
    <w:rsid w:val="00226EBC"/>
    <w:rsid w:val="00227434"/>
    <w:rsid w:val="00227496"/>
    <w:rsid w:val="002274BB"/>
    <w:rsid w:val="0022757E"/>
    <w:rsid w:val="002276C5"/>
    <w:rsid w:val="00227717"/>
    <w:rsid w:val="002278B7"/>
    <w:rsid w:val="00227969"/>
    <w:rsid w:val="00227C7D"/>
    <w:rsid w:val="0023004C"/>
    <w:rsid w:val="00230173"/>
    <w:rsid w:val="002304EC"/>
    <w:rsid w:val="00230511"/>
    <w:rsid w:val="00230531"/>
    <w:rsid w:val="0023076C"/>
    <w:rsid w:val="00230858"/>
    <w:rsid w:val="002308A4"/>
    <w:rsid w:val="00230B2D"/>
    <w:rsid w:val="00230C2D"/>
    <w:rsid w:val="00230E20"/>
    <w:rsid w:val="00231188"/>
    <w:rsid w:val="00231316"/>
    <w:rsid w:val="002313F3"/>
    <w:rsid w:val="002314E0"/>
    <w:rsid w:val="00231671"/>
    <w:rsid w:val="0023167A"/>
    <w:rsid w:val="002317BB"/>
    <w:rsid w:val="00231804"/>
    <w:rsid w:val="0023199C"/>
    <w:rsid w:val="00231F08"/>
    <w:rsid w:val="00232311"/>
    <w:rsid w:val="00232413"/>
    <w:rsid w:val="0023254E"/>
    <w:rsid w:val="002328BC"/>
    <w:rsid w:val="00232A24"/>
    <w:rsid w:val="00232C11"/>
    <w:rsid w:val="00232C22"/>
    <w:rsid w:val="00232E65"/>
    <w:rsid w:val="00233096"/>
    <w:rsid w:val="002332BD"/>
    <w:rsid w:val="002332EF"/>
    <w:rsid w:val="0023334A"/>
    <w:rsid w:val="002333F0"/>
    <w:rsid w:val="0023350A"/>
    <w:rsid w:val="0023351C"/>
    <w:rsid w:val="00233793"/>
    <w:rsid w:val="002337E2"/>
    <w:rsid w:val="002337E5"/>
    <w:rsid w:val="00233970"/>
    <w:rsid w:val="002339EA"/>
    <w:rsid w:val="00233BA7"/>
    <w:rsid w:val="00233C11"/>
    <w:rsid w:val="00233C9E"/>
    <w:rsid w:val="002340DC"/>
    <w:rsid w:val="002340EF"/>
    <w:rsid w:val="00234106"/>
    <w:rsid w:val="0023414C"/>
    <w:rsid w:val="0023415A"/>
    <w:rsid w:val="0023415D"/>
    <w:rsid w:val="002344B7"/>
    <w:rsid w:val="0023450E"/>
    <w:rsid w:val="00234537"/>
    <w:rsid w:val="00234833"/>
    <w:rsid w:val="0023495E"/>
    <w:rsid w:val="00234B2F"/>
    <w:rsid w:val="00234D9F"/>
    <w:rsid w:val="00234DED"/>
    <w:rsid w:val="00234E7C"/>
    <w:rsid w:val="00234EDF"/>
    <w:rsid w:val="002350DE"/>
    <w:rsid w:val="00235338"/>
    <w:rsid w:val="00235A09"/>
    <w:rsid w:val="00235B51"/>
    <w:rsid w:val="00235D29"/>
    <w:rsid w:val="00235DF9"/>
    <w:rsid w:val="00235E58"/>
    <w:rsid w:val="00236172"/>
    <w:rsid w:val="00236210"/>
    <w:rsid w:val="00236215"/>
    <w:rsid w:val="0023628C"/>
    <w:rsid w:val="0023650D"/>
    <w:rsid w:val="00236DDA"/>
    <w:rsid w:val="00236E2F"/>
    <w:rsid w:val="00236F51"/>
    <w:rsid w:val="00236F6E"/>
    <w:rsid w:val="00237115"/>
    <w:rsid w:val="00237145"/>
    <w:rsid w:val="00237633"/>
    <w:rsid w:val="00237A5B"/>
    <w:rsid w:val="00237AD7"/>
    <w:rsid w:val="00237BD9"/>
    <w:rsid w:val="00237BF8"/>
    <w:rsid w:val="00237C63"/>
    <w:rsid w:val="00237F81"/>
    <w:rsid w:val="00240086"/>
    <w:rsid w:val="00240102"/>
    <w:rsid w:val="002401D1"/>
    <w:rsid w:val="002401EE"/>
    <w:rsid w:val="0024026D"/>
    <w:rsid w:val="002405C6"/>
    <w:rsid w:val="00240808"/>
    <w:rsid w:val="00240A49"/>
    <w:rsid w:val="00240B3E"/>
    <w:rsid w:val="00240C2F"/>
    <w:rsid w:val="00241208"/>
    <w:rsid w:val="002413F1"/>
    <w:rsid w:val="0024167D"/>
    <w:rsid w:val="00241750"/>
    <w:rsid w:val="0024186B"/>
    <w:rsid w:val="002418D7"/>
    <w:rsid w:val="00241A7D"/>
    <w:rsid w:val="00241B9C"/>
    <w:rsid w:val="00241D48"/>
    <w:rsid w:val="00241F2F"/>
    <w:rsid w:val="00241FD4"/>
    <w:rsid w:val="00242400"/>
    <w:rsid w:val="0024244C"/>
    <w:rsid w:val="002424F0"/>
    <w:rsid w:val="00242783"/>
    <w:rsid w:val="00242D0F"/>
    <w:rsid w:val="0024330A"/>
    <w:rsid w:val="00243425"/>
    <w:rsid w:val="0024379A"/>
    <w:rsid w:val="002437BC"/>
    <w:rsid w:val="00243E6D"/>
    <w:rsid w:val="00243EE5"/>
    <w:rsid w:val="0024437A"/>
    <w:rsid w:val="002443D4"/>
    <w:rsid w:val="002444EB"/>
    <w:rsid w:val="0024469E"/>
    <w:rsid w:val="002446B2"/>
    <w:rsid w:val="00244760"/>
    <w:rsid w:val="0024480A"/>
    <w:rsid w:val="00244880"/>
    <w:rsid w:val="002448D7"/>
    <w:rsid w:val="00244AA9"/>
    <w:rsid w:val="00244D1F"/>
    <w:rsid w:val="00244DDD"/>
    <w:rsid w:val="00244E77"/>
    <w:rsid w:val="00245523"/>
    <w:rsid w:val="0024586A"/>
    <w:rsid w:val="0024596B"/>
    <w:rsid w:val="0024599C"/>
    <w:rsid w:val="002459E2"/>
    <w:rsid w:val="00245A59"/>
    <w:rsid w:val="00245B2B"/>
    <w:rsid w:val="00245D70"/>
    <w:rsid w:val="00245ED7"/>
    <w:rsid w:val="00245FD7"/>
    <w:rsid w:val="0024600C"/>
    <w:rsid w:val="002460B8"/>
    <w:rsid w:val="002460C6"/>
    <w:rsid w:val="002462EE"/>
    <w:rsid w:val="002464E1"/>
    <w:rsid w:val="0024654E"/>
    <w:rsid w:val="002466A7"/>
    <w:rsid w:val="0024681A"/>
    <w:rsid w:val="0024682D"/>
    <w:rsid w:val="00246993"/>
    <w:rsid w:val="00246A56"/>
    <w:rsid w:val="00246E29"/>
    <w:rsid w:val="00246E3A"/>
    <w:rsid w:val="00247033"/>
    <w:rsid w:val="00247475"/>
    <w:rsid w:val="002476CF"/>
    <w:rsid w:val="0024776B"/>
    <w:rsid w:val="00247AB8"/>
    <w:rsid w:val="00247C69"/>
    <w:rsid w:val="00247E5A"/>
    <w:rsid w:val="00247F06"/>
    <w:rsid w:val="0025013B"/>
    <w:rsid w:val="002501C2"/>
    <w:rsid w:val="002501C3"/>
    <w:rsid w:val="002501F0"/>
    <w:rsid w:val="002505C6"/>
    <w:rsid w:val="00250619"/>
    <w:rsid w:val="00250632"/>
    <w:rsid w:val="00250A90"/>
    <w:rsid w:val="00250AE6"/>
    <w:rsid w:val="00250E03"/>
    <w:rsid w:val="00250E4A"/>
    <w:rsid w:val="00250F61"/>
    <w:rsid w:val="002511E6"/>
    <w:rsid w:val="002513CA"/>
    <w:rsid w:val="0025146A"/>
    <w:rsid w:val="002514E0"/>
    <w:rsid w:val="00251514"/>
    <w:rsid w:val="002515E5"/>
    <w:rsid w:val="00251641"/>
    <w:rsid w:val="00251648"/>
    <w:rsid w:val="0025166D"/>
    <w:rsid w:val="002518B1"/>
    <w:rsid w:val="00251B9F"/>
    <w:rsid w:val="00251BC6"/>
    <w:rsid w:val="00251BCD"/>
    <w:rsid w:val="00251CCC"/>
    <w:rsid w:val="00251D3C"/>
    <w:rsid w:val="00252018"/>
    <w:rsid w:val="002522B4"/>
    <w:rsid w:val="002528E0"/>
    <w:rsid w:val="0025290C"/>
    <w:rsid w:val="00252B61"/>
    <w:rsid w:val="00252BD9"/>
    <w:rsid w:val="00252CFD"/>
    <w:rsid w:val="00252D0C"/>
    <w:rsid w:val="00252D72"/>
    <w:rsid w:val="00252D89"/>
    <w:rsid w:val="00253070"/>
    <w:rsid w:val="00253307"/>
    <w:rsid w:val="002533CC"/>
    <w:rsid w:val="002533D4"/>
    <w:rsid w:val="00253692"/>
    <w:rsid w:val="00253B0E"/>
    <w:rsid w:val="00253C8C"/>
    <w:rsid w:val="00253FED"/>
    <w:rsid w:val="00254315"/>
    <w:rsid w:val="00254606"/>
    <w:rsid w:val="002546A3"/>
    <w:rsid w:val="00254781"/>
    <w:rsid w:val="002547B7"/>
    <w:rsid w:val="00254CF6"/>
    <w:rsid w:val="00255137"/>
    <w:rsid w:val="00255159"/>
    <w:rsid w:val="00255231"/>
    <w:rsid w:val="00255454"/>
    <w:rsid w:val="00255555"/>
    <w:rsid w:val="002555C2"/>
    <w:rsid w:val="0025560A"/>
    <w:rsid w:val="00255720"/>
    <w:rsid w:val="002559FE"/>
    <w:rsid w:val="00255B6C"/>
    <w:rsid w:val="00255C0D"/>
    <w:rsid w:val="00255E82"/>
    <w:rsid w:val="00255F8F"/>
    <w:rsid w:val="002560B3"/>
    <w:rsid w:val="002562ED"/>
    <w:rsid w:val="0025648D"/>
    <w:rsid w:val="00256499"/>
    <w:rsid w:val="002564E4"/>
    <w:rsid w:val="002565B8"/>
    <w:rsid w:val="0025665F"/>
    <w:rsid w:val="002566A8"/>
    <w:rsid w:val="00256716"/>
    <w:rsid w:val="00256774"/>
    <w:rsid w:val="002568F6"/>
    <w:rsid w:val="00256A4E"/>
    <w:rsid w:val="00256AC1"/>
    <w:rsid w:val="00256B1D"/>
    <w:rsid w:val="00256CB1"/>
    <w:rsid w:val="00256DA2"/>
    <w:rsid w:val="00256E95"/>
    <w:rsid w:val="00257051"/>
    <w:rsid w:val="002571D6"/>
    <w:rsid w:val="00257620"/>
    <w:rsid w:val="0025768C"/>
    <w:rsid w:val="002576E8"/>
    <w:rsid w:val="0025771B"/>
    <w:rsid w:val="002577B4"/>
    <w:rsid w:val="0025795B"/>
    <w:rsid w:val="00257AFF"/>
    <w:rsid w:val="00257B0D"/>
    <w:rsid w:val="00257B47"/>
    <w:rsid w:val="00257E41"/>
    <w:rsid w:val="00257E56"/>
    <w:rsid w:val="00257E9F"/>
    <w:rsid w:val="00257ED2"/>
    <w:rsid w:val="002600AD"/>
    <w:rsid w:val="0026045B"/>
    <w:rsid w:val="002606AC"/>
    <w:rsid w:val="0026096A"/>
    <w:rsid w:val="00260AAD"/>
    <w:rsid w:val="00260D0F"/>
    <w:rsid w:val="00260E2A"/>
    <w:rsid w:val="00260F72"/>
    <w:rsid w:val="0026149F"/>
    <w:rsid w:val="00261503"/>
    <w:rsid w:val="002616AB"/>
    <w:rsid w:val="002616F5"/>
    <w:rsid w:val="00261803"/>
    <w:rsid w:val="00261873"/>
    <w:rsid w:val="00261B59"/>
    <w:rsid w:val="00261D9A"/>
    <w:rsid w:val="00261EB8"/>
    <w:rsid w:val="00262258"/>
    <w:rsid w:val="00262426"/>
    <w:rsid w:val="00262B36"/>
    <w:rsid w:val="00262E53"/>
    <w:rsid w:val="002631AD"/>
    <w:rsid w:val="00263202"/>
    <w:rsid w:val="0026374F"/>
    <w:rsid w:val="00263922"/>
    <w:rsid w:val="00263940"/>
    <w:rsid w:val="00263A6F"/>
    <w:rsid w:val="00263AF2"/>
    <w:rsid w:val="00263BAA"/>
    <w:rsid w:val="00263BB2"/>
    <w:rsid w:val="00263C57"/>
    <w:rsid w:val="00263CC2"/>
    <w:rsid w:val="00263D00"/>
    <w:rsid w:val="00263F1D"/>
    <w:rsid w:val="00264045"/>
    <w:rsid w:val="002644CC"/>
    <w:rsid w:val="002645F6"/>
    <w:rsid w:val="002646A2"/>
    <w:rsid w:val="0026476D"/>
    <w:rsid w:val="00264811"/>
    <w:rsid w:val="00264813"/>
    <w:rsid w:val="0026490A"/>
    <w:rsid w:val="00264A2F"/>
    <w:rsid w:val="00264BC0"/>
    <w:rsid w:val="00264BF4"/>
    <w:rsid w:val="002650D0"/>
    <w:rsid w:val="00265156"/>
    <w:rsid w:val="00265171"/>
    <w:rsid w:val="0026551C"/>
    <w:rsid w:val="00265762"/>
    <w:rsid w:val="002657F9"/>
    <w:rsid w:val="00265869"/>
    <w:rsid w:val="00265BC1"/>
    <w:rsid w:val="00265C3E"/>
    <w:rsid w:val="00265C85"/>
    <w:rsid w:val="00265D63"/>
    <w:rsid w:val="00265DDB"/>
    <w:rsid w:val="00265E04"/>
    <w:rsid w:val="00265FAF"/>
    <w:rsid w:val="0026601E"/>
    <w:rsid w:val="002660C7"/>
    <w:rsid w:val="0026615F"/>
    <w:rsid w:val="002661E5"/>
    <w:rsid w:val="002661F2"/>
    <w:rsid w:val="002662D0"/>
    <w:rsid w:val="002664A5"/>
    <w:rsid w:val="0026682D"/>
    <w:rsid w:val="00266868"/>
    <w:rsid w:val="002668E9"/>
    <w:rsid w:val="002669FC"/>
    <w:rsid w:val="00266BC0"/>
    <w:rsid w:val="0026708F"/>
    <w:rsid w:val="0026712C"/>
    <w:rsid w:val="00267276"/>
    <w:rsid w:val="00267505"/>
    <w:rsid w:val="00267718"/>
    <w:rsid w:val="0026787B"/>
    <w:rsid w:val="00267E84"/>
    <w:rsid w:val="00267EFD"/>
    <w:rsid w:val="0027013A"/>
    <w:rsid w:val="0027013F"/>
    <w:rsid w:val="00270161"/>
    <w:rsid w:val="00270240"/>
    <w:rsid w:val="00270379"/>
    <w:rsid w:val="002703C2"/>
    <w:rsid w:val="00270414"/>
    <w:rsid w:val="0027048F"/>
    <w:rsid w:val="002704F3"/>
    <w:rsid w:val="0027077C"/>
    <w:rsid w:val="002708FA"/>
    <w:rsid w:val="00270981"/>
    <w:rsid w:val="00270B23"/>
    <w:rsid w:val="00270D3C"/>
    <w:rsid w:val="00270FBD"/>
    <w:rsid w:val="0027104E"/>
    <w:rsid w:val="002714B9"/>
    <w:rsid w:val="0027153F"/>
    <w:rsid w:val="00271650"/>
    <w:rsid w:val="00271684"/>
    <w:rsid w:val="00271C16"/>
    <w:rsid w:val="00271DB3"/>
    <w:rsid w:val="00271F90"/>
    <w:rsid w:val="0027217E"/>
    <w:rsid w:val="002724B8"/>
    <w:rsid w:val="002724B9"/>
    <w:rsid w:val="002725A2"/>
    <w:rsid w:val="002725E5"/>
    <w:rsid w:val="00272735"/>
    <w:rsid w:val="002728F9"/>
    <w:rsid w:val="0027291C"/>
    <w:rsid w:val="00272A55"/>
    <w:rsid w:val="00272CA7"/>
    <w:rsid w:val="00272D98"/>
    <w:rsid w:val="00272E19"/>
    <w:rsid w:val="00272ED2"/>
    <w:rsid w:val="00273125"/>
    <w:rsid w:val="0027318B"/>
    <w:rsid w:val="0027325E"/>
    <w:rsid w:val="002732EF"/>
    <w:rsid w:val="00273370"/>
    <w:rsid w:val="0027367D"/>
    <w:rsid w:val="002738E9"/>
    <w:rsid w:val="0027393F"/>
    <w:rsid w:val="00273CE6"/>
    <w:rsid w:val="00273F25"/>
    <w:rsid w:val="00273FCE"/>
    <w:rsid w:val="00274375"/>
    <w:rsid w:val="002743EB"/>
    <w:rsid w:val="0027442B"/>
    <w:rsid w:val="002744E2"/>
    <w:rsid w:val="0027474F"/>
    <w:rsid w:val="0027485A"/>
    <w:rsid w:val="00274B06"/>
    <w:rsid w:val="00274B34"/>
    <w:rsid w:val="00274ED3"/>
    <w:rsid w:val="00274F3C"/>
    <w:rsid w:val="002751CE"/>
    <w:rsid w:val="002751E1"/>
    <w:rsid w:val="002751E9"/>
    <w:rsid w:val="00275538"/>
    <w:rsid w:val="00275739"/>
    <w:rsid w:val="002758AF"/>
    <w:rsid w:val="00275926"/>
    <w:rsid w:val="00275ED1"/>
    <w:rsid w:val="00276026"/>
    <w:rsid w:val="00276401"/>
    <w:rsid w:val="0027664E"/>
    <w:rsid w:val="00276C32"/>
    <w:rsid w:val="00276D2A"/>
    <w:rsid w:val="00276D9A"/>
    <w:rsid w:val="00276E70"/>
    <w:rsid w:val="00276F2A"/>
    <w:rsid w:val="00277717"/>
    <w:rsid w:val="0027779E"/>
    <w:rsid w:val="00277899"/>
    <w:rsid w:val="00277C4A"/>
    <w:rsid w:val="00277CCE"/>
    <w:rsid w:val="00277CDF"/>
    <w:rsid w:val="00277E66"/>
    <w:rsid w:val="00277EA8"/>
    <w:rsid w:val="002801D0"/>
    <w:rsid w:val="00280378"/>
    <w:rsid w:val="002807AB"/>
    <w:rsid w:val="00280992"/>
    <w:rsid w:val="00280A0C"/>
    <w:rsid w:val="00280B8E"/>
    <w:rsid w:val="00280C3D"/>
    <w:rsid w:val="00280D7A"/>
    <w:rsid w:val="0028105C"/>
    <w:rsid w:val="00281143"/>
    <w:rsid w:val="0028145C"/>
    <w:rsid w:val="00281706"/>
    <w:rsid w:val="00281718"/>
    <w:rsid w:val="0028183D"/>
    <w:rsid w:val="00281896"/>
    <w:rsid w:val="00281A04"/>
    <w:rsid w:val="00281A4D"/>
    <w:rsid w:val="00281C73"/>
    <w:rsid w:val="00281F26"/>
    <w:rsid w:val="00281FAB"/>
    <w:rsid w:val="0028222F"/>
    <w:rsid w:val="002822A5"/>
    <w:rsid w:val="0028250C"/>
    <w:rsid w:val="00282549"/>
    <w:rsid w:val="00282576"/>
    <w:rsid w:val="0028279A"/>
    <w:rsid w:val="0028279D"/>
    <w:rsid w:val="0028280F"/>
    <w:rsid w:val="00282F55"/>
    <w:rsid w:val="00282FD7"/>
    <w:rsid w:val="002830C3"/>
    <w:rsid w:val="002830E3"/>
    <w:rsid w:val="00283134"/>
    <w:rsid w:val="002835EA"/>
    <w:rsid w:val="002836A6"/>
    <w:rsid w:val="002838C8"/>
    <w:rsid w:val="002839E5"/>
    <w:rsid w:val="00283B3A"/>
    <w:rsid w:val="00283BB8"/>
    <w:rsid w:val="00283DBF"/>
    <w:rsid w:val="00283E41"/>
    <w:rsid w:val="0028409F"/>
    <w:rsid w:val="00284191"/>
    <w:rsid w:val="002841F8"/>
    <w:rsid w:val="0028423F"/>
    <w:rsid w:val="0028459E"/>
    <w:rsid w:val="002845B7"/>
    <w:rsid w:val="00284652"/>
    <w:rsid w:val="002846A2"/>
    <w:rsid w:val="00284A4D"/>
    <w:rsid w:val="00284C05"/>
    <w:rsid w:val="00284D28"/>
    <w:rsid w:val="002852FF"/>
    <w:rsid w:val="00285308"/>
    <w:rsid w:val="00285380"/>
    <w:rsid w:val="002854B0"/>
    <w:rsid w:val="0028556D"/>
    <w:rsid w:val="0028563A"/>
    <w:rsid w:val="00285743"/>
    <w:rsid w:val="00285C60"/>
    <w:rsid w:val="00285D66"/>
    <w:rsid w:val="00286094"/>
    <w:rsid w:val="00286278"/>
    <w:rsid w:val="00286377"/>
    <w:rsid w:val="002863B7"/>
    <w:rsid w:val="00286585"/>
    <w:rsid w:val="0028669E"/>
    <w:rsid w:val="00286797"/>
    <w:rsid w:val="00286811"/>
    <w:rsid w:val="002868F2"/>
    <w:rsid w:val="00286A36"/>
    <w:rsid w:val="00286BFC"/>
    <w:rsid w:val="00286CB8"/>
    <w:rsid w:val="00286E5F"/>
    <w:rsid w:val="00287086"/>
    <w:rsid w:val="002870A9"/>
    <w:rsid w:val="002875A8"/>
    <w:rsid w:val="0028760D"/>
    <w:rsid w:val="002876C0"/>
    <w:rsid w:val="00287997"/>
    <w:rsid w:val="00287A2D"/>
    <w:rsid w:val="00287AA8"/>
    <w:rsid w:val="00287CAC"/>
    <w:rsid w:val="00287CB2"/>
    <w:rsid w:val="00287CDD"/>
    <w:rsid w:val="00287E1F"/>
    <w:rsid w:val="00287E9D"/>
    <w:rsid w:val="00287FD1"/>
    <w:rsid w:val="0029025A"/>
    <w:rsid w:val="00290395"/>
    <w:rsid w:val="0029040B"/>
    <w:rsid w:val="00290565"/>
    <w:rsid w:val="002905E3"/>
    <w:rsid w:val="00290748"/>
    <w:rsid w:val="0029087D"/>
    <w:rsid w:val="00290944"/>
    <w:rsid w:val="0029094B"/>
    <w:rsid w:val="00290A4A"/>
    <w:rsid w:val="00290A93"/>
    <w:rsid w:val="00290C7D"/>
    <w:rsid w:val="00290DD1"/>
    <w:rsid w:val="00290FCC"/>
    <w:rsid w:val="00290FFE"/>
    <w:rsid w:val="002910D5"/>
    <w:rsid w:val="002911EC"/>
    <w:rsid w:val="002911EE"/>
    <w:rsid w:val="002916C6"/>
    <w:rsid w:val="002916DD"/>
    <w:rsid w:val="0029189E"/>
    <w:rsid w:val="00291924"/>
    <w:rsid w:val="0029192D"/>
    <w:rsid w:val="002919E4"/>
    <w:rsid w:val="00291DAC"/>
    <w:rsid w:val="00291DB9"/>
    <w:rsid w:val="00291E57"/>
    <w:rsid w:val="00291EBF"/>
    <w:rsid w:val="00291FEA"/>
    <w:rsid w:val="00292063"/>
    <w:rsid w:val="002921F0"/>
    <w:rsid w:val="00292553"/>
    <w:rsid w:val="002927DD"/>
    <w:rsid w:val="00292890"/>
    <w:rsid w:val="0029290C"/>
    <w:rsid w:val="00292A7D"/>
    <w:rsid w:val="00292AB4"/>
    <w:rsid w:val="00292ABE"/>
    <w:rsid w:val="00292D3D"/>
    <w:rsid w:val="00292D80"/>
    <w:rsid w:val="00292E84"/>
    <w:rsid w:val="00292F71"/>
    <w:rsid w:val="00292FAB"/>
    <w:rsid w:val="00292FAF"/>
    <w:rsid w:val="00293138"/>
    <w:rsid w:val="0029359E"/>
    <w:rsid w:val="0029393E"/>
    <w:rsid w:val="002939A1"/>
    <w:rsid w:val="00293C36"/>
    <w:rsid w:val="00293EE9"/>
    <w:rsid w:val="0029400A"/>
    <w:rsid w:val="00294178"/>
    <w:rsid w:val="00294608"/>
    <w:rsid w:val="00294720"/>
    <w:rsid w:val="002947B5"/>
    <w:rsid w:val="002947C3"/>
    <w:rsid w:val="002948D8"/>
    <w:rsid w:val="00294BC3"/>
    <w:rsid w:val="00294C6E"/>
    <w:rsid w:val="00294D3D"/>
    <w:rsid w:val="00294EA2"/>
    <w:rsid w:val="00295040"/>
    <w:rsid w:val="0029511A"/>
    <w:rsid w:val="00295123"/>
    <w:rsid w:val="002954F0"/>
    <w:rsid w:val="002956ED"/>
    <w:rsid w:val="00295702"/>
    <w:rsid w:val="002961F3"/>
    <w:rsid w:val="002964B7"/>
    <w:rsid w:val="00296500"/>
    <w:rsid w:val="002965BE"/>
    <w:rsid w:val="002966A8"/>
    <w:rsid w:val="00296992"/>
    <w:rsid w:val="00296D10"/>
    <w:rsid w:val="00296E06"/>
    <w:rsid w:val="0029712E"/>
    <w:rsid w:val="0029728D"/>
    <w:rsid w:val="0029755D"/>
    <w:rsid w:val="002975FE"/>
    <w:rsid w:val="00297ADE"/>
    <w:rsid w:val="00297C2D"/>
    <w:rsid w:val="00297E32"/>
    <w:rsid w:val="00297EAD"/>
    <w:rsid w:val="002A05FA"/>
    <w:rsid w:val="002A0758"/>
    <w:rsid w:val="002A0854"/>
    <w:rsid w:val="002A0AFC"/>
    <w:rsid w:val="002A0B01"/>
    <w:rsid w:val="002A0D65"/>
    <w:rsid w:val="002A0F88"/>
    <w:rsid w:val="002A10C2"/>
    <w:rsid w:val="002A116B"/>
    <w:rsid w:val="002A132A"/>
    <w:rsid w:val="002A138C"/>
    <w:rsid w:val="002A1588"/>
    <w:rsid w:val="002A167E"/>
    <w:rsid w:val="002A1730"/>
    <w:rsid w:val="002A19E7"/>
    <w:rsid w:val="002A1AAC"/>
    <w:rsid w:val="002A2579"/>
    <w:rsid w:val="002A25DC"/>
    <w:rsid w:val="002A2797"/>
    <w:rsid w:val="002A279B"/>
    <w:rsid w:val="002A2896"/>
    <w:rsid w:val="002A2ABA"/>
    <w:rsid w:val="002A2B08"/>
    <w:rsid w:val="002A2BBA"/>
    <w:rsid w:val="002A2C85"/>
    <w:rsid w:val="002A30BC"/>
    <w:rsid w:val="002A3313"/>
    <w:rsid w:val="002A332D"/>
    <w:rsid w:val="002A333D"/>
    <w:rsid w:val="002A3489"/>
    <w:rsid w:val="002A34CD"/>
    <w:rsid w:val="002A3E39"/>
    <w:rsid w:val="002A40D9"/>
    <w:rsid w:val="002A4177"/>
    <w:rsid w:val="002A42A6"/>
    <w:rsid w:val="002A4425"/>
    <w:rsid w:val="002A4726"/>
    <w:rsid w:val="002A477A"/>
    <w:rsid w:val="002A4D3B"/>
    <w:rsid w:val="002A4DB6"/>
    <w:rsid w:val="002A4F1A"/>
    <w:rsid w:val="002A4F90"/>
    <w:rsid w:val="002A5160"/>
    <w:rsid w:val="002A51DD"/>
    <w:rsid w:val="002A5251"/>
    <w:rsid w:val="002A5304"/>
    <w:rsid w:val="002A5377"/>
    <w:rsid w:val="002A53D3"/>
    <w:rsid w:val="002A558B"/>
    <w:rsid w:val="002A568C"/>
    <w:rsid w:val="002A5916"/>
    <w:rsid w:val="002A59DC"/>
    <w:rsid w:val="002A5A38"/>
    <w:rsid w:val="002A5B96"/>
    <w:rsid w:val="002A5C60"/>
    <w:rsid w:val="002A5D62"/>
    <w:rsid w:val="002A631A"/>
    <w:rsid w:val="002A6418"/>
    <w:rsid w:val="002A64EA"/>
    <w:rsid w:val="002A6513"/>
    <w:rsid w:val="002A6600"/>
    <w:rsid w:val="002A6990"/>
    <w:rsid w:val="002A69DA"/>
    <w:rsid w:val="002A6A2D"/>
    <w:rsid w:val="002A6E7D"/>
    <w:rsid w:val="002A6F75"/>
    <w:rsid w:val="002A7092"/>
    <w:rsid w:val="002A71A6"/>
    <w:rsid w:val="002A71BB"/>
    <w:rsid w:val="002A71BE"/>
    <w:rsid w:val="002A755D"/>
    <w:rsid w:val="002A76BE"/>
    <w:rsid w:val="002A7888"/>
    <w:rsid w:val="002A7A2F"/>
    <w:rsid w:val="002A7A8B"/>
    <w:rsid w:val="002A7C35"/>
    <w:rsid w:val="002A7C46"/>
    <w:rsid w:val="002A7CEE"/>
    <w:rsid w:val="002A7CF6"/>
    <w:rsid w:val="002A7DB4"/>
    <w:rsid w:val="002B0264"/>
    <w:rsid w:val="002B0393"/>
    <w:rsid w:val="002B0536"/>
    <w:rsid w:val="002B074D"/>
    <w:rsid w:val="002B088F"/>
    <w:rsid w:val="002B0898"/>
    <w:rsid w:val="002B0B21"/>
    <w:rsid w:val="002B0C0A"/>
    <w:rsid w:val="002B0F61"/>
    <w:rsid w:val="002B10F5"/>
    <w:rsid w:val="002B11BD"/>
    <w:rsid w:val="002B1594"/>
    <w:rsid w:val="002B15F8"/>
    <w:rsid w:val="002B1855"/>
    <w:rsid w:val="002B1A3A"/>
    <w:rsid w:val="002B1C4D"/>
    <w:rsid w:val="002B1C83"/>
    <w:rsid w:val="002B1F05"/>
    <w:rsid w:val="002B1F5D"/>
    <w:rsid w:val="002B25E2"/>
    <w:rsid w:val="002B2684"/>
    <w:rsid w:val="002B2908"/>
    <w:rsid w:val="002B29EB"/>
    <w:rsid w:val="002B2A37"/>
    <w:rsid w:val="002B2AB6"/>
    <w:rsid w:val="002B2B6D"/>
    <w:rsid w:val="002B2BAF"/>
    <w:rsid w:val="002B2E68"/>
    <w:rsid w:val="002B2FBE"/>
    <w:rsid w:val="002B302D"/>
    <w:rsid w:val="002B3365"/>
    <w:rsid w:val="002B3373"/>
    <w:rsid w:val="002B34D3"/>
    <w:rsid w:val="002B350D"/>
    <w:rsid w:val="002B3568"/>
    <w:rsid w:val="002B3E52"/>
    <w:rsid w:val="002B3EE5"/>
    <w:rsid w:val="002B3F8E"/>
    <w:rsid w:val="002B4102"/>
    <w:rsid w:val="002B4120"/>
    <w:rsid w:val="002B4190"/>
    <w:rsid w:val="002B44B5"/>
    <w:rsid w:val="002B4731"/>
    <w:rsid w:val="002B47A0"/>
    <w:rsid w:val="002B4879"/>
    <w:rsid w:val="002B491C"/>
    <w:rsid w:val="002B4A72"/>
    <w:rsid w:val="002B4AF2"/>
    <w:rsid w:val="002B4F09"/>
    <w:rsid w:val="002B54E3"/>
    <w:rsid w:val="002B55AF"/>
    <w:rsid w:val="002B565C"/>
    <w:rsid w:val="002B569D"/>
    <w:rsid w:val="002B574F"/>
    <w:rsid w:val="002B5970"/>
    <w:rsid w:val="002B5A75"/>
    <w:rsid w:val="002B5B00"/>
    <w:rsid w:val="002B5D81"/>
    <w:rsid w:val="002B61E6"/>
    <w:rsid w:val="002B61FA"/>
    <w:rsid w:val="002B6436"/>
    <w:rsid w:val="002B64AC"/>
    <w:rsid w:val="002B6952"/>
    <w:rsid w:val="002B6F20"/>
    <w:rsid w:val="002B7287"/>
    <w:rsid w:val="002B73DF"/>
    <w:rsid w:val="002B75B6"/>
    <w:rsid w:val="002B7709"/>
    <w:rsid w:val="002B7734"/>
    <w:rsid w:val="002B779C"/>
    <w:rsid w:val="002B7B14"/>
    <w:rsid w:val="002C0102"/>
    <w:rsid w:val="002C0206"/>
    <w:rsid w:val="002C02C6"/>
    <w:rsid w:val="002C03A5"/>
    <w:rsid w:val="002C03AF"/>
    <w:rsid w:val="002C04A2"/>
    <w:rsid w:val="002C051C"/>
    <w:rsid w:val="002C0891"/>
    <w:rsid w:val="002C0A30"/>
    <w:rsid w:val="002C109B"/>
    <w:rsid w:val="002C10C0"/>
    <w:rsid w:val="002C11DA"/>
    <w:rsid w:val="002C1251"/>
    <w:rsid w:val="002C1413"/>
    <w:rsid w:val="002C14BF"/>
    <w:rsid w:val="002C1598"/>
    <w:rsid w:val="002C1710"/>
    <w:rsid w:val="002C1900"/>
    <w:rsid w:val="002C190D"/>
    <w:rsid w:val="002C1A13"/>
    <w:rsid w:val="002C1B10"/>
    <w:rsid w:val="002C1E8F"/>
    <w:rsid w:val="002C1EC4"/>
    <w:rsid w:val="002C2007"/>
    <w:rsid w:val="002C27C6"/>
    <w:rsid w:val="002C28D3"/>
    <w:rsid w:val="002C2B61"/>
    <w:rsid w:val="002C2BA0"/>
    <w:rsid w:val="002C2D68"/>
    <w:rsid w:val="002C2E33"/>
    <w:rsid w:val="002C2F35"/>
    <w:rsid w:val="002C2F3F"/>
    <w:rsid w:val="002C2F84"/>
    <w:rsid w:val="002C32BA"/>
    <w:rsid w:val="002C3411"/>
    <w:rsid w:val="002C34CF"/>
    <w:rsid w:val="002C3631"/>
    <w:rsid w:val="002C37C3"/>
    <w:rsid w:val="002C3947"/>
    <w:rsid w:val="002C3998"/>
    <w:rsid w:val="002C401C"/>
    <w:rsid w:val="002C4149"/>
    <w:rsid w:val="002C429F"/>
    <w:rsid w:val="002C42EC"/>
    <w:rsid w:val="002C4330"/>
    <w:rsid w:val="002C434A"/>
    <w:rsid w:val="002C438D"/>
    <w:rsid w:val="002C43F2"/>
    <w:rsid w:val="002C4551"/>
    <w:rsid w:val="002C45E8"/>
    <w:rsid w:val="002C46CF"/>
    <w:rsid w:val="002C48DF"/>
    <w:rsid w:val="002C496F"/>
    <w:rsid w:val="002C4A8D"/>
    <w:rsid w:val="002C4D33"/>
    <w:rsid w:val="002C4F4D"/>
    <w:rsid w:val="002C525F"/>
    <w:rsid w:val="002C52DD"/>
    <w:rsid w:val="002C5324"/>
    <w:rsid w:val="002C5472"/>
    <w:rsid w:val="002C54E1"/>
    <w:rsid w:val="002C5734"/>
    <w:rsid w:val="002C578B"/>
    <w:rsid w:val="002C57C2"/>
    <w:rsid w:val="002C5A3C"/>
    <w:rsid w:val="002C5CB3"/>
    <w:rsid w:val="002C5D1E"/>
    <w:rsid w:val="002C5D56"/>
    <w:rsid w:val="002C5D5E"/>
    <w:rsid w:val="002C5F28"/>
    <w:rsid w:val="002C613C"/>
    <w:rsid w:val="002C61B4"/>
    <w:rsid w:val="002C63EA"/>
    <w:rsid w:val="002C65C5"/>
    <w:rsid w:val="002C6643"/>
    <w:rsid w:val="002C69D7"/>
    <w:rsid w:val="002C6B7D"/>
    <w:rsid w:val="002C6D4E"/>
    <w:rsid w:val="002C6EA2"/>
    <w:rsid w:val="002C6F60"/>
    <w:rsid w:val="002C743A"/>
    <w:rsid w:val="002C7577"/>
    <w:rsid w:val="002C7630"/>
    <w:rsid w:val="002C79B5"/>
    <w:rsid w:val="002C7C90"/>
    <w:rsid w:val="002C7D72"/>
    <w:rsid w:val="002C7E58"/>
    <w:rsid w:val="002D019D"/>
    <w:rsid w:val="002D023F"/>
    <w:rsid w:val="002D03ED"/>
    <w:rsid w:val="002D0800"/>
    <w:rsid w:val="002D094B"/>
    <w:rsid w:val="002D0AAC"/>
    <w:rsid w:val="002D0EC3"/>
    <w:rsid w:val="002D0FF4"/>
    <w:rsid w:val="002D131D"/>
    <w:rsid w:val="002D133E"/>
    <w:rsid w:val="002D1536"/>
    <w:rsid w:val="002D173A"/>
    <w:rsid w:val="002D1A03"/>
    <w:rsid w:val="002D1DA3"/>
    <w:rsid w:val="002D1FE2"/>
    <w:rsid w:val="002D2191"/>
    <w:rsid w:val="002D22B0"/>
    <w:rsid w:val="002D23D9"/>
    <w:rsid w:val="002D2482"/>
    <w:rsid w:val="002D2553"/>
    <w:rsid w:val="002D2869"/>
    <w:rsid w:val="002D28C2"/>
    <w:rsid w:val="002D2CCB"/>
    <w:rsid w:val="002D2FD3"/>
    <w:rsid w:val="002D3304"/>
    <w:rsid w:val="002D37CF"/>
    <w:rsid w:val="002D3849"/>
    <w:rsid w:val="002D3AD2"/>
    <w:rsid w:val="002D3B13"/>
    <w:rsid w:val="002D3CA1"/>
    <w:rsid w:val="002D3E0C"/>
    <w:rsid w:val="002D3E54"/>
    <w:rsid w:val="002D3FAA"/>
    <w:rsid w:val="002D4461"/>
    <w:rsid w:val="002D4471"/>
    <w:rsid w:val="002D44ED"/>
    <w:rsid w:val="002D4576"/>
    <w:rsid w:val="002D45B2"/>
    <w:rsid w:val="002D46EF"/>
    <w:rsid w:val="002D4802"/>
    <w:rsid w:val="002D4C0E"/>
    <w:rsid w:val="002D4D02"/>
    <w:rsid w:val="002D4DD9"/>
    <w:rsid w:val="002D4E9C"/>
    <w:rsid w:val="002D4FA3"/>
    <w:rsid w:val="002D511A"/>
    <w:rsid w:val="002D5171"/>
    <w:rsid w:val="002D540F"/>
    <w:rsid w:val="002D551D"/>
    <w:rsid w:val="002D575F"/>
    <w:rsid w:val="002D5854"/>
    <w:rsid w:val="002D59AF"/>
    <w:rsid w:val="002D5A7F"/>
    <w:rsid w:val="002D5BC9"/>
    <w:rsid w:val="002D5C4B"/>
    <w:rsid w:val="002D6240"/>
    <w:rsid w:val="002D62A0"/>
    <w:rsid w:val="002D62E6"/>
    <w:rsid w:val="002D62EE"/>
    <w:rsid w:val="002D6359"/>
    <w:rsid w:val="002D6495"/>
    <w:rsid w:val="002D64E7"/>
    <w:rsid w:val="002D651D"/>
    <w:rsid w:val="002D68C2"/>
    <w:rsid w:val="002D6974"/>
    <w:rsid w:val="002D69AE"/>
    <w:rsid w:val="002D6ADD"/>
    <w:rsid w:val="002D6C3B"/>
    <w:rsid w:val="002D6CE1"/>
    <w:rsid w:val="002D712B"/>
    <w:rsid w:val="002D7189"/>
    <w:rsid w:val="002D71C4"/>
    <w:rsid w:val="002D754C"/>
    <w:rsid w:val="002D782E"/>
    <w:rsid w:val="002D7964"/>
    <w:rsid w:val="002D796F"/>
    <w:rsid w:val="002D7A5F"/>
    <w:rsid w:val="002E0322"/>
    <w:rsid w:val="002E043E"/>
    <w:rsid w:val="002E04CB"/>
    <w:rsid w:val="002E0507"/>
    <w:rsid w:val="002E052C"/>
    <w:rsid w:val="002E0924"/>
    <w:rsid w:val="002E09D6"/>
    <w:rsid w:val="002E0CF2"/>
    <w:rsid w:val="002E0D1D"/>
    <w:rsid w:val="002E0E59"/>
    <w:rsid w:val="002E11D9"/>
    <w:rsid w:val="002E12D1"/>
    <w:rsid w:val="002E1325"/>
    <w:rsid w:val="002E1546"/>
    <w:rsid w:val="002E1675"/>
    <w:rsid w:val="002E168B"/>
    <w:rsid w:val="002E17C7"/>
    <w:rsid w:val="002E1823"/>
    <w:rsid w:val="002E195E"/>
    <w:rsid w:val="002E19E5"/>
    <w:rsid w:val="002E1A4E"/>
    <w:rsid w:val="002E1B53"/>
    <w:rsid w:val="002E1D45"/>
    <w:rsid w:val="002E1F6A"/>
    <w:rsid w:val="002E1F84"/>
    <w:rsid w:val="002E24E7"/>
    <w:rsid w:val="002E26DB"/>
    <w:rsid w:val="002E2993"/>
    <w:rsid w:val="002E2E04"/>
    <w:rsid w:val="002E2FC9"/>
    <w:rsid w:val="002E30EC"/>
    <w:rsid w:val="002E30F6"/>
    <w:rsid w:val="002E3324"/>
    <w:rsid w:val="002E3333"/>
    <w:rsid w:val="002E3578"/>
    <w:rsid w:val="002E3C50"/>
    <w:rsid w:val="002E3F2B"/>
    <w:rsid w:val="002E3FB7"/>
    <w:rsid w:val="002E4085"/>
    <w:rsid w:val="002E4207"/>
    <w:rsid w:val="002E4371"/>
    <w:rsid w:val="002E4500"/>
    <w:rsid w:val="002E45C7"/>
    <w:rsid w:val="002E47B7"/>
    <w:rsid w:val="002E48D9"/>
    <w:rsid w:val="002E4AF8"/>
    <w:rsid w:val="002E4B4F"/>
    <w:rsid w:val="002E4B9B"/>
    <w:rsid w:val="002E4DDA"/>
    <w:rsid w:val="002E4ED1"/>
    <w:rsid w:val="002E4EE3"/>
    <w:rsid w:val="002E4F71"/>
    <w:rsid w:val="002E5021"/>
    <w:rsid w:val="002E5067"/>
    <w:rsid w:val="002E523B"/>
    <w:rsid w:val="002E533F"/>
    <w:rsid w:val="002E5351"/>
    <w:rsid w:val="002E5353"/>
    <w:rsid w:val="002E5369"/>
    <w:rsid w:val="002E5438"/>
    <w:rsid w:val="002E5509"/>
    <w:rsid w:val="002E57D2"/>
    <w:rsid w:val="002E5962"/>
    <w:rsid w:val="002E59BD"/>
    <w:rsid w:val="002E5B0B"/>
    <w:rsid w:val="002E5D94"/>
    <w:rsid w:val="002E5E16"/>
    <w:rsid w:val="002E5F1A"/>
    <w:rsid w:val="002E5F41"/>
    <w:rsid w:val="002E5FE4"/>
    <w:rsid w:val="002E60C5"/>
    <w:rsid w:val="002E60C7"/>
    <w:rsid w:val="002E620F"/>
    <w:rsid w:val="002E6733"/>
    <w:rsid w:val="002E6770"/>
    <w:rsid w:val="002E681D"/>
    <w:rsid w:val="002E681E"/>
    <w:rsid w:val="002E6875"/>
    <w:rsid w:val="002E698E"/>
    <w:rsid w:val="002E6F9A"/>
    <w:rsid w:val="002E6FF0"/>
    <w:rsid w:val="002E725B"/>
    <w:rsid w:val="002E7261"/>
    <w:rsid w:val="002E72D2"/>
    <w:rsid w:val="002E7330"/>
    <w:rsid w:val="002E73A3"/>
    <w:rsid w:val="002E7445"/>
    <w:rsid w:val="002E7737"/>
    <w:rsid w:val="002E7E8C"/>
    <w:rsid w:val="002E7F5A"/>
    <w:rsid w:val="002F0089"/>
    <w:rsid w:val="002F011E"/>
    <w:rsid w:val="002F0199"/>
    <w:rsid w:val="002F01CF"/>
    <w:rsid w:val="002F0483"/>
    <w:rsid w:val="002F0592"/>
    <w:rsid w:val="002F0623"/>
    <w:rsid w:val="002F0678"/>
    <w:rsid w:val="002F0911"/>
    <w:rsid w:val="002F0CB5"/>
    <w:rsid w:val="002F0D64"/>
    <w:rsid w:val="002F0DDF"/>
    <w:rsid w:val="002F0E9E"/>
    <w:rsid w:val="002F0F58"/>
    <w:rsid w:val="002F1043"/>
    <w:rsid w:val="002F1083"/>
    <w:rsid w:val="002F1177"/>
    <w:rsid w:val="002F1679"/>
    <w:rsid w:val="002F19AF"/>
    <w:rsid w:val="002F19B4"/>
    <w:rsid w:val="002F2385"/>
    <w:rsid w:val="002F294E"/>
    <w:rsid w:val="002F2B1B"/>
    <w:rsid w:val="002F2E57"/>
    <w:rsid w:val="002F2EB0"/>
    <w:rsid w:val="002F2FA5"/>
    <w:rsid w:val="002F3273"/>
    <w:rsid w:val="002F3404"/>
    <w:rsid w:val="002F3448"/>
    <w:rsid w:val="002F35EF"/>
    <w:rsid w:val="002F36AC"/>
    <w:rsid w:val="002F37E2"/>
    <w:rsid w:val="002F3818"/>
    <w:rsid w:val="002F3881"/>
    <w:rsid w:val="002F3CCE"/>
    <w:rsid w:val="002F4028"/>
    <w:rsid w:val="002F4056"/>
    <w:rsid w:val="002F4122"/>
    <w:rsid w:val="002F415D"/>
    <w:rsid w:val="002F41F2"/>
    <w:rsid w:val="002F4261"/>
    <w:rsid w:val="002F4263"/>
    <w:rsid w:val="002F4354"/>
    <w:rsid w:val="002F43D3"/>
    <w:rsid w:val="002F43DC"/>
    <w:rsid w:val="002F4413"/>
    <w:rsid w:val="002F4564"/>
    <w:rsid w:val="002F4640"/>
    <w:rsid w:val="002F4666"/>
    <w:rsid w:val="002F4676"/>
    <w:rsid w:val="002F48F5"/>
    <w:rsid w:val="002F4AFD"/>
    <w:rsid w:val="002F4B86"/>
    <w:rsid w:val="002F4BD0"/>
    <w:rsid w:val="002F4CBC"/>
    <w:rsid w:val="002F4DCA"/>
    <w:rsid w:val="002F536A"/>
    <w:rsid w:val="002F561F"/>
    <w:rsid w:val="002F57CE"/>
    <w:rsid w:val="002F5B95"/>
    <w:rsid w:val="002F5C5E"/>
    <w:rsid w:val="002F636F"/>
    <w:rsid w:val="002F63E3"/>
    <w:rsid w:val="002F6545"/>
    <w:rsid w:val="002F67BF"/>
    <w:rsid w:val="002F6833"/>
    <w:rsid w:val="002F6AC4"/>
    <w:rsid w:val="002F6EA6"/>
    <w:rsid w:val="002F6EF6"/>
    <w:rsid w:val="002F7255"/>
    <w:rsid w:val="002F72D5"/>
    <w:rsid w:val="002F7528"/>
    <w:rsid w:val="002F76D9"/>
    <w:rsid w:val="002F7732"/>
    <w:rsid w:val="002F7B18"/>
    <w:rsid w:val="002F7B7E"/>
    <w:rsid w:val="002F7C8B"/>
    <w:rsid w:val="002F7E71"/>
    <w:rsid w:val="002F7F97"/>
    <w:rsid w:val="003002B9"/>
    <w:rsid w:val="0030038B"/>
    <w:rsid w:val="003003C3"/>
    <w:rsid w:val="0030068B"/>
    <w:rsid w:val="00300771"/>
    <w:rsid w:val="003008A4"/>
    <w:rsid w:val="003008DE"/>
    <w:rsid w:val="00300A0C"/>
    <w:rsid w:val="00300A29"/>
    <w:rsid w:val="00300AA5"/>
    <w:rsid w:val="00300BD2"/>
    <w:rsid w:val="00300DDA"/>
    <w:rsid w:val="00300E30"/>
    <w:rsid w:val="00300EBF"/>
    <w:rsid w:val="00301204"/>
    <w:rsid w:val="00301597"/>
    <w:rsid w:val="00301613"/>
    <w:rsid w:val="00301726"/>
    <w:rsid w:val="00301B7B"/>
    <w:rsid w:val="00301BC3"/>
    <w:rsid w:val="00301CF8"/>
    <w:rsid w:val="00301E6C"/>
    <w:rsid w:val="00301F06"/>
    <w:rsid w:val="00301F15"/>
    <w:rsid w:val="0030223D"/>
    <w:rsid w:val="00302695"/>
    <w:rsid w:val="00302696"/>
    <w:rsid w:val="003027F9"/>
    <w:rsid w:val="00302814"/>
    <w:rsid w:val="00302881"/>
    <w:rsid w:val="003028B0"/>
    <w:rsid w:val="00302905"/>
    <w:rsid w:val="00302ECF"/>
    <w:rsid w:val="003035A0"/>
    <w:rsid w:val="003035C3"/>
    <w:rsid w:val="00303992"/>
    <w:rsid w:val="00303CE2"/>
    <w:rsid w:val="0030401E"/>
    <w:rsid w:val="0030415B"/>
    <w:rsid w:val="0030431C"/>
    <w:rsid w:val="00304396"/>
    <w:rsid w:val="00304444"/>
    <w:rsid w:val="00304682"/>
    <w:rsid w:val="003048C9"/>
    <w:rsid w:val="00304B29"/>
    <w:rsid w:val="00304C47"/>
    <w:rsid w:val="00304D79"/>
    <w:rsid w:val="00304F46"/>
    <w:rsid w:val="00304F7E"/>
    <w:rsid w:val="003050CB"/>
    <w:rsid w:val="00305643"/>
    <w:rsid w:val="00305680"/>
    <w:rsid w:val="003056CC"/>
    <w:rsid w:val="00305BE1"/>
    <w:rsid w:val="00305F1A"/>
    <w:rsid w:val="00305F97"/>
    <w:rsid w:val="0030613F"/>
    <w:rsid w:val="0030624A"/>
    <w:rsid w:val="003062D9"/>
    <w:rsid w:val="00306778"/>
    <w:rsid w:val="00306859"/>
    <w:rsid w:val="00306B3D"/>
    <w:rsid w:val="00306B70"/>
    <w:rsid w:val="00306E0A"/>
    <w:rsid w:val="00307239"/>
    <w:rsid w:val="003072DA"/>
    <w:rsid w:val="00307444"/>
    <w:rsid w:val="00307493"/>
    <w:rsid w:val="0030750B"/>
    <w:rsid w:val="003077EA"/>
    <w:rsid w:val="00307A86"/>
    <w:rsid w:val="00307ACE"/>
    <w:rsid w:val="00307B88"/>
    <w:rsid w:val="00307B94"/>
    <w:rsid w:val="00307DE8"/>
    <w:rsid w:val="00310076"/>
    <w:rsid w:val="003103E4"/>
    <w:rsid w:val="00310607"/>
    <w:rsid w:val="00310712"/>
    <w:rsid w:val="00310791"/>
    <w:rsid w:val="00310911"/>
    <w:rsid w:val="00310CAD"/>
    <w:rsid w:val="00310E08"/>
    <w:rsid w:val="00310F10"/>
    <w:rsid w:val="00310F13"/>
    <w:rsid w:val="003110DE"/>
    <w:rsid w:val="003110F2"/>
    <w:rsid w:val="0031119E"/>
    <w:rsid w:val="003112B1"/>
    <w:rsid w:val="00311400"/>
    <w:rsid w:val="00311541"/>
    <w:rsid w:val="00311573"/>
    <w:rsid w:val="003116C0"/>
    <w:rsid w:val="003116F1"/>
    <w:rsid w:val="003117D5"/>
    <w:rsid w:val="003117DF"/>
    <w:rsid w:val="003119A5"/>
    <w:rsid w:val="00311BA5"/>
    <w:rsid w:val="00311D23"/>
    <w:rsid w:val="00311DF9"/>
    <w:rsid w:val="00311E35"/>
    <w:rsid w:val="00311F3D"/>
    <w:rsid w:val="003120B2"/>
    <w:rsid w:val="0031218A"/>
    <w:rsid w:val="0031225D"/>
    <w:rsid w:val="00312382"/>
    <w:rsid w:val="00312643"/>
    <w:rsid w:val="003126B2"/>
    <w:rsid w:val="003126DB"/>
    <w:rsid w:val="00312798"/>
    <w:rsid w:val="00312935"/>
    <w:rsid w:val="00312A2E"/>
    <w:rsid w:val="00312C02"/>
    <w:rsid w:val="00312FAB"/>
    <w:rsid w:val="00313010"/>
    <w:rsid w:val="003133C6"/>
    <w:rsid w:val="00313738"/>
    <w:rsid w:val="003137E6"/>
    <w:rsid w:val="003137FB"/>
    <w:rsid w:val="0031398E"/>
    <w:rsid w:val="003139AF"/>
    <w:rsid w:val="00313A9D"/>
    <w:rsid w:val="00313AEF"/>
    <w:rsid w:val="00313DA9"/>
    <w:rsid w:val="00313DD9"/>
    <w:rsid w:val="003140A1"/>
    <w:rsid w:val="00314424"/>
    <w:rsid w:val="003144E0"/>
    <w:rsid w:val="00314746"/>
    <w:rsid w:val="00314843"/>
    <w:rsid w:val="00314883"/>
    <w:rsid w:val="003149C0"/>
    <w:rsid w:val="00314A44"/>
    <w:rsid w:val="00314AA7"/>
    <w:rsid w:val="00314F87"/>
    <w:rsid w:val="00315605"/>
    <w:rsid w:val="00315729"/>
    <w:rsid w:val="00315810"/>
    <w:rsid w:val="003159A6"/>
    <w:rsid w:val="00315AE7"/>
    <w:rsid w:val="00315B9D"/>
    <w:rsid w:val="00315BA1"/>
    <w:rsid w:val="00315BBF"/>
    <w:rsid w:val="00315BE1"/>
    <w:rsid w:val="00315EDD"/>
    <w:rsid w:val="00315F61"/>
    <w:rsid w:val="003160E7"/>
    <w:rsid w:val="00316114"/>
    <w:rsid w:val="003164DF"/>
    <w:rsid w:val="00316645"/>
    <w:rsid w:val="003166CF"/>
    <w:rsid w:val="003168BF"/>
    <w:rsid w:val="003169AA"/>
    <w:rsid w:val="00316BEF"/>
    <w:rsid w:val="00316CA9"/>
    <w:rsid w:val="00316D03"/>
    <w:rsid w:val="00316D16"/>
    <w:rsid w:val="00316D69"/>
    <w:rsid w:val="00316E6C"/>
    <w:rsid w:val="00316EE5"/>
    <w:rsid w:val="00316F59"/>
    <w:rsid w:val="00317244"/>
    <w:rsid w:val="00317279"/>
    <w:rsid w:val="00317320"/>
    <w:rsid w:val="0031784A"/>
    <w:rsid w:val="00317883"/>
    <w:rsid w:val="0031798A"/>
    <w:rsid w:val="00317DF0"/>
    <w:rsid w:val="00317EC3"/>
    <w:rsid w:val="00317FB4"/>
    <w:rsid w:val="00317FF0"/>
    <w:rsid w:val="003200AF"/>
    <w:rsid w:val="00320237"/>
    <w:rsid w:val="00320260"/>
    <w:rsid w:val="0032029F"/>
    <w:rsid w:val="003203DE"/>
    <w:rsid w:val="0032042C"/>
    <w:rsid w:val="00320463"/>
    <w:rsid w:val="003204BF"/>
    <w:rsid w:val="00320580"/>
    <w:rsid w:val="003205A8"/>
    <w:rsid w:val="003209D2"/>
    <w:rsid w:val="00320C5E"/>
    <w:rsid w:val="00320E8C"/>
    <w:rsid w:val="00320F14"/>
    <w:rsid w:val="003210A9"/>
    <w:rsid w:val="0032134F"/>
    <w:rsid w:val="0032165E"/>
    <w:rsid w:val="00321779"/>
    <w:rsid w:val="0032198E"/>
    <w:rsid w:val="003219BF"/>
    <w:rsid w:val="00321BA6"/>
    <w:rsid w:val="00321CC9"/>
    <w:rsid w:val="00321D83"/>
    <w:rsid w:val="00321EDE"/>
    <w:rsid w:val="00321FDF"/>
    <w:rsid w:val="003221CA"/>
    <w:rsid w:val="003222AF"/>
    <w:rsid w:val="00322432"/>
    <w:rsid w:val="00322839"/>
    <w:rsid w:val="00322897"/>
    <w:rsid w:val="00322AC0"/>
    <w:rsid w:val="00322C02"/>
    <w:rsid w:val="00322CD6"/>
    <w:rsid w:val="00322D2C"/>
    <w:rsid w:val="00322E74"/>
    <w:rsid w:val="00322ED1"/>
    <w:rsid w:val="0032314B"/>
    <w:rsid w:val="00323307"/>
    <w:rsid w:val="0032382B"/>
    <w:rsid w:val="00323AF4"/>
    <w:rsid w:val="00323BBA"/>
    <w:rsid w:val="00323BDB"/>
    <w:rsid w:val="00323BDC"/>
    <w:rsid w:val="00324233"/>
    <w:rsid w:val="0032426E"/>
    <w:rsid w:val="0032432C"/>
    <w:rsid w:val="00324480"/>
    <w:rsid w:val="003245A3"/>
    <w:rsid w:val="00324838"/>
    <w:rsid w:val="00324906"/>
    <w:rsid w:val="00324939"/>
    <w:rsid w:val="00324A8B"/>
    <w:rsid w:val="00324BEE"/>
    <w:rsid w:val="00324D70"/>
    <w:rsid w:val="00324FB0"/>
    <w:rsid w:val="0032517D"/>
    <w:rsid w:val="003251DA"/>
    <w:rsid w:val="00325215"/>
    <w:rsid w:val="0032549C"/>
    <w:rsid w:val="00325686"/>
    <w:rsid w:val="00325C66"/>
    <w:rsid w:val="00325C82"/>
    <w:rsid w:val="003262B9"/>
    <w:rsid w:val="003262EB"/>
    <w:rsid w:val="00326355"/>
    <w:rsid w:val="003264DC"/>
    <w:rsid w:val="003268A3"/>
    <w:rsid w:val="00326AF5"/>
    <w:rsid w:val="00326FB8"/>
    <w:rsid w:val="0032708B"/>
    <w:rsid w:val="00327125"/>
    <w:rsid w:val="0032719F"/>
    <w:rsid w:val="003271E1"/>
    <w:rsid w:val="003271FD"/>
    <w:rsid w:val="003272C1"/>
    <w:rsid w:val="003272E9"/>
    <w:rsid w:val="003273DE"/>
    <w:rsid w:val="003274B1"/>
    <w:rsid w:val="003276ED"/>
    <w:rsid w:val="003279A3"/>
    <w:rsid w:val="00327A23"/>
    <w:rsid w:val="00327B3C"/>
    <w:rsid w:val="00327C7F"/>
    <w:rsid w:val="0033003C"/>
    <w:rsid w:val="00330297"/>
    <w:rsid w:val="00330386"/>
    <w:rsid w:val="00330590"/>
    <w:rsid w:val="00330A56"/>
    <w:rsid w:val="00330D38"/>
    <w:rsid w:val="00330DE7"/>
    <w:rsid w:val="00330E41"/>
    <w:rsid w:val="00330E49"/>
    <w:rsid w:val="00331026"/>
    <w:rsid w:val="0033117D"/>
    <w:rsid w:val="0033121B"/>
    <w:rsid w:val="00331272"/>
    <w:rsid w:val="00331315"/>
    <w:rsid w:val="0033138E"/>
    <w:rsid w:val="00331497"/>
    <w:rsid w:val="0033149C"/>
    <w:rsid w:val="003314AD"/>
    <w:rsid w:val="003314F5"/>
    <w:rsid w:val="00331510"/>
    <w:rsid w:val="0033156F"/>
    <w:rsid w:val="00331687"/>
    <w:rsid w:val="003318D8"/>
    <w:rsid w:val="003319E2"/>
    <w:rsid w:val="00331A8E"/>
    <w:rsid w:val="00331BB5"/>
    <w:rsid w:val="00332141"/>
    <w:rsid w:val="0033215D"/>
    <w:rsid w:val="003321A8"/>
    <w:rsid w:val="00332379"/>
    <w:rsid w:val="00332429"/>
    <w:rsid w:val="0033243B"/>
    <w:rsid w:val="0033244F"/>
    <w:rsid w:val="003325B1"/>
    <w:rsid w:val="003325F5"/>
    <w:rsid w:val="00332691"/>
    <w:rsid w:val="003326EB"/>
    <w:rsid w:val="00332783"/>
    <w:rsid w:val="00332818"/>
    <w:rsid w:val="0033286A"/>
    <w:rsid w:val="003328C6"/>
    <w:rsid w:val="0033299E"/>
    <w:rsid w:val="00332A91"/>
    <w:rsid w:val="00332C93"/>
    <w:rsid w:val="00332CB3"/>
    <w:rsid w:val="00332CDD"/>
    <w:rsid w:val="00332D2A"/>
    <w:rsid w:val="00332E15"/>
    <w:rsid w:val="00332FAA"/>
    <w:rsid w:val="00333074"/>
    <w:rsid w:val="0033353E"/>
    <w:rsid w:val="003337D0"/>
    <w:rsid w:val="00333906"/>
    <w:rsid w:val="00333A4D"/>
    <w:rsid w:val="00333C6F"/>
    <w:rsid w:val="00333DD0"/>
    <w:rsid w:val="00333FE6"/>
    <w:rsid w:val="00334081"/>
    <w:rsid w:val="00334125"/>
    <w:rsid w:val="00334392"/>
    <w:rsid w:val="0033451A"/>
    <w:rsid w:val="003346A5"/>
    <w:rsid w:val="0033476E"/>
    <w:rsid w:val="00334A55"/>
    <w:rsid w:val="00334B0F"/>
    <w:rsid w:val="00334C3A"/>
    <w:rsid w:val="00334E10"/>
    <w:rsid w:val="00334F2E"/>
    <w:rsid w:val="00335079"/>
    <w:rsid w:val="0033510E"/>
    <w:rsid w:val="00335180"/>
    <w:rsid w:val="003351F0"/>
    <w:rsid w:val="00335516"/>
    <w:rsid w:val="003358B4"/>
    <w:rsid w:val="003358D6"/>
    <w:rsid w:val="00335A2D"/>
    <w:rsid w:val="00335D68"/>
    <w:rsid w:val="00335F80"/>
    <w:rsid w:val="00335F9A"/>
    <w:rsid w:val="00335FF4"/>
    <w:rsid w:val="0033601F"/>
    <w:rsid w:val="003365DB"/>
    <w:rsid w:val="00336899"/>
    <w:rsid w:val="00336905"/>
    <w:rsid w:val="00336B29"/>
    <w:rsid w:val="00336D8A"/>
    <w:rsid w:val="00336DBC"/>
    <w:rsid w:val="003370ED"/>
    <w:rsid w:val="003371A4"/>
    <w:rsid w:val="003373A5"/>
    <w:rsid w:val="0033764F"/>
    <w:rsid w:val="0033778B"/>
    <w:rsid w:val="00337A0B"/>
    <w:rsid w:val="00337C2D"/>
    <w:rsid w:val="00337F23"/>
    <w:rsid w:val="00337F73"/>
    <w:rsid w:val="003401EE"/>
    <w:rsid w:val="00340228"/>
    <w:rsid w:val="003402C1"/>
    <w:rsid w:val="003403FC"/>
    <w:rsid w:val="00340429"/>
    <w:rsid w:val="00340496"/>
    <w:rsid w:val="00340734"/>
    <w:rsid w:val="00340912"/>
    <w:rsid w:val="00340B5F"/>
    <w:rsid w:val="00340C67"/>
    <w:rsid w:val="00340D54"/>
    <w:rsid w:val="00340EEF"/>
    <w:rsid w:val="00340FA8"/>
    <w:rsid w:val="0034114B"/>
    <w:rsid w:val="003413D6"/>
    <w:rsid w:val="003414BA"/>
    <w:rsid w:val="00341615"/>
    <w:rsid w:val="00341618"/>
    <w:rsid w:val="00341635"/>
    <w:rsid w:val="003416B2"/>
    <w:rsid w:val="003416C6"/>
    <w:rsid w:val="0034178E"/>
    <w:rsid w:val="003418B2"/>
    <w:rsid w:val="003419A5"/>
    <w:rsid w:val="00341A14"/>
    <w:rsid w:val="00341A71"/>
    <w:rsid w:val="00341D1C"/>
    <w:rsid w:val="00341DC8"/>
    <w:rsid w:val="00341E7F"/>
    <w:rsid w:val="00341ECD"/>
    <w:rsid w:val="003420D4"/>
    <w:rsid w:val="003421C2"/>
    <w:rsid w:val="0034220A"/>
    <w:rsid w:val="00342302"/>
    <w:rsid w:val="00342307"/>
    <w:rsid w:val="00342816"/>
    <w:rsid w:val="00342AAE"/>
    <w:rsid w:val="00342CF0"/>
    <w:rsid w:val="00342E25"/>
    <w:rsid w:val="00342EBF"/>
    <w:rsid w:val="00342FA2"/>
    <w:rsid w:val="00342FD8"/>
    <w:rsid w:val="00343059"/>
    <w:rsid w:val="003430AE"/>
    <w:rsid w:val="003433EA"/>
    <w:rsid w:val="003435DE"/>
    <w:rsid w:val="00343689"/>
    <w:rsid w:val="003437AA"/>
    <w:rsid w:val="00343C22"/>
    <w:rsid w:val="00343D7A"/>
    <w:rsid w:val="00343E3B"/>
    <w:rsid w:val="00344197"/>
    <w:rsid w:val="00344453"/>
    <w:rsid w:val="003444F2"/>
    <w:rsid w:val="0034455E"/>
    <w:rsid w:val="00344614"/>
    <w:rsid w:val="003446C3"/>
    <w:rsid w:val="003447AA"/>
    <w:rsid w:val="003449A1"/>
    <w:rsid w:val="00344A8D"/>
    <w:rsid w:val="00344AC5"/>
    <w:rsid w:val="00344C4D"/>
    <w:rsid w:val="00344C60"/>
    <w:rsid w:val="00344CB4"/>
    <w:rsid w:val="00344E52"/>
    <w:rsid w:val="00344FDA"/>
    <w:rsid w:val="00345008"/>
    <w:rsid w:val="00345107"/>
    <w:rsid w:val="00345131"/>
    <w:rsid w:val="003451F0"/>
    <w:rsid w:val="0034527A"/>
    <w:rsid w:val="003452B0"/>
    <w:rsid w:val="00345421"/>
    <w:rsid w:val="003455CA"/>
    <w:rsid w:val="003457AF"/>
    <w:rsid w:val="003459E0"/>
    <w:rsid w:val="00345A02"/>
    <w:rsid w:val="00345B11"/>
    <w:rsid w:val="00345EA1"/>
    <w:rsid w:val="00345F69"/>
    <w:rsid w:val="003460DA"/>
    <w:rsid w:val="003461DF"/>
    <w:rsid w:val="0034632C"/>
    <w:rsid w:val="0034655E"/>
    <w:rsid w:val="00346755"/>
    <w:rsid w:val="00346B14"/>
    <w:rsid w:val="00346B7E"/>
    <w:rsid w:val="00346EA8"/>
    <w:rsid w:val="00346EBD"/>
    <w:rsid w:val="00346F5B"/>
    <w:rsid w:val="00346FF2"/>
    <w:rsid w:val="003470F2"/>
    <w:rsid w:val="00347226"/>
    <w:rsid w:val="00347309"/>
    <w:rsid w:val="00347370"/>
    <w:rsid w:val="00347487"/>
    <w:rsid w:val="003474D0"/>
    <w:rsid w:val="00347801"/>
    <w:rsid w:val="00347982"/>
    <w:rsid w:val="00347A51"/>
    <w:rsid w:val="00347C96"/>
    <w:rsid w:val="00347CE8"/>
    <w:rsid w:val="00347D19"/>
    <w:rsid w:val="00347DC3"/>
    <w:rsid w:val="00347F57"/>
    <w:rsid w:val="00347FE9"/>
    <w:rsid w:val="0035013F"/>
    <w:rsid w:val="0035017A"/>
    <w:rsid w:val="00350297"/>
    <w:rsid w:val="00350684"/>
    <w:rsid w:val="0035073C"/>
    <w:rsid w:val="003507A6"/>
    <w:rsid w:val="00350841"/>
    <w:rsid w:val="00350985"/>
    <w:rsid w:val="00350DBF"/>
    <w:rsid w:val="00350E15"/>
    <w:rsid w:val="00350EA5"/>
    <w:rsid w:val="00350F82"/>
    <w:rsid w:val="00350FF1"/>
    <w:rsid w:val="00351383"/>
    <w:rsid w:val="00351688"/>
    <w:rsid w:val="00351690"/>
    <w:rsid w:val="00351923"/>
    <w:rsid w:val="0035193A"/>
    <w:rsid w:val="0035195C"/>
    <w:rsid w:val="003519E9"/>
    <w:rsid w:val="003519FE"/>
    <w:rsid w:val="00351BE3"/>
    <w:rsid w:val="00351D56"/>
    <w:rsid w:val="00351D7D"/>
    <w:rsid w:val="00351ECA"/>
    <w:rsid w:val="00351EE2"/>
    <w:rsid w:val="00351FC1"/>
    <w:rsid w:val="00351FC8"/>
    <w:rsid w:val="00351FF5"/>
    <w:rsid w:val="00352256"/>
    <w:rsid w:val="003525C3"/>
    <w:rsid w:val="003526C1"/>
    <w:rsid w:val="00352736"/>
    <w:rsid w:val="00352886"/>
    <w:rsid w:val="003528F1"/>
    <w:rsid w:val="00352960"/>
    <w:rsid w:val="00352A52"/>
    <w:rsid w:val="00352AEA"/>
    <w:rsid w:val="00352B40"/>
    <w:rsid w:val="00352CB0"/>
    <w:rsid w:val="00352D5D"/>
    <w:rsid w:val="00352F52"/>
    <w:rsid w:val="0035302B"/>
    <w:rsid w:val="003530D2"/>
    <w:rsid w:val="003534E1"/>
    <w:rsid w:val="0035350B"/>
    <w:rsid w:val="003535B0"/>
    <w:rsid w:val="003535DA"/>
    <w:rsid w:val="00353B9A"/>
    <w:rsid w:val="00353D6F"/>
    <w:rsid w:val="00353DCF"/>
    <w:rsid w:val="00353DFE"/>
    <w:rsid w:val="003540FF"/>
    <w:rsid w:val="00354150"/>
    <w:rsid w:val="0035423B"/>
    <w:rsid w:val="0035455D"/>
    <w:rsid w:val="003545BC"/>
    <w:rsid w:val="00354755"/>
    <w:rsid w:val="00354763"/>
    <w:rsid w:val="003548AE"/>
    <w:rsid w:val="003548D7"/>
    <w:rsid w:val="003548D9"/>
    <w:rsid w:val="00354987"/>
    <w:rsid w:val="00354A3D"/>
    <w:rsid w:val="00354AB1"/>
    <w:rsid w:val="00354B36"/>
    <w:rsid w:val="00354C75"/>
    <w:rsid w:val="00354D38"/>
    <w:rsid w:val="00354E80"/>
    <w:rsid w:val="00354ED5"/>
    <w:rsid w:val="00354FE6"/>
    <w:rsid w:val="00355083"/>
    <w:rsid w:val="00355084"/>
    <w:rsid w:val="00355183"/>
    <w:rsid w:val="003554D4"/>
    <w:rsid w:val="003556F1"/>
    <w:rsid w:val="00355CFB"/>
    <w:rsid w:val="00355EC3"/>
    <w:rsid w:val="003561E8"/>
    <w:rsid w:val="00356683"/>
    <w:rsid w:val="00356B75"/>
    <w:rsid w:val="00356CD2"/>
    <w:rsid w:val="00357142"/>
    <w:rsid w:val="003576C0"/>
    <w:rsid w:val="00357823"/>
    <w:rsid w:val="003579C4"/>
    <w:rsid w:val="003579E0"/>
    <w:rsid w:val="00357A68"/>
    <w:rsid w:val="00357B29"/>
    <w:rsid w:val="00357BF3"/>
    <w:rsid w:val="00357D03"/>
    <w:rsid w:val="00357DA5"/>
    <w:rsid w:val="00357E98"/>
    <w:rsid w:val="00357EA8"/>
    <w:rsid w:val="00357EAF"/>
    <w:rsid w:val="00357EBF"/>
    <w:rsid w:val="00357F0E"/>
    <w:rsid w:val="00357F88"/>
    <w:rsid w:val="00357FB5"/>
    <w:rsid w:val="00357FF2"/>
    <w:rsid w:val="0036053C"/>
    <w:rsid w:val="003605EF"/>
    <w:rsid w:val="00360866"/>
    <w:rsid w:val="00360A5D"/>
    <w:rsid w:val="00360BF2"/>
    <w:rsid w:val="00360C25"/>
    <w:rsid w:val="003613E7"/>
    <w:rsid w:val="0036140B"/>
    <w:rsid w:val="00361435"/>
    <w:rsid w:val="00361853"/>
    <w:rsid w:val="00361A38"/>
    <w:rsid w:val="00361A4F"/>
    <w:rsid w:val="00361BBB"/>
    <w:rsid w:val="00361BD7"/>
    <w:rsid w:val="00361BE8"/>
    <w:rsid w:val="00361C6A"/>
    <w:rsid w:val="00361F37"/>
    <w:rsid w:val="00361F3D"/>
    <w:rsid w:val="00361F93"/>
    <w:rsid w:val="003621FC"/>
    <w:rsid w:val="0036222F"/>
    <w:rsid w:val="003622DD"/>
    <w:rsid w:val="003623AA"/>
    <w:rsid w:val="00362500"/>
    <w:rsid w:val="003625C7"/>
    <w:rsid w:val="003628E6"/>
    <w:rsid w:val="00362A36"/>
    <w:rsid w:val="00362AFA"/>
    <w:rsid w:val="00362B58"/>
    <w:rsid w:val="00362D8C"/>
    <w:rsid w:val="00362DAA"/>
    <w:rsid w:val="00362EE0"/>
    <w:rsid w:val="00363111"/>
    <w:rsid w:val="0036332B"/>
    <w:rsid w:val="0036339D"/>
    <w:rsid w:val="0036347A"/>
    <w:rsid w:val="0036348B"/>
    <w:rsid w:val="0036349A"/>
    <w:rsid w:val="0036357D"/>
    <w:rsid w:val="00363837"/>
    <w:rsid w:val="003638C9"/>
    <w:rsid w:val="00363984"/>
    <w:rsid w:val="003639B2"/>
    <w:rsid w:val="003639DF"/>
    <w:rsid w:val="00363D3A"/>
    <w:rsid w:val="00363D40"/>
    <w:rsid w:val="0036400D"/>
    <w:rsid w:val="003641D1"/>
    <w:rsid w:val="0036424B"/>
    <w:rsid w:val="0036445A"/>
    <w:rsid w:val="00364471"/>
    <w:rsid w:val="0036448D"/>
    <w:rsid w:val="0036468D"/>
    <w:rsid w:val="00364695"/>
    <w:rsid w:val="00364B15"/>
    <w:rsid w:val="00364BB8"/>
    <w:rsid w:val="00364D0B"/>
    <w:rsid w:val="00364D6E"/>
    <w:rsid w:val="00364F20"/>
    <w:rsid w:val="00364F82"/>
    <w:rsid w:val="00364FF1"/>
    <w:rsid w:val="00365025"/>
    <w:rsid w:val="0036506E"/>
    <w:rsid w:val="003650AD"/>
    <w:rsid w:val="00365825"/>
    <w:rsid w:val="003658F5"/>
    <w:rsid w:val="00365904"/>
    <w:rsid w:val="00365A2F"/>
    <w:rsid w:val="00365C01"/>
    <w:rsid w:val="00365C3E"/>
    <w:rsid w:val="00365FA8"/>
    <w:rsid w:val="00365FB2"/>
    <w:rsid w:val="00366094"/>
    <w:rsid w:val="0036618E"/>
    <w:rsid w:val="00366341"/>
    <w:rsid w:val="003663F8"/>
    <w:rsid w:val="0036641F"/>
    <w:rsid w:val="0036644E"/>
    <w:rsid w:val="003665CF"/>
    <w:rsid w:val="00366E1D"/>
    <w:rsid w:val="00367094"/>
    <w:rsid w:val="003673E3"/>
    <w:rsid w:val="003676A2"/>
    <w:rsid w:val="003676F6"/>
    <w:rsid w:val="00367896"/>
    <w:rsid w:val="00367B3F"/>
    <w:rsid w:val="00367B4C"/>
    <w:rsid w:val="00367C09"/>
    <w:rsid w:val="00367C2E"/>
    <w:rsid w:val="00367C8F"/>
    <w:rsid w:val="00367C92"/>
    <w:rsid w:val="00367E6D"/>
    <w:rsid w:val="00367F89"/>
    <w:rsid w:val="0037009B"/>
    <w:rsid w:val="00370174"/>
    <w:rsid w:val="003701D9"/>
    <w:rsid w:val="00370397"/>
    <w:rsid w:val="00370662"/>
    <w:rsid w:val="003706CF"/>
    <w:rsid w:val="00370941"/>
    <w:rsid w:val="00370A46"/>
    <w:rsid w:val="00370A66"/>
    <w:rsid w:val="00370BAF"/>
    <w:rsid w:val="00370C6A"/>
    <w:rsid w:val="00370C79"/>
    <w:rsid w:val="00370D50"/>
    <w:rsid w:val="00370EF0"/>
    <w:rsid w:val="00370FFA"/>
    <w:rsid w:val="0037135E"/>
    <w:rsid w:val="003713F7"/>
    <w:rsid w:val="003715B3"/>
    <w:rsid w:val="0037170D"/>
    <w:rsid w:val="00371878"/>
    <w:rsid w:val="00371945"/>
    <w:rsid w:val="003719C0"/>
    <w:rsid w:val="00371A52"/>
    <w:rsid w:val="00371AF7"/>
    <w:rsid w:val="00372168"/>
    <w:rsid w:val="003722A4"/>
    <w:rsid w:val="00372449"/>
    <w:rsid w:val="00372593"/>
    <w:rsid w:val="003725CB"/>
    <w:rsid w:val="00372823"/>
    <w:rsid w:val="0037284C"/>
    <w:rsid w:val="00372978"/>
    <w:rsid w:val="003729F3"/>
    <w:rsid w:val="00372D2D"/>
    <w:rsid w:val="0037316B"/>
    <w:rsid w:val="003731C6"/>
    <w:rsid w:val="0037321D"/>
    <w:rsid w:val="0037352C"/>
    <w:rsid w:val="00373561"/>
    <w:rsid w:val="0037388A"/>
    <w:rsid w:val="00373907"/>
    <w:rsid w:val="00373A77"/>
    <w:rsid w:val="00373CCC"/>
    <w:rsid w:val="003744B6"/>
    <w:rsid w:val="003744ED"/>
    <w:rsid w:val="00374570"/>
    <w:rsid w:val="00374655"/>
    <w:rsid w:val="003746CF"/>
    <w:rsid w:val="0037473E"/>
    <w:rsid w:val="00374790"/>
    <w:rsid w:val="003748D1"/>
    <w:rsid w:val="00374CE0"/>
    <w:rsid w:val="00374ED9"/>
    <w:rsid w:val="003751C7"/>
    <w:rsid w:val="0037527F"/>
    <w:rsid w:val="00375355"/>
    <w:rsid w:val="003754F6"/>
    <w:rsid w:val="00375781"/>
    <w:rsid w:val="00375922"/>
    <w:rsid w:val="00375A8F"/>
    <w:rsid w:val="00375BFE"/>
    <w:rsid w:val="00375E2B"/>
    <w:rsid w:val="00375E6A"/>
    <w:rsid w:val="003760BA"/>
    <w:rsid w:val="003762D0"/>
    <w:rsid w:val="00376325"/>
    <w:rsid w:val="00376754"/>
    <w:rsid w:val="003768B6"/>
    <w:rsid w:val="003768E8"/>
    <w:rsid w:val="00376941"/>
    <w:rsid w:val="003769CC"/>
    <w:rsid w:val="00376D7E"/>
    <w:rsid w:val="00377048"/>
    <w:rsid w:val="00377165"/>
    <w:rsid w:val="003772BA"/>
    <w:rsid w:val="003773B8"/>
    <w:rsid w:val="003774B0"/>
    <w:rsid w:val="003775F3"/>
    <w:rsid w:val="00377916"/>
    <w:rsid w:val="003779FE"/>
    <w:rsid w:val="00380211"/>
    <w:rsid w:val="00380284"/>
    <w:rsid w:val="00380417"/>
    <w:rsid w:val="003804B7"/>
    <w:rsid w:val="003804E8"/>
    <w:rsid w:val="003808B5"/>
    <w:rsid w:val="00380A44"/>
    <w:rsid w:val="00380C67"/>
    <w:rsid w:val="00380C68"/>
    <w:rsid w:val="00380C8D"/>
    <w:rsid w:val="00380D17"/>
    <w:rsid w:val="00380F44"/>
    <w:rsid w:val="00380F74"/>
    <w:rsid w:val="00381094"/>
    <w:rsid w:val="0038109D"/>
    <w:rsid w:val="003810DB"/>
    <w:rsid w:val="003813D0"/>
    <w:rsid w:val="0038157D"/>
    <w:rsid w:val="003818BE"/>
    <w:rsid w:val="00381912"/>
    <w:rsid w:val="00381A25"/>
    <w:rsid w:val="00381A8A"/>
    <w:rsid w:val="00381DBE"/>
    <w:rsid w:val="00381F0E"/>
    <w:rsid w:val="003821AA"/>
    <w:rsid w:val="00382700"/>
    <w:rsid w:val="003827FB"/>
    <w:rsid w:val="00382806"/>
    <w:rsid w:val="0038313C"/>
    <w:rsid w:val="0038326F"/>
    <w:rsid w:val="003832A1"/>
    <w:rsid w:val="003834D3"/>
    <w:rsid w:val="0038358E"/>
    <w:rsid w:val="0038393C"/>
    <w:rsid w:val="00383C50"/>
    <w:rsid w:val="00383C70"/>
    <w:rsid w:val="00383D13"/>
    <w:rsid w:val="00383F7C"/>
    <w:rsid w:val="003840A9"/>
    <w:rsid w:val="003841A1"/>
    <w:rsid w:val="0038434C"/>
    <w:rsid w:val="00384598"/>
    <w:rsid w:val="0038464A"/>
    <w:rsid w:val="00384EE6"/>
    <w:rsid w:val="003855A8"/>
    <w:rsid w:val="00385BD4"/>
    <w:rsid w:val="00385F2B"/>
    <w:rsid w:val="003860E2"/>
    <w:rsid w:val="003862F8"/>
    <w:rsid w:val="00386615"/>
    <w:rsid w:val="0038670B"/>
    <w:rsid w:val="00386ACB"/>
    <w:rsid w:val="003870F4"/>
    <w:rsid w:val="00387356"/>
    <w:rsid w:val="0038741D"/>
    <w:rsid w:val="003878EE"/>
    <w:rsid w:val="0038795B"/>
    <w:rsid w:val="00387C6F"/>
    <w:rsid w:val="00387D9A"/>
    <w:rsid w:val="00390079"/>
    <w:rsid w:val="00390085"/>
    <w:rsid w:val="0039030B"/>
    <w:rsid w:val="00390383"/>
    <w:rsid w:val="0039054B"/>
    <w:rsid w:val="0039055B"/>
    <w:rsid w:val="003905AC"/>
    <w:rsid w:val="003905C3"/>
    <w:rsid w:val="0039060D"/>
    <w:rsid w:val="003907C0"/>
    <w:rsid w:val="00390932"/>
    <w:rsid w:val="00390A71"/>
    <w:rsid w:val="00390B40"/>
    <w:rsid w:val="00391003"/>
    <w:rsid w:val="003918D6"/>
    <w:rsid w:val="00391919"/>
    <w:rsid w:val="0039191D"/>
    <w:rsid w:val="00391955"/>
    <w:rsid w:val="00391D1D"/>
    <w:rsid w:val="00391D79"/>
    <w:rsid w:val="00392010"/>
    <w:rsid w:val="0039216D"/>
    <w:rsid w:val="00392183"/>
    <w:rsid w:val="003922E3"/>
    <w:rsid w:val="0039252B"/>
    <w:rsid w:val="00392588"/>
    <w:rsid w:val="003926A6"/>
    <w:rsid w:val="003928E1"/>
    <w:rsid w:val="00392C12"/>
    <w:rsid w:val="00392E12"/>
    <w:rsid w:val="00392F2D"/>
    <w:rsid w:val="00392F6B"/>
    <w:rsid w:val="0039300A"/>
    <w:rsid w:val="003932FD"/>
    <w:rsid w:val="00393520"/>
    <w:rsid w:val="00393757"/>
    <w:rsid w:val="003937D8"/>
    <w:rsid w:val="00393F3F"/>
    <w:rsid w:val="00393F68"/>
    <w:rsid w:val="0039410E"/>
    <w:rsid w:val="00394217"/>
    <w:rsid w:val="003943A9"/>
    <w:rsid w:val="003943C2"/>
    <w:rsid w:val="003945EE"/>
    <w:rsid w:val="003946C5"/>
    <w:rsid w:val="00394812"/>
    <w:rsid w:val="00394A05"/>
    <w:rsid w:val="00394A48"/>
    <w:rsid w:val="00394BAA"/>
    <w:rsid w:val="00394D93"/>
    <w:rsid w:val="00394F04"/>
    <w:rsid w:val="00395233"/>
    <w:rsid w:val="00395361"/>
    <w:rsid w:val="003954BC"/>
    <w:rsid w:val="00395598"/>
    <w:rsid w:val="0039577F"/>
    <w:rsid w:val="003958C6"/>
    <w:rsid w:val="00395B19"/>
    <w:rsid w:val="00395DBE"/>
    <w:rsid w:val="00395F53"/>
    <w:rsid w:val="00395FAB"/>
    <w:rsid w:val="00395FC3"/>
    <w:rsid w:val="003961A9"/>
    <w:rsid w:val="00396209"/>
    <w:rsid w:val="0039644C"/>
    <w:rsid w:val="00396466"/>
    <w:rsid w:val="00396679"/>
    <w:rsid w:val="003966EE"/>
    <w:rsid w:val="0039680E"/>
    <w:rsid w:val="0039685C"/>
    <w:rsid w:val="00396A51"/>
    <w:rsid w:val="00396ADF"/>
    <w:rsid w:val="00396D69"/>
    <w:rsid w:val="00396DC2"/>
    <w:rsid w:val="00396EB0"/>
    <w:rsid w:val="00396F14"/>
    <w:rsid w:val="00396F5C"/>
    <w:rsid w:val="0039711F"/>
    <w:rsid w:val="003973FF"/>
    <w:rsid w:val="0039752F"/>
    <w:rsid w:val="00397B43"/>
    <w:rsid w:val="00397B8E"/>
    <w:rsid w:val="00397BF5"/>
    <w:rsid w:val="00397CC8"/>
    <w:rsid w:val="00397CD3"/>
    <w:rsid w:val="00397DE1"/>
    <w:rsid w:val="00397EF3"/>
    <w:rsid w:val="003A0010"/>
    <w:rsid w:val="003A01F9"/>
    <w:rsid w:val="003A0206"/>
    <w:rsid w:val="003A0325"/>
    <w:rsid w:val="003A0426"/>
    <w:rsid w:val="003A04EB"/>
    <w:rsid w:val="003A04F1"/>
    <w:rsid w:val="003A0581"/>
    <w:rsid w:val="003A05D3"/>
    <w:rsid w:val="003A0850"/>
    <w:rsid w:val="003A0A0D"/>
    <w:rsid w:val="003A0A5C"/>
    <w:rsid w:val="003A1384"/>
    <w:rsid w:val="003A142C"/>
    <w:rsid w:val="003A15C1"/>
    <w:rsid w:val="003A15C4"/>
    <w:rsid w:val="003A1615"/>
    <w:rsid w:val="003A1640"/>
    <w:rsid w:val="003A1660"/>
    <w:rsid w:val="003A188B"/>
    <w:rsid w:val="003A18F5"/>
    <w:rsid w:val="003A19EB"/>
    <w:rsid w:val="003A19FD"/>
    <w:rsid w:val="003A1DB6"/>
    <w:rsid w:val="003A1E57"/>
    <w:rsid w:val="003A24C3"/>
    <w:rsid w:val="003A25F1"/>
    <w:rsid w:val="003A26C6"/>
    <w:rsid w:val="003A2EB9"/>
    <w:rsid w:val="003A31FA"/>
    <w:rsid w:val="003A324E"/>
    <w:rsid w:val="003A32B8"/>
    <w:rsid w:val="003A3375"/>
    <w:rsid w:val="003A3521"/>
    <w:rsid w:val="003A364E"/>
    <w:rsid w:val="003A364F"/>
    <w:rsid w:val="003A368B"/>
    <w:rsid w:val="003A3819"/>
    <w:rsid w:val="003A41D8"/>
    <w:rsid w:val="003A4439"/>
    <w:rsid w:val="003A4448"/>
    <w:rsid w:val="003A44C9"/>
    <w:rsid w:val="003A4816"/>
    <w:rsid w:val="003A48FA"/>
    <w:rsid w:val="003A4B20"/>
    <w:rsid w:val="003A515F"/>
    <w:rsid w:val="003A5194"/>
    <w:rsid w:val="003A51E3"/>
    <w:rsid w:val="003A52CA"/>
    <w:rsid w:val="003A534C"/>
    <w:rsid w:val="003A53BE"/>
    <w:rsid w:val="003A5667"/>
    <w:rsid w:val="003A570C"/>
    <w:rsid w:val="003A5820"/>
    <w:rsid w:val="003A5B52"/>
    <w:rsid w:val="003A5CB3"/>
    <w:rsid w:val="003A5EE7"/>
    <w:rsid w:val="003A5F30"/>
    <w:rsid w:val="003A62AD"/>
    <w:rsid w:val="003A632E"/>
    <w:rsid w:val="003A6344"/>
    <w:rsid w:val="003A6366"/>
    <w:rsid w:val="003A6478"/>
    <w:rsid w:val="003A6644"/>
    <w:rsid w:val="003A6BC2"/>
    <w:rsid w:val="003A6D7C"/>
    <w:rsid w:val="003A6DB7"/>
    <w:rsid w:val="003A70FB"/>
    <w:rsid w:val="003A71A8"/>
    <w:rsid w:val="003A720A"/>
    <w:rsid w:val="003A7241"/>
    <w:rsid w:val="003A7633"/>
    <w:rsid w:val="003A7703"/>
    <w:rsid w:val="003A775D"/>
    <w:rsid w:val="003A7AB4"/>
    <w:rsid w:val="003A7E2E"/>
    <w:rsid w:val="003A7F25"/>
    <w:rsid w:val="003A7F8D"/>
    <w:rsid w:val="003B0164"/>
    <w:rsid w:val="003B02F2"/>
    <w:rsid w:val="003B0343"/>
    <w:rsid w:val="003B0467"/>
    <w:rsid w:val="003B04BC"/>
    <w:rsid w:val="003B053D"/>
    <w:rsid w:val="003B066F"/>
    <w:rsid w:val="003B0702"/>
    <w:rsid w:val="003B07ED"/>
    <w:rsid w:val="003B0AD8"/>
    <w:rsid w:val="003B0C37"/>
    <w:rsid w:val="003B0CAF"/>
    <w:rsid w:val="003B0E54"/>
    <w:rsid w:val="003B0E65"/>
    <w:rsid w:val="003B0F26"/>
    <w:rsid w:val="003B0F91"/>
    <w:rsid w:val="003B0F92"/>
    <w:rsid w:val="003B187D"/>
    <w:rsid w:val="003B1AD2"/>
    <w:rsid w:val="003B1B94"/>
    <w:rsid w:val="003B1BA9"/>
    <w:rsid w:val="003B23E6"/>
    <w:rsid w:val="003B2620"/>
    <w:rsid w:val="003B2A53"/>
    <w:rsid w:val="003B2F3D"/>
    <w:rsid w:val="003B3240"/>
    <w:rsid w:val="003B3590"/>
    <w:rsid w:val="003B3839"/>
    <w:rsid w:val="003B3A34"/>
    <w:rsid w:val="003B3C05"/>
    <w:rsid w:val="003B3F52"/>
    <w:rsid w:val="003B4004"/>
    <w:rsid w:val="003B405B"/>
    <w:rsid w:val="003B405D"/>
    <w:rsid w:val="003B410A"/>
    <w:rsid w:val="003B4224"/>
    <w:rsid w:val="003B4257"/>
    <w:rsid w:val="003B42FF"/>
    <w:rsid w:val="003B43EE"/>
    <w:rsid w:val="003B4458"/>
    <w:rsid w:val="003B4487"/>
    <w:rsid w:val="003B4604"/>
    <w:rsid w:val="003B4780"/>
    <w:rsid w:val="003B47F7"/>
    <w:rsid w:val="003B48C0"/>
    <w:rsid w:val="003B4A4F"/>
    <w:rsid w:val="003B4AB9"/>
    <w:rsid w:val="003B500D"/>
    <w:rsid w:val="003B51F9"/>
    <w:rsid w:val="003B51FA"/>
    <w:rsid w:val="003B5228"/>
    <w:rsid w:val="003B5371"/>
    <w:rsid w:val="003B53A2"/>
    <w:rsid w:val="003B5407"/>
    <w:rsid w:val="003B551C"/>
    <w:rsid w:val="003B5740"/>
    <w:rsid w:val="003B583B"/>
    <w:rsid w:val="003B5883"/>
    <w:rsid w:val="003B59CF"/>
    <w:rsid w:val="003B5AC2"/>
    <w:rsid w:val="003B5F38"/>
    <w:rsid w:val="003B5FB4"/>
    <w:rsid w:val="003B6125"/>
    <w:rsid w:val="003B6177"/>
    <w:rsid w:val="003B629A"/>
    <w:rsid w:val="003B62C1"/>
    <w:rsid w:val="003B667E"/>
    <w:rsid w:val="003B671A"/>
    <w:rsid w:val="003B6774"/>
    <w:rsid w:val="003B6B07"/>
    <w:rsid w:val="003B6E2D"/>
    <w:rsid w:val="003B6EA1"/>
    <w:rsid w:val="003B6EB9"/>
    <w:rsid w:val="003B6EEB"/>
    <w:rsid w:val="003B6FAF"/>
    <w:rsid w:val="003B720B"/>
    <w:rsid w:val="003B729E"/>
    <w:rsid w:val="003B76B3"/>
    <w:rsid w:val="003B7817"/>
    <w:rsid w:val="003B7956"/>
    <w:rsid w:val="003B7970"/>
    <w:rsid w:val="003B7CDC"/>
    <w:rsid w:val="003B7D58"/>
    <w:rsid w:val="003B7E84"/>
    <w:rsid w:val="003B7F1F"/>
    <w:rsid w:val="003B7F5E"/>
    <w:rsid w:val="003B7F86"/>
    <w:rsid w:val="003C0339"/>
    <w:rsid w:val="003C0455"/>
    <w:rsid w:val="003C0643"/>
    <w:rsid w:val="003C06DD"/>
    <w:rsid w:val="003C07F4"/>
    <w:rsid w:val="003C07FD"/>
    <w:rsid w:val="003C0C13"/>
    <w:rsid w:val="003C0F75"/>
    <w:rsid w:val="003C0F95"/>
    <w:rsid w:val="003C10C0"/>
    <w:rsid w:val="003C12E6"/>
    <w:rsid w:val="003C1340"/>
    <w:rsid w:val="003C13C1"/>
    <w:rsid w:val="003C13DC"/>
    <w:rsid w:val="003C15CC"/>
    <w:rsid w:val="003C1666"/>
    <w:rsid w:val="003C17C2"/>
    <w:rsid w:val="003C17E1"/>
    <w:rsid w:val="003C1BEC"/>
    <w:rsid w:val="003C1C13"/>
    <w:rsid w:val="003C1C78"/>
    <w:rsid w:val="003C1D3D"/>
    <w:rsid w:val="003C1F39"/>
    <w:rsid w:val="003C1F3C"/>
    <w:rsid w:val="003C1F6D"/>
    <w:rsid w:val="003C2231"/>
    <w:rsid w:val="003C22F1"/>
    <w:rsid w:val="003C23AC"/>
    <w:rsid w:val="003C2531"/>
    <w:rsid w:val="003C2857"/>
    <w:rsid w:val="003C2A68"/>
    <w:rsid w:val="003C2D83"/>
    <w:rsid w:val="003C2DFE"/>
    <w:rsid w:val="003C2E56"/>
    <w:rsid w:val="003C30D8"/>
    <w:rsid w:val="003C315B"/>
    <w:rsid w:val="003C31D0"/>
    <w:rsid w:val="003C32BC"/>
    <w:rsid w:val="003C33E3"/>
    <w:rsid w:val="003C34C4"/>
    <w:rsid w:val="003C3714"/>
    <w:rsid w:val="003C382E"/>
    <w:rsid w:val="003C3A39"/>
    <w:rsid w:val="003C3BCB"/>
    <w:rsid w:val="003C3DC1"/>
    <w:rsid w:val="003C477F"/>
    <w:rsid w:val="003C4916"/>
    <w:rsid w:val="003C49AF"/>
    <w:rsid w:val="003C4C50"/>
    <w:rsid w:val="003C511E"/>
    <w:rsid w:val="003C55D4"/>
    <w:rsid w:val="003C56BA"/>
    <w:rsid w:val="003C5A73"/>
    <w:rsid w:val="003C5AEB"/>
    <w:rsid w:val="003C5C0B"/>
    <w:rsid w:val="003C5C93"/>
    <w:rsid w:val="003C5D4B"/>
    <w:rsid w:val="003C5EBF"/>
    <w:rsid w:val="003C5F84"/>
    <w:rsid w:val="003C5FBC"/>
    <w:rsid w:val="003C602D"/>
    <w:rsid w:val="003C6139"/>
    <w:rsid w:val="003C61B8"/>
    <w:rsid w:val="003C61F5"/>
    <w:rsid w:val="003C623C"/>
    <w:rsid w:val="003C624B"/>
    <w:rsid w:val="003C62F0"/>
    <w:rsid w:val="003C6455"/>
    <w:rsid w:val="003C6695"/>
    <w:rsid w:val="003C6A09"/>
    <w:rsid w:val="003C6B14"/>
    <w:rsid w:val="003C6B5F"/>
    <w:rsid w:val="003C6D0D"/>
    <w:rsid w:val="003C6E8D"/>
    <w:rsid w:val="003C6EDF"/>
    <w:rsid w:val="003C6F72"/>
    <w:rsid w:val="003C6FA6"/>
    <w:rsid w:val="003C70D4"/>
    <w:rsid w:val="003C717D"/>
    <w:rsid w:val="003C71B2"/>
    <w:rsid w:val="003C7360"/>
    <w:rsid w:val="003C738D"/>
    <w:rsid w:val="003C74C2"/>
    <w:rsid w:val="003C7520"/>
    <w:rsid w:val="003C7697"/>
    <w:rsid w:val="003C7749"/>
    <w:rsid w:val="003C7855"/>
    <w:rsid w:val="003C7A07"/>
    <w:rsid w:val="003C7B38"/>
    <w:rsid w:val="003C7BB8"/>
    <w:rsid w:val="003C7C94"/>
    <w:rsid w:val="003C7DBB"/>
    <w:rsid w:val="003D00AE"/>
    <w:rsid w:val="003D0632"/>
    <w:rsid w:val="003D09BD"/>
    <w:rsid w:val="003D0ADD"/>
    <w:rsid w:val="003D0AF6"/>
    <w:rsid w:val="003D0B75"/>
    <w:rsid w:val="003D0D72"/>
    <w:rsid w:val="003D0FC5"/>
    <w:rsid w:val="003D12C2"/>
    <w:rsid w:val="003D13CA"/>
    <w:rsid w:val="003D16C2"/>
    <w:rsid w:val="003D18BF"/>
    <w:rsid w:val="003D1B6E"/>
    <w:rsid w:val="003D1EB9"/>
    <w:rsid w:val="003D1F45"/>
    <w:rsid w:val="003D240C"/>
    <w:rsid w:val="003D241E"/>
    <w:rsid w:val="003D2446"/>
    <w:rsid w:val="003D251A"/>
    <w:rsid w:val="003D27A0"/>
    <w:rsid w:val="003D2919"/>
    <w:rsid w:val="003D3017"/>
    <w:rsid w:val="003D3137"/>
    <w:rsid w:val="003D3240"/>
    <w:rsid w:val="003D3353"/>
    <w:rsid w:val="003D33D4"/>
    <w:rsid w:val="003D3483"/>
    <w:rsid w:val="003D3791"/>
    <w:rsid w:val="003D37DF"/>
    <w:rsid w:val="003D381B"/>
    <w:rsid w:val="003D3842"/>
    <w:rsid w:val="003D39EE"/>
    <w:rsid w:val="003D3AEB"/>
    <w:rsid w:val="003D3D7F"/>
    <w:rsid w:val="003D43EF"/>
    <w:rsid w:val="003D453E"/>
    <w:rsid w:val="003D45DE"/>
    <w:rsid w:val="003D476A"/>
    <w:rsid w:val="003D47F3"/>
    <w:rsid w:val="003D4800"/>
    <w:rsid w:val="003D48F4"/>
    <w:rsid w:val="003D4910"/>
    <w:rsid w:val="003D4AB8"/>
    <w:rsid w:val="003D4BA1"/>
    <w:rsid w:val="003D4BB0"/>
    <w:rsid w:val="003D4EB4"/>
    <w:rsid w:val="003D51C9"/>
    <w:rsid w:val="003D51DF"/>
    <w:rsid w:val="003D520E"/>
    <w:rsid w:val="003D52B3"/>
    <w:rsid w:val="003D52FA"/>
    <w:rsid w:val="003D5308"/>
    <w:rsid w:val="003D5874"/>
    <w:rsid w:val="003D5ACF"/>
    <w:rsid w:val="003D5B4A"/>
    <w:rsid w:val="003D5BCA"/>
    <w:rsid w:val="003D5E42"/>
    <w:rsid w:val="003D60B1"/>
    <w:rsid w:val="003D6162"/>
    <w:rsid w:val="003D6538"/>
    <w:rsid w:val="003D6615"/>
    <w:rsid w:val="003D66CE"/>
    <w:rsid w:val="003D69EB"/>
    <w:rsid w:val="003D6AC5"/>
    <w:rsid w:val="003D6ADA"/>
    <w:rsid w:val="003D6BAE"/>
    <w:rsid w:val="003D6D10"/>
    <w:rsid w:val="003D711E"/>
    <w:rsid w:val="003D7460"/>
    <w:rsid w:val="003D7555"/>
    <w:rsid w:val="003D758A"/>
    <w:rsid w:val="003D75E4"/>
    <w:rsid w:val="003D76C4"/>
    <w:rsid w:val="003D791B"/>
    <w:rsid w:val="003D79E4"/>
    <w:rsid w:val="003D7DD8"/>
    <w:rsid w:val="003E00A0"/>
    <w:rsid w:val="003E00B6"/>
    <w:rsid w:val="003E00C0"/>
    <w:rsid w:val="003E029D"/>
    <w:rsid w:val="003E0304"/>
    <w:rsid w:val="003E04A6"/>
    <w:rsid w:val="003E04BC"/>
    <w:rsid w:val="003E0862"/>
    <w:rsid w:val="003E097F"/>
    <w:rsid w:val="003E098E"/>
    <w:rsid w:val="003E0AFC"/>
    <w:rsid w:val="003E0CD6"/>
    <w:rsid w:val="003E1256"/>
    <w:rsid w:val="003E1511"/>
    <w:rsid w:val="003E162B"/>
    <w:rsid w:val="003E16E8"/>
    <w:rsid w:val="003E1725"/>
    <w:rsid w:val="003E172F"/>
    <w:rsid w:val="003E1781"/>
    <w:rsid w:val="003E17CE"/>
    <w:rsid w:val="003E19AD"/>
    <w:rsid w:val="003E1B21"/>
    <w:rsid w:val="003E1BAC"/>
    <w:rsid w:val="003E1BEB"/>
    <w:rsid w:val="003E1E3C"/>
    <w:rsid w:val="003E1ED4"/>
    <w:rsid w:val="003E1FEA"/>
    <w:rsid w:val="003E202C"/>
    <w:rsid w:val="003E225D"/>
    <w:rsid w:val="003E22A6"/>
    <w:rsid w:val="003E22CB"/>
    <w:rsid w:val="003E22E9"/>
    <w:rsid w:val="003E2335"/>
    <w:rsid w:val="003E2683"/>
    <w:rsid w:val="003E2717"/>
    <w:rsid w:val="003E2767"/>
    <w:rsid w:val="003E27BC"/>
    <w:rsid w:val="003E2892"/>
    <w:rsid w:val="003E2A6C"/>
    <w:rsid w:val="003E2AEA"/>
    <w:rsid w:val="003E2AEF"/>
    <w:rsid w:val="003E2C33"/>
    <w:rsid w:val="003E2DB4"/>
    <w:rsid w:val="003E2FDC"/>
    <w:rsid w:val="003E3141"/>
    <w:rsid w:val="003E32C2"/>
    <w:rsid w:val="003E33B2"/>
    <w:rsid w:val="003E342D"/>
    <w:rsid w:val="003E35A5"/>
    <w:rsid w:val="003E388B"/>
    <w:rsid w:val="003E38AA"/>
    <w:rsid w:val="003E3A70"/>
    <w:rsid w:val="003E3F2C"/>
    <w:rsid w:val="003E3FB0"/>
    <w:rsid w:val="003E43E8"/>
    <w:rsid w:val="003E441F"/>
    <w:rsid w:val="003E4AF8"/>
    <w:rsid w:val="003E4D1E"/>
    <w:rsid w:val="003E4DFB"/>
    <w:rsid w:val="003E4E19"/>
    <w:rsid w:val="003E50C5"/>
    <w:rsid w:val="003E5200"/>
    <w:rsid w:val="003E52C7"/>
    <w:rsid w:val="003E531E"/>
    <w:rsid w:val="003E55B4"/>
    <w:rsid w:val="003E56E6"/>
    <w:rsid w:val="003E57C1"/>
    <w:rsid w:val="003E58B8"/>
    <w:rsid w:val="003E58D9"/>
    <w:rsid w:val="003E599F"/>
    <w:rsid w:val="003E59EA"/>
    <w:rsid w:val="003E5ABC"/>
    <w:rsid w:val="003E5C10"/>
    <w:rsid w:val="003E5C11"/>
    <w:rsid w:val="003E6032"/>
    <w:rsid w:val="003E61F6"/>
    <w:rsid w:val="003E6282"/>
    <w:rsid w:val="003E62EF"/>
    <w:rsid w:val="003E64DD"/>
    <w:rsid w:val="003E6619"/>
    <w:rsid w:val="003E6643"/>
    <w:rsid w:val="003E6717"/>
    <w:rsid w:val="003E6964"/>
    <w:rsid w:val="003E6A85"/>
    <w:rsid w:val="003E6C8D"/>
    <w:rsid w:val="003E6DDC"/>
    <w:rsid w:val="003E71F1"/>
    <w:rsid w:val="003E724F"/>
    <w:rsid w:val="003E72C3"/>
    <w:rsid w:val="003E72E4"/>
    <w:rsid w:val="003E72FB"/>
    <w:rsid w:val="003E7305"/>
    <w:rsid w:val="003E7A0C"/>
    <w:rsid w:val="003E7C25"/>
    <w:rsid w:val="003E7CA5"/>
    <w:rsid w:val="003E7F11"/>
    <w:rsid w:val="003F0094"/>
    <w:rsid w:val="003F00FE"/>
    <w:rsid w:val="003F01D7"/>
    <w:rsid w:val="003F0303"/>
    <w:rsid w:val="003F06C6"/>
    <w:rsid w:val="003F086F"/>
    <w:rsid w:val="003F0B51"/>
    <w:rsid w:val="003F0C73"/>
    <w:rsid w:val="003F0C98"/>
    <w:rsid w:val="003F0D09"/>
    <w:rsid w:val="003F0D76"/>
    <w:rsid w:val="003F0D9B"/>
    <w:rsid w:val="003F0E65"/>
    <w:rsid w:val="003F0EEA"/>
    <w:rsid w:val="003F12BB"/>
    <w:rsid w:val="003F159B"/>
    <w:rsid w:val="003F15A4"/>
    <w:rsid w:val="003F16AF"/>
    <w:rsid w:val="003F17DF"/>
    <w:rsid w:val="003F187B"/>
    <w:rsid w:val="003F18F9"/>
    <w:rsid w:val="003F1D37"/>
    <w:rsid w:val="003F1E67"/>
    <w:rsid w:val="003F1EB7"/>
    <w:rsid w:val="003F201D"/>
    <w:rsid w:val="003F20BD"/>
    <w:rsid w:val="003F2125"/>
    <w:rsid w:val="003F21E1"/>
    <w:rsid w:val="003F2290"/>
    <w:rsid w:val="003F229E"/>
    <w:rsid w:val="003F253A"/>
    <w:rsid w:val="003F26BD"/>
    <w:rsid w:val="003F290C"/>
    <w:rsid w:val="003F2BEF"/>
    <w:rsid w:val="003F2C81"/>
    <w:rsid w:val="003F2CF7"/>
    <w:rsid w:val="003F2E09"/>
    <w:rsid w:val="003F2E76"/>
    <w:rsid w:val="003F308D"/>
    <w:rsid w:val="003F32E4"/>
    <w:rsid w:val="003F372B"/>
    <w:rsid w:val="003F3944"/>
    <w:rsid w:val="003F39BB"/>
    <w:rsid w:val="003F3B34"/>
    <w:rsid w:val="003F3C19"/>
    <w:rsid w:val="003F3DE1"/>
    <w:rsid w:val="003F450B"/>
    <w:rsid w:val="003F4566"/>
    <w:rsid w:val="003F4611"/>
    <w:rsid w:val="003F472B"/>
    <w:rsid w:val="003F481E"/>
    <w:rsid w:val="003F4900"/>
    <w:rsid w:val="003F4A59"/>
    <w:rsid w:val="003F4C1E"/>
    <w:rsid w:val="003F4DD2"/>
    <w:rsid w:val="003F4E21"/>
    <w:rsid w:val="003F4FD7"/>
    <w:rsid w:val="003F52DC"/>
    <w:rsid w:val="003F5335"/>
    <w:rsid w:val="003F5524"/>
    <w:rsid w:val="003F5872"/>
    <w:rsid w:val="003F5997"/>
    <w:rsid w:val="003F5BAE"/>
    <w:rsid w:val="003F5C85"/>
    <w:rsid w:val="003F5D80"/>
    <w:rsid w:val="003F5DD7"/>
    <w:rsid w:val="003F603A"/>
    <w:rsid w:val="003F6242"/>
    <w:rsid w:val="003F62F5"/>
    <w:rsid w:val="003F64A7"/>
    <w:rsid w:val="003F65AB"/>
    <w:rsid w:val="003F663F"/>
    <w:rsid w:val="003F66D5"/>
    <w:rsid w:val="003F6A94"/>
    <w:rsid w:val="003F6C40"/>
    <w:rsid w:val="003F6D4F"/>
    <w:rsid w:val="003F6E28"/>
    <w:rsid w:val="003F7220"/>
    <w:rsid w:val="003F748D"/>
    <w:rsid w:val="003F755F"/>
    <w:rsid w:val="003F76D9"/>
    <w:rsid w:val="003F76E0"/>
    <w:rsid w:val="003F771D"/>
    <w:rsid w:val="003F7848"/>
    <w:rsid w:val="003F793B"/>
    <w:rsid w:val="003F79CC"/>
    <w:rsid w:val="003F7A07"/>
    <w:rsid w:val="003F7A70"/>
    <w:rsid w:val="003F7AE8"/>
    <w:rsid w:val="003F7C3B"/>
    <w:rsid w:val="003F7D70"/>
    <w:rsid w:val="003F7EF4"/>
    <w:rsid w:val="003F7F9A"/>
    <w:rsid w:val="00400069"/>
    <w:rsid w:val="00400274"/>
    <w:rsid w:val="004004C0"/>
    <w:rsid w:val="00400565"/>
    <w:rsid w:val="004006A1"/>
    <w:rsid w:val="004007D6"/>
    <w:rsid w:val="00400840"/>
    <w:rsid w:val="004009C4"/>
    <w:rsid w:val="00400E39"/>
    <w:rsid w:val="00400EC6"/>
    <w:rsid w:val="00400F7E"/>
    <w:rsid w:val="0040121D"/>
    <w:rsid w:val="00401471"/>
    <w:rsid w:val="00401BAE"/>
    <w:rsid w:val="00401BED"/>
    <w:rsid w:val="00401C32"/>
    <w:rsid w:val="00401EB5"/>
    <w:rsid w:val="0040263C"/>
    <w:rsid w:val="00402979"/>
    <w:rsid w:val="00402994"/>
    <w:rsid w:val="004029D1"/>
    <w:rsid w:val="00402B3A"/>
    <w:rsid w:val="00402C47"/>
    <w:rsid w:val="00402DD7"/>
    <w:rsid w:val="004034F2"/>
    <w:rsid w:val="00403526"/>
    <w:rsid w:val="0040358D"/>
    <w:rsid w:val="004039A4"/>
    <w:rsid w:val="00403AF1"/>
    <w:rsid w:val="00403BFA"/>
    <w:rsid w:val="00403CCB"/>
    <w:rsid w:val="00403EF2"/>
    <w:rsid w:val="00403FD3"/>
    <w:rsid w:val="0040426E"/>
    <w:rsid w:val="0040430D"/>
    <w:rsid w:val="00404379"/>
    <w:rsid w:val="00404566"/>
    <w:rsid w:val="004047DA"/>
    <w:rsid w:val="0040488E"/>
    <w:rsid w:val="004049FF"/>
    <w:rsid w:val="00404B38"/>
    <w:rsid w:val="00404B3C"/>
    <w:rsid w:val="00404C70"/>
    <w:rsid w:val="00404F6C"/>
    <w:rsid w:val="00404FB9"/>
    <w:rsid w:val="00405001"/>
    <w:rsid w:val="0040508B"/>
    <w:rsid w:val="0040538C"/>
    <w:rsid w:val="004053AA"/>
    <w:rsid w:val="004055AA"/>
    <w:rsid w:val="004058C0"/>
    <w:rsid w:val="004059CD"/>
    <w:rsid w:val="00405AB7"/>
    <w:rsid w:val="00405CD8"/>
    <w:rsid w:val="00405E20"/>
    <w:rsid w:val="00405F0B"/>
    <w:rsid w:val="0040619B"/>
    <w:rsid w:val="0040647E"/>
    <w:rsid w:val="004064A6"/>
    <w:rsid w:val="004064B6"/>
    <w:rsid w:val="00406528"/>
    <w:rsid w:val="0040652E"/>
    <w:rsid w:val="004066A9"/>
    <w:rsid w:val="0040680F"/>
    <w:rsid w:val="00406918"/>
    <w:rsid w:val="00406A8C"/>
    <w:rsid w:val="00406A93"/>
    <w:rsid w:val="00406BA0"/>
    <w:rsid w:val="00406C28"/>
    <w:rsid w:val="00406C2D"/>
    <w:rsid w:val="00406DD7"/>
    <w:rsid w:val="00406E38"/>
    <w:rsid w:val="00406F18"/>
    <w:rsid w:val="004070F9"/>
    <w:rsid w:val="00407254"/>
    <w:rsid w:val="004073CE"/>
    <w:rsid w:val="00407444"/>
    <w:rsid w:val="004074AC"/>
    <w:rsid w:val="004079DC"/>
    <w:rsid w:val="00407D43"/>
    <w:rsid w:val="00407D4B"/>
    <w:rsid w:val="00407E3C"/>
    <w:rsid w:val="00410061"/>
    <w:rsid w:val="004100ED"/>
    <w:rsid w:val="004101CD"/>
    <w:rsid w:val="00410213"/>
    <w:rsid w:val="00410510"/>
    <w:rsid w:val="00410595"/>
    <w:rsid w:val="00410785"/>
    <w:rsid w:val="00410848"/>
    <w:rsid w:val="00410AAD"/>
    <w:rsid w:val="00410BAD"/>
    <w:rsid w:val="00410BCB"/>
    <w:rsid w:val="00410D14"/>
    <w:rsid w:val="00410D4A"/>
    <w:rsid w:val="00410EAE"/>
    <w:rsid w:val="00411002"/>
    <w:rsid w:val="0041129B"/>
    <w:rsid w:val="00411361"/>
    <w:rsid w:val="0041163D"/>
    <w:rsid w:val="0041188E"/>
    <w:rsid w:val="004118A2"/>
    <w:rsid w:val="004119BB"/>
    <w:rsid w:val="00411BCC"/>
    <w:rsid w:val="00411ED4"/>
    <w:rsid w:val="004121EC"/>
    <w:rsid w:val="0041224F"/>
    <w:rsid w:val="004122FA"/>
    <w:rsid w:val="00412366"/>
    <w:rsid w:val="00412493"/>
    <w:rsid w:val="00412671"/>
    <w:rsid w:val="004127B4"/>
    <w:rsid w:val="0041280F"/>
    <w:rsid w:val="00412919"/>
    <w:rsid w:val="004129F7"/>
    <w:rsid w:val="00412A32"/>
    <w:rsid w:val="00412B85"/>
    <w:rsid w:val="00412C3B"/>
    <w:rsid w:val="00413345"/>
    <w:rsid w:val="00413379"/>
    <w:rsid w:val="00413389"/>
    <w:rsid w:val="004133B3"/>
    <w:rsid w:val="0041349F"/>
    <w:rsid w:val="00413A4B"/>
    <w:rsid w:val="00413B64"/>
    <w:rsid w:val="00413C79"/>
    <w:rsid w:val="00413CF4"/>
    <w:rsid w:val="00413D7A"/>
    <w:rsid w:val="00413D88"/>
    <w:rsid w:val="00413EB1"/>
    <w:rsid w:val="00413F33"/>
    <w:rsid w:val="00413FCA"/>
    <w:rsid w:val="00413FED"/>
    <w:rsid w:val="00414006"/>
    <w:rsid w:val="004140EB"/>
    <w:rsid w:val="00414271"/>
    <w:rsid w:val="004144F8"/>
    <w:rsid w:val="004145E0"/>
    <w:rsid w:val="0041488B"/>
    <w:rsid w:val="004148B7"/>
    <w:rsid w:val="004149E4"/>
    <w:rsid w:val="00414A34"/>
    <w:rsid w:val="00414C65"/>
    <w:rsid w:val="00414DDD"/>
    <w:rsid w:val="004150B4"/>
    <w:rsid w:val="00415493"/>
    <w:rsid w:val="0041586B"/>
    <w:rsid w:val="00415BBD"/>
    <w:rsid w:val="00415D2F"/>
    <w:rsid w:val="00415DB8"/>
    <w:rsid w:val="00415E62"/>
    <w:rsid w:val="00415E76"/>
    <w:rsid w:val="00415E7A"/>
    <w:rsid w:val="00415EAC"/>
    <w:rsid w:val="00415EE7"/>
    <w:rsid w:val="00416142"/>
    <w:rsid w:val="00416322"/>
    <w:rsid w:val="004168C4"/>
    <w:rsid w:val="00416A79"/>
    <w:rsid w:val="00416EC4"/>
    <w:rsid w:val="00416F5C"/>
    <w:rsid w:val="00417125"/>
    <w:rsid w:val="00417221"/>
    <w:rsid w:val="00417336"/>
    <w:rsid w:val="0041738A"/>
    <w:rsid w:val="0041740F"/>
    <w:rsid w:val="0041772C"/>
    <w:rsid w:val="00417A25"/>
    <w:rsid w:val="00417C96"/>
    <w:rsid w:val="00417D7E"/>
    <w:rsid w:val="00417D9E"/>
    <w:rsid w:val="00417F26"/>
    <w:rsid w:val="00417F81"/>
    <w:rsid w:val="00417FBD"/>
    <w:rsid w:val="00420294"/>
    <w:rsid w:val="004204D2"/>
    <w:rsid w:val="00420521"/>
    <w:rsid w:val="00420693"/>
    <w:rsid w:val="00420852"/>
    <w:rsid w:val="00420B71"/>
    <w:rsid w:val="00420DCF"/>
    <w:rsid w:val="00420F54"/>
    <w:rsid w:val="00420F75"/>
    <w:rsid w:val="00421692"/>
    <w:rsid w:val="00421B4C"/>
    <w:rsid w:val="00421C89"/>
    <w:rsid w:val="00421E15"/>
    <w:rsid w:val="00421F57"/>
    <w:rsid w:val="0042243B"/>
    <w:rsid w:val="00422445"/>
    <w:rsid w:val="00422640"/>
    <w:rsid w:val="00422720"/>
    <w:rsid w:val="004227DC"/>
    <w:rsid w:val="00422CDF"/>
    <w:rsid w:val="00422F4F"/>
    <w:rsid w:val="00423415"/>
    <w:rsid w:val="004234C5"/>
    <w:rsid w:val="00423896"/>
    <w:rsid w:val="00423CFD"/>
    <w:rsid w:val="00424131"/>
    <w:rsid w:val="0042437F"/>
    <w:rsid w:val="004246CA"/>
    <w:rsid w:val="004246CF"/>
    <w:rsid w:val="004248A1"/>
    <w:rsid w:val="00424A0C"/>
    <w:rsid w:val="00424ADA"/>
    <w:rsid w:val="00424BC2"/>
    <w:rsid w:val="00424DB2"/>
    <w:rsid w:val="00424E3E"/>
    <w:rsid w:val="00424FDE"/>
    <w:rsid w:val="0042503D"/>
    <w:rsid w:val="00425243"/>
    <w:rsid w:val="00425322"/>
    <w:rsid w:val="00425462"/>
    <w:rsid w:val="004254C5"/>
    <w:rsid w:val="004254E5"/>
    <w:rsid w:val="00425585"/>
    <w:rsid w:val="00425D95"/>
    <w:rsid w:val="00425EF7"/>
    <w:rsid w:val="00426043"/>
    <w:rsid w:val="00426231"/>
    <w:rsid w:val="0042665C"/>
    <w:rsid w:val="004266F2"/>
    <w:rsid w:val="0042672E"/>
    <w:rsid w:val="00426982"/>
    <w:rsid w:val="00426DC5"/>
    <w:rsid w:val="00426DCC"/>
    <w:rsid w:val="00427097"/>
    <w:rsid w:val="00427355"/>
    <w:rsid w:val="00427405"/>
    <w:rsid w:val="0042754C"/>
    <w:rsid w:val="0042793D"/>
    <w:rsid w:val="00427978"/>
    <w:rsid w:val="00427B82"/>
    <w:rsid w:val="00427F43"/>
    <w:rsid w:val="00427F84"/>
    <w:rsid w:val="00427FD4"/>
    <w:rsid w:val="00430379"/>
    <w:rsid w:val="004303F3"/>
    <w:rsid w:val="004304B1"/>
    <w:rsid w:val="004304C1"/>
    <w:rsid w:val="004306C3"/>
    <w:rsid w:val="00430830"/>
    <w:rsid w:val="00430B2F"/>
    <w:rsid w:val="00430E01"/>
    <w:rsid w:val="004310B6"/>
    <w:rsid w:val="0043143B"/>
    <w:rsid w:val="0043155B"/>
    <w:rsid w:val="0043171D"/>
    <w:rsid w:val="0043185E"/>
    <w:rsid w:val="004319D1"/>
    <w:rsid w:val="00431AAA"/>
    <w:rsid w:val="00431B06"/>
    <w:rsid w:val="00431B20"/>
    <w:rsid w:val="00431DF8"/>
    <w:rsid w:val="00431FDA"/>
    <w:rsid w:val="0043209D"/>
    <w:rsid w:val="0043222D"/>
    <w:rsid w:val="00432257"/>
    <w:rsid w:val="004326A3"/>
    <w:rsid w:val="004326AC"/>
    <w:rsid w:val="00432780"/>
    <w:rsid w:val="00432932"/>
    <w:rsid w:val="004329D0"/>
    <w:rsid w:val="00432DE3"/>
    <w:rsid w:val="00432EBC"/>
    <w:rsid w:val="00433192"/>
    <w:rsid w:val="00433438"/>
    <w:rsid w:val="00433639"/>
    <w:rsid w:val="00433674"/>
    <w:rsid w:val="0043374F"/>
    <w:rsid w:val="00433793"/>
    <w:rsid w:val="0043385B"/>
    <w:rsid w:val="004339DF"/>
    <w:rsid w:val="00433BAE"/>
    <w:rsid w:val="00433CB2"/>
    <w:rsid w:val="0043404A"/>
    <w:rsid w:val="00434340"/>
    <w:rsid w:val="004344FB"/>
    <w:rsid w:val="004346B2"/>
    <w:rsid w:val="00434702"/>
    <w:rsid w:val="0043479A"/>
    <w:rsid w:val="004348E8"/>
    <w:rsid w:val="0043499A"/>
    <w:rsid w:val="00434A81"/>
    <w:rsid w:val="00434AFC"/>
    <w:rsid w:val="00434B09"/>
    <w:rsid w:val="00434B86"/>
    <w:rsid w:val="00434C0E"/>
    <w:rsid w:val="00434F5C"/>
    <w:rsid w:val="00435076"/>
    <w:rsid w:val="004352E6"/>
    <w:rsid w:val="00435493"/>
    <w:rsid w:val="004357BF"/>
    <w:rsid w:val="00435942"/>
    <w:rsid w:val="00435AB8"/>
    <w:rsid w:val="00435E97"/>
    <w:rsid w:val="00435F0D"/>
    <w:rsid w:val="0043649A"/>
    <w:rsid w:val="004366F1"/>
    <w:rsid w:val="004368BF"/>
    <w:rsid w:val="004369FF"/>
    <w:rsid w:val="00436B17"/>
    <w:rsid w:val="00436EC2"/>
    <w:rsid w:val="00436F86"/>
    <w:rsid w:val="004370CF"/>
    <w:rsid w:val="00437324"/>
    <w:rsid w:val="0043751F"/>
    <w:rsid w:val="0043785A"/>
    <w:rsid w:val="004378D9"/>
    <w:rsid w:val="00437980"/>
    <w:rsid w:val="00437A1A"/>
    <w:rsid w:val="00437CB9"/>
    <w:rsid w:val="00437D18"/>
    <w:rsid w:val="00437DA1"/>
    <w:rsid w:val="00437DC6"/>
    <w:rsid w:val="00437E74"/>
    <w:rsid w:val="00437F3F"/>
    <w:rsid w:val="00437FD5"/>
    <w:rsid w:val="004400B7"/>
    <w:rsid w:val="004402D8"/>
    <w:rsid w:val="004404A8"/>
    <w:rsid w:val="00440663"/>
    <w:rsid w:val="00440709"/>
    <w:rsid w:val="00440714"/>
    <w:rsid w:val="004407E5"/>
    <w:rsid w:val="004408BF"/>
    <w:rsid w:val="00440906"/>
    <w:rsid w:val="00441146"/>
    <w:rsid w:val="004412F4"/>
    <w:rsid w:val="004412F9"/>
    <w:rsid w:val="00441341"/>
    <w:rsid w:val="004413D4"/>
    <w:rsid w:val="0044164A"/>
    <w:rsid w:val="00441795"/>
    <w:rsid w:val="0044181D"/>
    <w:rsid w:val="00441909"/>
    <w:rsid w:val="00441F78"/>
    <w:rsid w:val="004420CE"/>
    <w:rsid w:val="0044223B"/>
    <w:rsid w:val="00442414"/>
    <w:rsid w:val="00442421"/>
    <w:rsid w:val="0044247C"/>
    <w:rsid w:val="004424C8"/>
    <w:rsid w:val="004425E8"/>
    <w:rsid w:val="0044273A"/>
    <w:rsid w:val="004428FE"/>
    <w:rsid w:val="00442A07"/>
    <w:rsid w:val="00442CF0"/>
    <w:rsid w:val="00442F20"/>
    <w:rsid w:val="0044302C"/>
    <w:rsid w:val="00443186"/>
    <w:rsid w:val="0044337B"/>
    <w:rsid w:val="00443402"/>
    <w:rsid w:val="0044358F"/>
    <w:rsid w:val="0044373B"/>
    <w:rsid w:val="004438C9"/>
    <w:rsid w:val="00443F96"/>
    <w:rsid w:val="00444121"/>
    <w:rsid w:val="00444157"/>
    <w:rsid w:val="004442C1"/>
    <w:rsid w:val="004443CB"/>
    <w:rsid w:val="00444461"/>
    <w:rsid w:val="004444B1"/>
    <w:rsid w:val="00444688"/>
    <w:rsid w:val="00444759"/>
    <w:rsid w:val="00444890"/>
    <w:rsid w:val="00444950"/>
    <w:rsid w:val="0044496F"/>
    <w:rsid w:val="00444B31"/>
    <w:rsid w:val="00444D1A"/>
    <w:rsid w:val="00444DE3"/>
    <w:rsid w:val="00444E6F"/>
    <w:rsid w:val="00444F61"/>
    <w:rsid w:val="00444F82"/>
    <w:rsid w:val="0044501E"/>
    <w:rsid w:val="0044504D"/>
    <w:rsid w:val="004450EF"/>
    <w:rsid w:val="0044520C"/>
    <w:rsid w:val="00445435"/>
    <w:rsid w:val="004454E5"/>
    <w:rsid w:val="00445532"/>
    <w:rsid w:val="00445583"/>
    <w:rsid w:val="00445656"/>
    <w:rsid w:val="0044575C"/>
    <w:rsid w:val="00445845"/>
    <w:rsid w:val="004458C1"/>
    <w:rsid w:val="00445DF3"/>
    <w:rsid w:val="00445E30"/>
    <w:rsid w:val="00445FB4"/>
    <w:rsid w:val="004461E2"/>
    <w:rsid w:val="004467C8"/>
    <w:rsid w:val="00446AB4"/>
    <w:rsid w:val="00446E7B"/>
    <w:rsid w:val="00446F42"/>
    <w:rsid w:val="0044728B"/>
    <w:rsid w:val="004475C5"/>
    <w:rsid w:val="0044773E"/>
    <w:rsid w:val="004478B8"/>
    <w:rsid w:val="00447B7D"/>
    <w:rsid w:val="00447B99"/>
    <w:rsid w:val="00447D43"/>
    <w:rsid w:val="00447E27"/>
    <w:rsid w:val="00447F1F"/>
    <w:rsid w:val="00447F57"/>
    <w:rsid w:val="00450023"/>
    <w:rsid w:val="0045009D"/>
    <w:rsid w:val="00450109"/>
    <w:rsid w:val="0045014E"/>
    <w:rsid w:val="00450155"/>
    <w:rsid w:val="004502A2"/>
    <w:rsid w:val="004502A4"/>
    <w:rsid w:val="0045043F"/>
    <w:rsid w:val="00450445"/>
    <w:rsid w:val="00450475"/>
    <w:rsid w:val="004504E5"/>
    <w:rsid w:val="004505D9"/>
    <w:rsid w:val="004506B2"/>
    <w:rsid w:val="004508AD"/>
    <w:rsid w:val="00450A1F"/>
    <w:rsid w:val="00450A92"/>
    <w:rsid w:val="00450BCA"/>
    <w:rsid w:val="00450C83"/>
    <w:rsid w:val="00451482"/>
    <w:rsid w:val="00451485"/>
    <w:rsid w:val="004518A0"/>
    <w:rsid w:val="0045190E"/>
    <w:rsid w:val="00451A21"/>
    <w:rsid w:val="00451C4B"/>
    <w:rsid w:val="00451D67"/>
    <w:rsid w:val="00451E05"/>
    <w:rsid w:val="00451EC7"/>
    <w:rsid w:val="004521CA"/>
    <w:rsid w:val="00452376"/>
    <w:rsid w:val="00452523"/>
    <w:rsid w:val="0045255B"/>
    <w:rsid w:val="004525A0"/>
    <w:rsid w:val="004528FC"/>
    <w:rsid w:val="004529F8"/>
    <w:rsid w:val="00452A09"/>
    <w:rsid w:val="00452BD6"/>
    <w:rsid w:val="00452C5F"/>
    <w:rsid w:val="00452E56"/>
    <w:rsid w:val="00452EE4"/>
    <w:rsid w:val="00453613"/>
    <w:rsid w:val="0045368A"/>
    <w:rsid w:val="004537F1"/>
    <w:rsid w:val="004538F1"/>
    <w:rsid w:val="00453929"/>
    <w:rsid w:val="00453986"/>
    <w:rsid w:val="00453BB4"/>
    <w:rsid w:val="00453C98"/>
    <w:rsid w:val="00453CD2"/>
    <w:rsid w:val="00453CE1"/>
    <w:rsid w:val="00453EB5"/>
    <w:rsid w:val="00453EBF"/>
    <w:rsid w:val="00453F6C"/>
    <w:rsid w:val="004542E9"/>
    <w:rsid w:val="0045434B"/>
    <w:rsid w:val="004545ED"/>
    <w:rsid w:val="0045477D"/>
    <w:rsid w:val="00454AD5"/>
    <w:rsid w:val="00454C26"/>
    <w:rsid w:val="00454C6E"/>
    <w:rsid w:val="00454D86"/>
    <w:rsid w:val="00454EC8"/>
    <w:rsid w:val="0045513E"/>
    <w:rsid w:val="0045586D"/>
    <w:rsid w:val="0045589A"/>
    <w:rsid w:val="00455B5C"/>
    <w:rsid w:val="00455C51"/>
    <w:rsid w:val="00455D8D"/>
    <w:rsid w:val="00455EE2"/>
    <w:rsid w:val="00455FD4"/>
    <w:rsid w:val="00455FFB"/>
    <w:rsid w:val="00456076"/>
    <w:rsid w:val="00456143"/>
    <w:rsid w:val="0045639F"/>
    <w:rsid w:val="004563D7"/>
    <w:rsid w:val="00456498"/>
    <w:rsid w:val="00456544"/>
    <w:rsid w:val="0045670F"/>
    <w:rsid w:val="0045692F"/>
    <w:rsid w:val="00456A96"/>
    <w:rsid w:val="00456C13"/>
    <w:rsid w:val="00456C30"/>
    <w:rsid w:val="00457192"/>
    <w:rsid w:val="004572BA"/>
    <w:rsid w:val="00457410"/>
    <w:rsid w:val="00457480"/>
    <w:rsid w:val="0045749F"/>
    <w:rsid w:val="0045752D"/>
    <w:rsid w:val="0045772B"/>
    <w:rsid w:val="004577E1"/>
    <w:rsid w:val="004579E5"/>
    <w:rsid w:val="004579F0"/>
    <w:rsid w:val="00457BA6"/>
    <w:rsid w:val="00457C2D"/>
    <w:rsid w:val="00457CAC"/>
    <w:rsid w:val="00457CD7"/>
    <w:rsid w:val="00457DA8"/>
    <w:rsid w:val="004601C0"/>
    <w:rsid w:val="00460377"/>
    <w:rsid w:val="00460528"/>
    <w:rsid w:val="00460ADC"/>
    <w:rsid w:val="00460AEC"/>
    <w:rsid w:val="00460B2F"/>
    <w:rsid w:val="00460B3A"/>
    <w:rsid w:val="00460DDA"/>
    <w:rsid w:val="00460EB0"/>
    <w:rsid w:val="0046174A"/>
    <w:rsid w:val="004617A4"/>
    <w:rsid w:val="00461983"/>
    <w:rsid w:val="00461C17"/>
    <w:rsid w:val="00461D09"/>
    <w:rsid w:val="00461D74"/>
    <w:rsid w:val="00461EB9"/>
    <w:rsid w:val="00461F99"/>
    <w:rsid w:val="00462240"/>
    <w:rsid w:val="004623DB"/>
    <w:rsid w:val="004625AE"/>
    <w:rsid w:val="0046277B"/>
    <w:rsid w:val="00462A27"/>
    <w:rsid w:val="00462A70"/>
    <w:rsid w:val="00462D81"/>
    <w:rsid w:val="00462E43"/>
    <w:rsid w:val="00463065"/>
    <w:rsid w:val="004633AB"/>
    <w:rsid w:val="004634F9"/>
    <w:rsid w:val="00463593"/>
    <w:rsid w:val="0046360D"/>
    <w:rsid w:val="00463638"/>
    <w:rsid w:val="00463BC0"/>
    <w:rsid w:val="00463D45"/>
    <w:rsid w:val="00463D73"/>
    <w:rsid w:val="00463D7D"/>
    <w:rsid w:val="00463FA0"/>
    <w:rsid w:val="004642A3"/>
    <w:rsid w:val="00464452"/>
    <w:rsid w:val="00464476"/>
    <w:rsid w:val="00464735"/>
    <w:rsid w:val="00464827"/>
    <w:rsid w:val="004649E4"/>
    <w:rsid w:val="004649EE"/>
    <w:rsid w:val="00464B9C"/>
    <w:rsid w:val="00464C72"/>
    <w:rsid w:val="00464C9B"/>
    <w:rsid w:val="00464F12"/>
    <w:rsid w:val="00464F94"/>
    <w:rsid w:val="00465099"/>
    <w:rsid w:val="0046522F"/>
    <w:rsid w:val="0046530C"/>
    <w:rsid w:val="00465561"/>
    <w:rsid w:val="00465645"/>
    <w:rsid w:val="00465800"/>
    <w:rsid w:val="00465824"/>
    <w:rsid w:val="004658EE"/>
    <w:rsid w:val="00465A22"/>
    <w:rsid w:val="00465A56"/>
    <w:rsid w:val="00465AED"/>
    <w:rsid w:val="00465CDE"/>
    <w:rsid w:val="00465E53"/>
    <w:rsid w:val="00465F05"/>
    <w:rsid w:val="004660CA"/>
    <w:rsid w:val="004665A0"/>
    <w:rsid w:val="004665A6"/>
    <w:rsid w:val="0046674E"/>
    <w:rsid w:val="00466814"/>
    <w:rsid w:val="004668F3"/>
    <w:rsid w:val="0046696D"/>
    <w:rsid w:val="00466ACE"/>
    <w:rsid w:val="00466B11"/>
    <w:rsid w:val="00466C82"/>
    <w:rsid w:val="00466E6C"/>
    <w:rsid w:val="00466EB0"/>
    <w:rsid w:val="00466EC1"/>
    <w:rsid w:val="00466FDF"/>
    <w:rsid w:val="00467189"/>
    <w:rsid w:val="004674A1"/>
    <w:rsid w:val="00467515"/>
    <w:rsid w:val="004675BD"/>
    <w:rsid w:val="0046760A"/>
    <w:rsid w:val="00467725"/>
    <w:rsid w:val="004678A2"/>
    <w:rsid w:val="00467995"/>
    <w:rsid w:val="004679BC"/>
    <w:rsid w:val="00467DB5"/>
    <w:rsid w:val="00467F47"/>
    <w:rsid w:val="00470024"/>
    <w:rsid w:val="0047011C"/>
    <w:rsid w:val="0047047D"/>
    <w:rsid w:val="00470635"/>
    <w:rsid w:val="0047063E"/>
    <w:rsid w:val="0047075C"/>
    <w:rsid w:val="004707DA"/>
    <w:rsid w:val="00470B40"/>
    <w:rsid w:val="00470B5F"/>
    <w:rsid w:val="00470EF4"/>
    <w:rsid w:val="00471238"/>
    <w:rsid w:val="00471355"/>
    <w:rsid w:val="00471420"/>
    <w:rsid w:val="00471482"/>
    <w:rsid w:val="004714A1"/>
    <w:rsid w:val="0047150C"/>
    <w:rsid w:val="00471546"/>
    <w:rsid w:val="00471875"/>
    <w:rsid w:val="00471970"/>
    <w:rsid w:val="00471979"/>
    <w:rsid w:val="00471998"/>
    <w:rsid w:val="00471AF6"/>
    <w:rsid w:val="00471C9F"/>
    <w:rsid w:val="0047210E"/>
    <w:rsid w:val="00472148"/>
    <w:rsid w:val="004722B5"/>
    <w:rsid w:val="004724D9"/>
    <w:rsid w:val="00472526"/>
    <w:rsid w:val="0047257B"/>
    <w:rsid w:val="0047281E"/>
    <w:rsid w:val="00472A27"/>
    <w:rsid w:val="00472A5C"/>
    <w:rsid w:val="00472BE0"/>
    <w:rsid w:val="00472E28"/>
    <w:rsid w:val="00472F52"/>
    <w:rsid w:val="00473096"/>
    <w:rsid w:val="004730DD"/>
    <w:rsid w:val="00473194"/>
    <w:rsid w:val="0047329D"/>
    <w:rsid w:val="004735A8"/>
    <w:rsid w:val="004735C4"/>
    <w:rsid w:val="004736ED"/>
    <w:rsid w:val="00473726"/>
    <w:rsid w:val="004737BC"/>
    <w:rsid w:val="00473DA5"/>
    <w:rsid w:val="00473E5D"/>
    <w:rsid w:val="00473EF4"/>
    <w:rsid w:val="00473F2A"/>
    <w:rsid w:val="00473F4A"/>
    <w:rsid w:val="00474274"/>
    <w:rsid w:val="00474515"/>
    <w:rsid w:val="00474540"/>
    <w:rsid w:val="004746AE"/>
    <w:rsid w:val="00474814"/>
    <w:rsid w:val="00474ACF"/>
    <w:rsid w:val="00474B78"/>
    <w:rsid w:val="00474B99"/>
    <w:rsid w:val="00474D63"/>
    <w:rsid w:val="00474DA8"/>
    <w:rsid w:val="00474F47"/>
    <w:rsid w:val="00474FA2"/>
    <w:rsid w:val="00475017"/>
    <w:rsid w:val="004752E1"/>
    <w:rsid w:val="00475589"/>
    <w:rsid w:val="004755B0"/>
    <w:rsid w:val="004755FC"/>
    <w:rsid w:val="0047565F"/>
    <w:rsid w:val="00475860"/>
    <w:rsid w:val="004758D5"/>
    <w:rsid w:val="00475925"/>
    <w:rsid w:val="00475AFB"/>
    <w:rsid w:val="00475F0B"/>
    <w:rsid w:val="00476072"/>
    <w:rsid w:val="004760C9"/>
    <w:rsid w:val="00476147"/>
    <w:rsid w:val="00476359"/>
    <w:rsid w:val="0047647D"/>
    <w:rsid w:val="00476689"/>
    <w:rsid w:val="00476A82"/>
    <w:rsid w:val="00476C30"/>
    <w:rsid w:val="00476DC3"/>
    <w:rsid w:val="00476E8D"/>
    <w:rsid w:val="00476FB7"/>
    <w:rsid w:val="0047734B"/>
    <w:rsid w:val="004773DA"/>
    <w:rsid w:val="00477429"/>
    <w:rsid w:val="004774A8"/>
    <w:rsid w:val="0047756D"/>
    <w:rsid w:val="00477631"/>
    <w:rsid w:val="00477671"/>
    <w:rsid w:val="004776DF"/>
    <w:rsid w:val="0047776F"/>
    <w:rsid w:val="00477793"/>
    <w:rsid w:val="004777D0"/>
    <w:rsid w:val="00477866"/>
    <w:rsid w:val="00477B70"/>
    <w:rsid w:val="00477CA3"/>
    <w:rsid w:val="00477D23"/>
    <w:rsid w:val="00477DE9"/>
    <w:rsid w:val="00480028"/>
    <w:rsid w:val="0048018D"/>
    <w:rsid w:val="004801F4"/>
    <w:rsid w:val="00480555"/>
    <w:rsid w:val="00480851"/>
    <w:rsid w:val="0048091B"/>
    <w:rsid w:val="00480C6F"/>
    <w:rsid w:val="00480D38"/>
    <w:rsid w:val="00480E86"/>
    <w:rsid w:val="0048106A"/>
    <w:rsid w:val="004811CC"/>
    <w:rsid w:val="004813DE"/>
    <w:rsid w:val="00481707"/>
    <w:rsid w:val="0048197A"/>
    <w:rsid w:val="004820EB"/>
    <w:rsid w:val="004821B0"/>
    <w:rsid w:val="004821B7"/>
    <w:rsid w:val="004821BB"/>
    <w:rsid w:val="00482269"/>
    <w:rsid w:val="00482295"/>
    <w:rsid w:val="0048232C"/>
    <w:rsid w:val="0048243E"/>
    <w:rsid w:val="00482459"/>
    <w:rsid w:val="004825B3"/>
    <w:rsid w:val="004828BC"/>
    <w:rsid w:val="00482DA1"/>
    <w:rsid w:val="00482DC0"/>
    <w:rsid w:val="004830F3"/>
    <w:rsid w:val="0048332D"/>
    <w:rsid w:val="004836E7"/>
    <w:rsid w:val="00483968"/>
    <w:rsid w:val="004839C9"/>
    <w:rsid w:val="00483CA7"/>
    <w:rsid w:val="004840DA"/>
    <w:rsid w:val="00484178"/>
    <w:rsid w:val="0048428D"/>
    <w:rsid w:val="004844B4"/>
    <w:rsid w:val="004846AF"/>
    <w:rsid w:val="00484944"/>
    <w:rsid w:val="00484950"/>
    <w:rsid w:val="004849EA"/>
    <w:rsid w:val="00484A69"/>
    <w:rsid w:val="00484A9C"/>
    <w:rsid w:val="00484AD0"/>
    <w:rsid w:val="00484C6C"/>
    <w:rsid w:val="00484EB4"/>
    <w:rsid w:val="00484F83"/>
    <w:rsid w:val="00485242"/>
    <w:rsid w:val="004853D6"/>
    <w:rsid w:val="00485476"/>
    <w:rsid w:val="0048547B"/>
    <w:rsid w:val="00485502"/>
    <w:rsid w:val="0048553D"/>
    <w:rsid w:val="00485657"/>
    <w:rsid w:val="0048572B"/>
    <w:rsid w:val="00485754"/>
    <w:rsid w:val="00485998"/>
    <w:rsid w:val="00485AF7"/>
    <w:rsid w:val="00485D71"/>
    <w:rsid w:val="00485DA9"/>
    <w:rsid w:val="00485E41"/>
    <w:rsid w:val="00485EA2"/>
    <w:rsid w:val="00485EC5"/>
    <w:rsid w:val="0048611A"/>
    <w:rsid w:val="0048620A"/>
    <w:rsid w:val="00486739"/>
    <w:rsid w:val="00486759"/>
    <w:rsid w:val="0048678B"/>
    <w:rsid w:val="004868EC"/>
    <w:rsid w:val="00486BFC"/>
    <w:rsid w:val="00486C24"/>
    <w:rsid w:val="00486D0D"/>
    <w:rsid w:val="00486D1D"/>
    <w:rsid w:val="00486F08"/>
    <w:rsid w:val="004870A4"/>
    <w:rsid w:val="00487129"/>
    <w:rsid w:val="0048732B"/>
    <w:rsid w:val="004873CF"/>
    <w:rsid w:val="004875F3"/>
    <w:rsid w:val="004876BD"/>
    <w:rsid w:val="00487738"/>
    <w:rsid w:val="004877B9"/>
    <w:rsid w:val="004877D8"/>
    <w:rsid w:val="00487B9A"/>
    <w:rsid w:val="00487E60"/>
    <w:rsid w:val="00487FB1"/>
    <w:rsid w:val="00490134"/>
    <w:rsid w:val="004901CE"/>
    <w:rsid w:val="004902D9"/>
    <w:rsid w:val="004905BE"/>
    <w:rsid w:val="00490738"/>
    <w:rsid w:val="004907A4"/>
    <w:rsid w:val="00490A7F"/>
    <w:rsid w:val="00490B02"/>
    <w:rsid w:val="00490CBE"/>
    <w:rsid w:val="00490E91"/>
    <w:rsid w:val="00490F7E"/>
    <w:rsid w:val="00490FB1"/>
    <w:rsid w:val="004911C9"/>
    <w:rsid w:val="0049133F"/>
    <w:rsid w:val="004914E3"/>
    <w:rsid w:val="00491638"/>
    <w:rsid w:val="00491704"/>
    <w:rsid w:val="004917B1"/>
    <w:rsid w:val="0049183F"/>
    <w:rsid w:val="0049192D"/>
    <w:rsid w:val="00491950"/>
    <w:rsid w:val="00491B81"/>
    <w:rsid w:val="00491DA5"/>
    <w:rsid w:val="00491DAE"/>
    <w:rsid w:val="00491E8F"/>
    <w:rsid w:val="00491EB1"/>
    <w:rsid w:val="00491FBA"/>
    <w:rsid w:val="0049200B"/>
    <w:rsid w:val="0049226C"/>
    <w:rsid w:val="0049233A"/>
    <w:rsid w:val="0049243B"/>
    <w:rsid w:val="00492559"/>
    <w:rsid w:val="0049267F"/>
    <w:rsid w:val="00492878"/>
    <w:rsid w:val="004928ED"/>
    <w:rsid w:val="00492B19"/>
    <w:rsid w:val="00492D35"/>
    <w:rsid w:val="00492DA1"/>
    <w:rsid w:val="00492DA8"/>
    <w:rsid w:val="00492E2E"/>
    <w:rsid w:val="00492E62"/>
    <w:rsid w:val="00492EB4"/>
    <w:rsid w:val="00492EC2"/>
    <w:rsid w:val="00492F76"/>
    <w:rsid w:val="00492F7B"/>
    <w:rsid w:val="00492FE5"/>
    <w:rsid w:val="00493252"/>
    <w:rsid w:val="00493344"/>
    <w:rsid w:val="00493368"/>
    <w:rsid w:val="004933A4"/>
    <w:rsid w:val="00493915"/>
    <w:rsid w:val="00493A42"/>
    <w:rsid w:val="00493AB6"/>
    <w:rsid w:val="00493AB7"/>
    <w:rsid w:val="00493B85"/>
    <w:rsid w:val="00493BAF"/>
    <w:rsid w:val="00493BBB"/>
    <w:rsid w:val="00493C96"/>
    <w:rsid w:val="00493DD4"/>
    <w:rsid w:val="00494199"/>
    <w:rsid w:val="00494475"/>
    <w:rsid w:val="00494513"/>
    <w:rsid w:val="004945A5"/>
    <w:rsid w:val="00494807"/>
    <w:rsid w:val="0049498F"/>
    <w:rsid w:val="00494B7A"/>
    <w:rsid w:val="00494E41"/>
    <w:rsid w:val="00494F11"/>
    <w:rsid w:val="0049520B"/>
    <w:rsid w:val="004952A2"/>
    <w:rsid w:val="00495306"/>
    <w:rsid w:val="00495312"/>
    <w:rsid w:val="0049571A"/>
    <w:rsid w:val="004957EB"/>
    <w:rsid w:val="0049585D"/>
    <w:rsid w:val="00495865"/>
    <w:rsid w:val="00495A30"/>
    <w:rsid w:val="00495D8A"/>
    <w:rsid w:val="00495DF4"/>
    <w:rsid w:val="00495DF5"/>
    <w:rsid w:val="004961B5"/>
    <w:rsid w:val="00496264"/>
    <w:rsid w:val="00496420"/>
    <w:rsid w:val="0049650F"/>
    <w:rsid w:val="00496516"/>
    <w:rsid w:val="004966A3"/>
    <w:rsid w:val="00496749"/>
    <w:rsid w:val="00496753"/>
    <w:rsid w:val="004967BC"/>
    <w:rsid w:val="004968CA"/>
    <w:rsid w:val="004968E8"/>
    <w:rsid w:val="00496A7B"/>
    <w:rsid w:val="00496B10"/>
    <w:rsid w:val="00496B42"/>
    <w:rsid w:val="00496B91"/>
    <w:rsid w:val="00496B99"/>
    <w:rsid w:val="00496DA2"/>
    <w:rsid w:val="00497117"/>
    <w:rsid w:val="004972B7"/>
    <w:rsid w:val="004974D2"/>
    <w:rsid w:val="00497557"/>
    <w:rsid w:val="004976C3"/>
    <w:rsid w:val="00497785"/>
    <w:rsid w:val="00497D92"/>
    <w:rsid w:val="00497F0A"/>
    <w:rsid w:val="004A01C8"/>
    <w:rsid w:val="004A0411"/>
    <w:rsid w:val="004A042C"/>
    <w:rsid w:val="004A050C"/>
    <w:rsid w:val="004A094F"/>
    <w:rsid w:val="004A0A28"/>
    <w:rsid w:val="004A0A8C"/>
    <w:rsid w:val="004A0B4F"/>
    <w:rsid w:val="004A0BAA"/>
    <w:rsid w:val="004A0C93"/>
    <w:rsid w:val="004A0D0F"/>
    <w:rsid w:val="004A1600"/>
    <w:rsid w:val="004A170A"/>
    <w:rsid w:val="004A1A87"/>
    <w:rsid w:val="004A1C89"/>
    <w:rsid w:val="004A1C9D"/>
    <w:rsid w:val="004A1D86"/>
    <w:rsid w:val="004A1F1E"/>
    <w:rsid w:val="004A202D"/>
    <w:rsid w:val="004A223C"/>
    <w:rsid w:val="004A2314"/>
    <w:rsid w:val="004A23B3"/>
    <w:rsid w:val="004A23EF"/>
    <w:rsid w:val="004A23FC"/>
    <w:rsid w:val="004A2513"/>
    <w:rsid w:val="004A2620"/>
    <w:rsid w:val="004A283D"/>
    <w:rsid w:val="004A2A63"/>
    <w:rsid w:val="004A2AB3"/>
    <w:rsid w:val="004A2B2A"/>
    <w:rsid w:val="004A2BB7"/>
    <w:rsid w:val="004A2D01"/>
    <w:rsid w:val="004A33D7"/>
    <w:rsid w:val="004A3499"/>
    <w:rsid w:val="004A34CC"/>
    <w:rsid w:val="004A369E"/>
    <w:rsid w:val="004A37A4"/>
    <w:rsid w:val="004A38F2"/>
    <w:rsid w:val="004A3D0B"/>
    <w:rsid w:val="004A3DC1"/>
    <w:rsid w:val="004A3ECA"/>
    <w:rsid w:val="004A3FA8"/>
    <w:rsid w:val="004A3FB0"/>
    <w:rsid w:val="004A40EC"/>
    <w:rsid w:val="004A410F"/>
    <w:rsid w:val="004A41FA"/>
    <w:rsid w:val="004A4220"/>
    <w:rsid w:val="004A49A9"/>
    <w:rsid w:val="004A4BB2"/>
    <w:rsid w:val="004A4CBD"/>
    <w:rsid w:val="004A4DD5"/>
    <w:rsid w:val="004A4FDB"/>
    <w:rsid w:val="004A561F"/>
    <w:rsid w:val="004A5827"/>
    <w:rsid w:val="004A5857"/>
    <w:rsid w:val="004A58CA"/>
    <w:rsid w:val="004A5919"/>
    <w:rsid w:val="004A598B"/>
    <w:rsid w:val="004A59BD"/>
    <w:rsid w:val="004A5B79"/>
    <w:rsid w:val="004A5F1C"/>
    <w:rsid w:val="004A6250"/>
    <w:rsid w:val="004A6555"/>
    <w:rsid w:val="004A660B"/>
    <w:rsid w:val="004A6667"/>
    <w:rsid w:val="004A67BF"/>
    <w:rsid w:val="004A67D8"/>
    <w:rsid w:val="004A67FF"/>
    <w:rsid w:val="004A69BB"/>
    <w:rsid w:val="004A69F9"/>
    <w:rsid w:val="004A6B86"/>
    <w:rsid w:val="004A6E65"/>
    <w:rsid w:val="004A6E9D"/>
    <w:rsid w:val="004A7081"/>
    <w:rsid w:val="004A708F"/>
    <w:rsid w:val="004A7180"/>
    <w:rsid w:val="004A7465"/>
    <w:rsid w:val="004A7766"/>
    <w:rsid w:val="004A77A3"/>
    <w:rsid w:val="004A782B"/>
    <w:rsid w:val="004A7836"/>
    <w:rsid w:val="004A7879"/>
    <w:rsid w:val="004A7D8F"/>
    <w:rsid w:val="004A7E58"/>
    <w:rsid w:val="004A7FA2"/>
    <w:rsid w:val="004B006F"/>
    <w:rsid w:val="004B010E"/>
    <w:rsid w:val="004B019F"/>
    <w:rsid w:val="004B01AD"/>
    <w:rsid w:val="004B0361"/>
    <w:rsid w:val="004B079E"/>
    <w:rsid w:val="004B07E0"/>
    <w:rsid w:val="004B0808"/>
    <w:rsid w:val="004B08EB"/>
    <w:rsid w:val="004B0943"/>
    <w:rsid w:val="004B0B33"/>
    <w:rsid w:val="004B0D99"/>
    <w:rsid w:val="004B1005"/>
    <w:rsid w:val="004B12AF"/>
    <w:rsid w:val="004B1442"/>
    <w:rsid w:val="004B14B6"/>
    <w:rsid w:val="004B199D"/>
    <w:rsid w:val="004B1AF3"/>
    <w:rsid w:val="004B1B30"/>
    <w:rsid w:val="004B1B66"/>
    <w:rsid w:val="004B2006"/>
    <w:rsid w:val="004B200C"/>
    <w:rsid w:val="004B208F"/>
    <w:rsid w:val="004B20E2"/>
    <w:rsid w:val="004B2156"/>
    <w:rsid w:val="004B22E1"/>
    <w:rsid w:val="004B2347"/>
    <w:rsid w:val="004B2546"/>
    <w:rsid w:val="004B270F"/>
    <w:rsid w:val="004B275C"/>
    <w:rsid w:val="004B2881"/>
    <w:rsid w:val="004B2DCB"/>
    <w:rsid w:val="004B2E07"/>
    <w:rsid w:val="004B2ED6"/>
    <w:rsid w:val="004B3076"/>
    <w:rsid w:val="004B30B2"/>
    <w:rsid w:val="004B3218"/>
    <w:rsid w:val="004B32A6"/>
    <w:rsid w:val="004B368C"/>
    <w:rsid w:val="004B3703"/>
    <w:rsid w:val="004B3909"/>
    <w:rsid w:val="004B3ABE"/>
    <w:rsid w:val="004B3B00"/>
    <w:rsid w:val="004B3B11"/>
    <w:rsid w:val="004B3C01"/>
    <w:rsid w:val="004B3D15"/>
    <w:rsid w:val="004B3D89"/>
    <w:rsid w:val="004B4082"/>
    <w:rsid w:val="004B441F"/>
    <w:rsid w:val="004B4442"/>
    <w:rsid w:val="004B4550"/>
    <w:rsid w:val="004B4582"/>
    <w:rsid w:val="004B45A4"/>
    <w:rsid w:val="004B46FE"/>
    <w:rsid w:val="004B4A38"/>
    <w:rsid w:val="004B4A65"/>
    <w:rsid w:val="004B4C1E"/>
    <w:rsid w:val="004B4C85"/>
    <w:rsid w:val="004B4CA1"/>
    <w:rsid w:val="004B4E09"/>
    <w:rsid w:val="004B4E43"/>
    <w:rsid w:val="004B4EB7"/>
    <w:rsid w:val="004B4EF2"/>
    <w:rsid w:val="004B509A"/>
    <w:rsid w:val="004B50A5"/>
    <w:rsid w:val="004B5103"/>
    <w:rsid w:val="004B5170"/>
    <w:rsid w:val="004B52A2"/>
    <w:rsid w:val="004B530E"/>
    <w:rsid w:val="004B537D"/>
    <w:rsid w:val="004B53FC"/>
    <w:rsid w:val="004B560D"/>
    <w:rsid w:val="004B56A7"/>
    <w:rsid w:val="004B5785"/>
    <w:rsid w:val="004B58E8"/>
    <w:rsid w:val="004B59A8"/>
    <w:rsid w:val="004B59FD"/>
    <w:rsid w:val="004B5C4E"/>
    <w:rsid w:val="004B5E3D"/>
    <w:rsid w:val="004B5E91"/>
    <w:rsid w:val="004B5F11"/>
    <w:rsid w:val="004B6189"/>
    <w:rsid w:val="004B63E8"/>
    <w:rsid w:val="004B64D5"/>
    <w:rsid w:val="004B67B8"/>
    <w:rsid w:val="004B6884"/>
    <w:rsid w:val="004B6B7F"/>
    <w:rsid w:val="004B6CB5"/>
    <w:rsid w:val="004B6D72"/>
    <w:rsid w:val="004B6DDC"/>
    <w:rsid w:val="004B6E6A"/>
    <w:rsid w:val="004B6ECA"/>
    <w:rsid w:val="004B71CC"/>
    <w:rsid w:val="004B7457"/>
    <w:rsid w:val="004B7730"/>
    <w:rsid w:val="004B78DC"/>
    <w:rsid w:val="004B793B"/>
    <w:rsid w:val="004B79E3"/>
    <w:rsid w:val="004B7A72"/>
    <w:rsid w:val="004B7C55"/>
    <w:rsid w:val="004B7D25"/>
    <w:rsid w:val="004B7D91"/>
    <w:rsid w:val="004C007B"/>
    <w:rsid w:val="004C00BB"/>
    <w:rsid w:val="004C0394"/>
    <w:rsid w:val="004C042A"/>
    <w:rsid w:val="004C04B9"/>
    <w:rsid w:val="004C08AD"/>
    <w:rsid w:val="004C0968"/>
    <w:rsid w:val="004C09A3"/>
    <w:rsid w:val="004C0A4F"/>
    <w:rsid w:val="004C0AA3"/>
    <w:rsid w:val="004C0BAF"/>
    <w:rsid w:val="004C0C0F"/>
    <w:rsid w:val="004C0DCB"/>
    <w:rsid w:val="004C0E9D"/>
    <w:rsid w:val="004C0F5F"/>
    <w:rsid w:val="004C0FF5"/>
    <w:rsid w:val="004C1216"/>
    <w:rsid w:val="004C130E"/>
    <w:rsid w:val="004C1698"/>
    <w:rsid w:val="004C18D2"/>
    <w:rsid w:val="004C18E6"/>
    <w:rsid w:val="004C1BC2"/>
    <w:rsid w:val="004C1CCA"/>
    <w:rsid w:val="004C1DE5"/>
    <w:rsid w:val="004C1E19"/>
    <w:rsid w:val="004C1FF6"/>
    <w:rsid w:val="004C2200"/>
    <w:rsid w:val="004C22D6"/>
    <w:rsid w:val="004C2570"/>
    <w:rsid w:val="004C2749"/>
    <w:rsid w:val="004C2842"/>
    <w:rsid w:val="004C2B2C"/>
    <w:rsid w:val="004C308C"/>
    <w:rsid w:val="004C328D"/>
    <w:rsid w:val="004C32BF"/>
    <w:rsid w:val="004C330A"/>
    <w:rsid w:val="004C3350"/>
    <w:rsid w:val="004C33D3"/>
    <w:rsid w:val="004C38DB"/>
    <w:rsid w:val="004C3B40"/>
    <w:rsid w:val="004C3D62"/>
    <w:rsid w:val="004C4173"/>
    <w:rsid w:val="004C446E"/>
    <w:rsid w:val="004C4684"/>
    <w:rsid w:val="004C4726"/>
    <w:rsid w:val="004C4E07"/>
    <w:rsid w:val="004C4E9D"/>
    <w:rsid w:val="004C516D"/>
    <w:rsid w:val="004C5295"/>
    <w:rsid w:val="004C54EE"/>
    <w:rsid w:val="004C55F0"/>
    <w:rsid w:val="004C55F9"/>
    <w:rsid w:val="004C5641"/>
    <w:rsid w:val="004C568F"/>
    <w:rsid w:val="004C58E6"/>
    <w:rsid w:val="004C5913"/>
    <w:rsid w:val="004C5993"/>
    <w:rsid w:val="004C5A19"/>
    <w:rsid w:val="004C5BC8"/>
    <w:rsid w:val="004C5FD3"/>
    <w:rsid w:val="004C5FDE"/>
    <w:rsid w:val="004C613D"/>
    <w:rsid w:val="004C62A0"/>
    <w:rsid w:val="004C6488"/>
    <w:rsid w:val="004C655E"/>
    <w:rsid w:val="004C68D3"/>
    <w:rsid w:val="004C69A2"/>
    <w:rsid w:val="004C6A87"/>
    <w:rsid w:val="004C6AB5"/>
    <w:rsid w:val="004C6C2E"/>
    <w:rsid w:val="004C6C93"/>
    <w:rsid w:val="004C6CAF"/>
    <w:rsid w:val="004C6E2B"/>
    <w:rsid w:val="004C7135"/>
    <w:rsid w:val="004C7220"/>
    <w:rsid w:val="004C7532"/>
    <w:rsid w:val="004C7780"/>
    <w:rsid w:val="004C77DF"/>
    <w:rsid w:val="004C7C90"/>
    <w:rsid w:val="004C7C9D"/>
    <w:rsid w:val="004C7DBC"/>
    <w:rsid w:val="004C7DF3"/>
    <w:rsid w:val="004D0185"/>
    <w:rsid w:val="004D02F2"/>
    <w:rsid w:val="004D03EE"/>
    <w:rsid w:val="004D043F"/>
    <w:rsid w:val="004D05A3"/>
    <w:rsid w:val="004D05B2"/>
    <w:rsid w:val="004D0748"/>
    <w:rsid w:val="004D0A53"/>
    <w:rsid w:val="004D0C52"/>
    <w:rsid w:val="004D0C66"/>
    <w:rsid w:val="004D0DF9"/>
    <w:rsid w:val="004D0EA2"/>
    <w:rsid w:val="004D0EC9"/>
    <w:rsid w:val="004D0FA9"/>
    <w:rsid w:val="004D104A"/>
    <w:rsid w:val="004D1054"/>
    <w:rsid w:val="004D108E"/>
    <w:rsid w:val="004D121C"/>
    <w:rsid w:val="004D1259"/>
    <w:rsid w:val="004D1411"/>
    <w:rsid w:val="004D15AC"/>
    <w:rsid w:val="004D180C"/>
    <w:rsid w:val="004D1B98"/>
    <w:rsid w:val="004D1CD2"/>
    <w:rsid w:val="004D1D95"/>
    <w:rsid w:val="004D1E89"/>
    <w:rsid w:val="004D1EEC"/>
    <w:rsid w:val="004D201B"/>
    <w:rsid w:val="004D221C"/>
    <w:rsid w:val="004D223D"/>
    <w:rsid w:val="004D22A2"/>
    <w:rsid w:val="004D2337"/>
    <w:rsid w:val="004D2772"/>
    <w:rsid w:val="004D2831"/>
    <w:rsid w:val="004D2857"/>
    <w:rsid w:val="004D2986"/>
    <w:rsid w:val="004D2A66"/>
    <w:rsid w:val="004D2B52"/>
    <w:rsid w:val="004D2B57"/>
    <w:rsid w:val="004D2B69"/>
    <w:rsid w:val="004D2BA7"/>
    <w:rsid w:val="004D2C35"/>
    <w:rsid w:val="004D2D48"/>
    <w:rsid w:val="004D2F69"/>
    <w:rsid w:val="004D30C7"/>
    <w:rsid w:val="004D31EA"/>
    <w:rsid w:val="004D37AA"/>
    <w:rsid w:val="004D3819"/>
    <w:rsid w:val="004D3854"/>
    <w:rsid w:val="004D3AFD"/>
    <w:rsid w:val="004D3B3F"/>
    <w:rsid w:val="004D41A6"/>
    <w:rsid w:val="004D4287"/>
    <w:rsid w:val="004D441E"/>
    <w:rsid w:val="004D46E3"/>
    <w:rsid w:val="004D46EB"/>
    <w:rsid w:val="004D4739"/>
    <w:rsid w:val="004D477E"/>
    <w:rsid w:val="004D4E56"/>
    <w:rsid w:val="004D4F79"/>
    <w:rsid w:val="004D5028"/>
    <w:rsid w:val="004D507B"/>
    <w:rsid w:val="004D52FE"/>
    <w:rsid w:val="004D5496"/>
    <w:rsid w:val="004D5528"/>
    <w:rsid w:val="004D58FB"/>
    <w:rsid w:val="004D5AE4"/>
    <w:rsid w:val="004D5BBC"/>
    <w:rsid w:val="004D5C9A"/>
    <w:rsid w:val="004D5D6C"/>
    <w:rsid w:val="004D5E4F"/>
    <w:rsid w:val="004D603F"/>
    <w:rsid w:val="004D608C"/>
    <w:rsid w:val="004D6139"/>
    <w:rsid w:val="004D62C5"/>
    <w:rsid w:val="004D653C"/>
    <w:rsid w:val="004D6604"/>
    <w:rsid w:val="004D671D"/>
    <w:rsid w:val="004D67B9"/>
    <w:rsid w:val="004D67DB"/>
    <w:rsid w:val="004D6E1C"/>
    <w:rsid w:val="004D6F9B"/>
    <w:rsid w:val="004D721B"/>
    <w:rsid w:val="004D72F4"/>
    <w:rsid w:val="004D730A"/>
    <w:rsid w:val="004D759E"/>
    <w:rsid w:val="004D7C4B"/>
    <w:rsid w:val="004D7DCB"/>
    <w:rsid w:val="004E00B1"/>
    <w:rsid w:val="004E0221"/>
    <w:rsid w:val="004E04B4"/>
    <w:rsid w:val="004E0668"/>
    <w:rsid w:val="004E06B3"/>
    <w:rsid w:val="004E06CF"/>
    <w:rsid w:val="004E075F"/>
    <w:rsid w:val="004E0A33"/>
    <w:rsid w:val="004E0B35"/>
    <w:rsid w:val="004E0E30"/>
    <w:rsid w:val="004E0ED4"/>
    <w:rsid w:val="004E10B2"/>
    <w:rsid w:val="004E10D1"/>
    <w:rsid w:val="004E110F"/>
    <w:rsid w:val="004E1143"/>
    <w:rsid w:val="004E1187"/>
    <w:rsid w:val="004E137D"/>
    <w:rsid w:val="004E1391"/>
    <w:rsid w:val="004E1450"/>
    <w:rsid w:val="004E1B15"/>
    <w:rsid w:val="004E1E95"/>
    <w:rsid w:val="004E2406"/>
    <w:rsid w:val="004E24C6"/>
    <w:rsid w:val="004E2510"/>
    <w:rsid w:val="004E27A8"/>
    <w:rsid w:val="004E29C7"/>
    <w:rsid w:val="004E2A98"/>
    <w:rsid w:val="004E2B3C"/>
    <w:rsid w:val="004E2BA5"/>
    <w:rsid w:val="004E2C33"/>
    <w:rsid w:val="004E2E11"/>
    <w:rsid w:val="004E2E43"/>
    <w:rsid w:val="004E2F3E"/>
    <w:rsid w:val="004E308F"/>
    <w:rsid w:val="004E327F"/>
    <w:rsid w:val="004E3410"/>
    <w:rsid w:val="004E3581"/>
    <w:rsid w:val="004E35B7"/>
    <w:rsid w:val="004E367E"/>
    <w:rsid w:val="004E3750"/>
    <w:rsid w:val="004E3950"/>
    <w:rsid w:val="004E3B6A"/>
    <w:rsid w:val="004E3CA8"/>
    <w:rsid w:val="004E3D01"/>
    <w:rsid w:val="004E3D68"/>
    <w:rsid w:val="004E3E83"/>
    <w:rsid w:val="004E3F2B"/>
    <w:rsid w:val="004E3FD5"/>
    <w:rsid w:val="004E4210"/>
    <w:rsid w:val="004E438A"/>
    <w:rsid w:val="004E43FF"/>
    <w:rsid w:val="004E4571"/>
    <w:rsid w:val="004E47F7"/>
    <w:rsid w:val="004E4AE9"/>
    <w:rsid w:val="004E4BCD"/>
    <w:rsid w:val="004E52D2"/>
    <w:rsid w:val="004E554C"/>
    <w:rsid w:val="004E5571"/>
    <w:rsid w:val="004E5679"/>
    <w:rsid w:val="004E578E"/>
    <w:rsid w:val="004E59DC"/>
    <w:rsid w:val="004E5C96"/>
    <w:rsid w:val="004E607B"/>
    <w:rsid w:val="004E6150"/>
    <w:rsid w:val="004E6272"/>
    <w:rsid w:val="004E64A5"/>
    <w:rsid w:val="004E64AE"/>
    <w:rsid w:val="004E65BC"/>
    <w:rsid w:val="004E668A"/>
    <w:rsid w:val="004E66DC"/>
    <w:rsid w:val="004E6AD0"/>
    <w:rsid w:val="004E6D54"/>
    <w:rsid w:val="004E6E30"/>
    <w:rsid w:val="004E6FC6"/>
    <w:rsid w:val="004E6FCD"/>
    <w:rsid w:val="004E70F5"/>
    <w:rsid w:val="004E7483"/>
    <w:rsid w:val="004E78CC"/>
    <w:rsid w:val="004E7956"/>
    <w:rsid w:val="004E795C"/>
    <w:rsid w:val="004E79C0"/>
    <w:rsid w:val="004E7A53"/>
    <w:rsid w:val="004E7AD1"/>
    <w:rsid w:val="004E7B28"/>
    <w:rsid w:val="004E7DB9"/>
    <w:rsid w:val="004E7E5A"/>
    <w:rsid w:val="004E7F64"/>
    <w:rsid w:val="004F0029"/>
    <w:rsid w:val="004F04B1"/>
    <w:rsid w:val="004F0757"/>
    <w:rsid w:val="004F0972"/>
    <w:rsid w:val="004F0B28"/>
    <w:rsid w:val="004F0B86"/>
    <w:rsid w:val="004F0D10"/>
    <w:rsid w:val="004F0D5A"/>
    <w:rsid w:val="004F0EFD"/>
    <w:rsid w:val="004F1114"/>
    <w:rsid w:val="004F1133"/>
    <w:rsid w:val="004F117A"/>
    <w:rsid w:val="004F125D"/>
    <w:rsid w:val="004F13B6"/>
    <w:rsid w:val="004F14EE"/>
    <w:rsid w:val="004F1501"/>
    <w:rsid w:val="004F189C"/>
    <w:rsid w:val="004F18CB"/>
    <w:rsid w:val="004F1BEC"/>
    <w:rsid w:val="004F1C83"/>
    <w:rsid w:val="004F1CC4"/>
    <w:rsid w:val="004F2123"/>
    <w:rsid w:val="004F21C3"/>
    <w:rsid w:val="004F2299"/>
    <w:rsid w:val="004F255F"/>
    <w:rsid w:val="004F2582"/>
    <w:rsid w:val="004F2613"/>
    <w:rsid w:val="004F264A"/>
    <w:rsid w:val="004F2AC5"/>
    <w:rsid w:val="004F2CD1"/>
    <w:rsid w:val="004F2D73"/>
    <w:rsid w:val="004F2F26"/>
    <w:rsid w:val="004F301F"/>
    <w:rsid w:val="004F3022"/>
    <w:rsid w:val="004F30E7"/>
    <w:rsid w:val="004F3232"/>
    <w:rsid w:val="004F327A"/>
    <w:rsid w:val="004F33BB"/>
    <w:rsid w:val="004F347E"/>
    <w:rsid w:val="004F34B4"/>
    <w:rsid w:val="004F35A4"/>
    <w:rsid w:val="004F36AB"/>
    <w:rsid w:val="004F3753"/>
    <w:rsid w:val="004F38EF"/>
    <w:rsid w:val="004F3C9C"/>
    <w:rsid w:val="004F3D30"/>
    <w:rsid w:val="004F3E6D"/>
    <w:rsid w:val="004F3F0E"/>
    <w:rsid w:val="004F3F95"/>
    <w:rsid w:val="004F404A"/>
    <w:rsid w:val="004F412E"/>
    <w:rsid w:val="004F421B"/>
    <w:rsid w:val="004F4484"/>
    <w:rsid w:val="004F4491"/>
    <w:rsid w:val="004F4513"/>
    <w:rsid w:val="004F4611"/>
    <w:rsid w:val="004F4671"/>
    <w:rsid w:val="004F4871"/>
    <w:rsid w:val="004F49C3"/>
    <w:rsid w:val="004F4B4C"/>
    <w:rsid w:val="004F4BB5"/>
    <w:rsid w:val="004F4D99"/>
    <w:rsid w:val="004F4EAE"/>
    <w:rsid w:val="004F50D2"/>
    <w:rsid w:val="004F5224"/>
    <w:rsid w:val="004F526E"/>
    <w:rsid w:val="004F5312"/>
    <w:rsid w:val="004F5449"/>
    <w:rsid w:val="004F56F8"/>
    <w:rsid w:val="004F5862"/>
    <w:rsid w:val="004F5915"/>
    <w:rsid w:val="004F5B96"/>
    <w:rsid w:val="004F5BA3"/>
    <w:rsid w:val="004F5D00"/>
    <w:rsid w:val="004F5F1E"/>
    <w:rsid w:val="004F5FCC"/>
    <w:rsid w:val="004F64C2"/>
    <w:rsid w:val="004F6516"/>
    <w:rsid w:val="004F6640"/>
    <w:rsid w:val="004F6676"/>
    <w:rsid w:val="004F67D8"/>
    <w:rsid w:val="004F697D"/>
    <w:rsid w:val="004F6BC2"/>
    <w:rsid w:val="004F6DA7"/>
    <w:rsid w:val="004F6E2D"/>
    <w:rsid w:val="004F6E32"/>
    <w:rsid w:val="004F73A7"/>
    <w:rsid w:val="004F7520"/>
    <w:rsid w:val="004F7573"/>
    <w:rsid w:val="004F76AD"/>
    <w:rsid w:val="004F7703"/>
    <w:rsid w:val="004F782C"/>
    <w:rsid w:val="004F78D1"/>
    <w:rsid w:val="004F7929"/>
    <w:rsid w:val="004F7AE7"/>
    <w:rsid w:val="004F7B36"/>
    <w:rsid w:val="004F7D40"/>
    <w:rsid w:val="004F7D9A"/>
    <w:rsid w:val="004F7DB8"/>
    <w:rsid w:val="004F7E97"/>
    <w:rsid w:val="004F7F31"/>
    <w:rsid w:val="00500463"/>
    <w:rsid w:val="005007F7"/>
    <w:rsid w:val="00500A11"/>
    <w:rsid w:val="00500A70"/>
    <w:rsid w:val="00500FA1"/>
    <w:rsid w:val="00500FA4"/>
    <w:rsid w:val="005010DC"/>
    <w:rsid w:val="00501237"/>
    <w:rsid w:val="00501AE2"/>
    <w:rsid w:val="00501AE6"/>
    <w:rsid w:val="00501B53"/>
    <w:rsid w:val="00501DE7"/>
    <w:rsid w:val="005021C3"/>
    <w:rsid w:val="0050233F"/>
    <w:rsid w:val="005024AE"/>
    <w:rsid w:val="0050256B"/>
    <w:rsid w:val="005027F2"/>
    <w:rsid w:val="005028A9"/>
    <w:rsid w:val="00502AA1"/>
    <w:rsid w:val="00502AF5"/>
    <w:rsid w:val="00502C10"/>
    <w:rsid w:val="00502DFA"/>
    <w:rsid w:val="00502F57"/>
    <w:rsid w:val="0050303E"/>
    <w:rsid w:val="00503071"/>
    <w:rsid w:val="00503137"/>
    <w:rsid w:val="005031FB"/>
    <w:rsid w:val="005035F4"/>
    <w:rsid w:val="005037AA"/>
    <w:rsid w:val="00503C2E"/>
    <w:rsid w:val="00503C4D"/>
    <w:rsid w:val="00503C70"/>
    <w:rsid w:val="00503D16"/>
    <w:rsid w:val="00503FF0"/>
    <w:rsid w:val="00504186"/>
    <w:rsid w:val="0050464E"/>
    <w:rsid w:val="00504769"/>
    <w:rsid w:val="005047FC"/>
    <w:rsid w:val="005048A9"/>
    <w:rsid w:val="0050498A"/>
    <w:rsid w:val="00504B07"/>
    <w:rsid w:val="00504DD9"/>
    <w:rsid w:val="00504EC1"/>
    <w:rsid w:val="00504F71"/>
    <w:rsid w:val="00504F83"/>
    <w:rsid w:val="00504F91"/>
    <w:rsid w:val="005052C7"/>
    <w:rsid w:val="00505454"/>
    <w:rsid w:val="005059BA"/>
    <w:rsid w:val="00505B8B"/>
    <w:rsid w:val="00505D23"/>
    <w:rsid w:val="00505DF2"/>
    <w:rsid w:val="00505F63"/>
    <w:rsid w:val="00505FC8"/>
    <w:rsid w:val="00506205"/>
    <w:rsid w:val="00506374"/>
    <w:rsid w:val="005067DC"/>
    <w:rsid w:val="005067F9"/>
    <w:rsid w:val="0050683C"/>
    <w:rsid w:val="005068BA"/>
    <w:rsid w:val="0050697B"/>
    <w:rsid w:val="00506E2B"/>
    <w:rsid w:val="00506FBA"/>
    <w:rsid w:val="00507B24"/>
    <w:rsid w:val="00507CA1"/>
    <w:rsid w:val="00507F91"/>
    <w:rsid w:val="0051000A"/>
    <w:rsid w:val="0051016D"/>
    <w:rsid w:val="005101A9"/>
    <w:rsid w:val="00510221"/>
    <w:rsid w:val="005103AC"/>
    <w:rsid w:val="0051085B"/>
    <w:rsid w:val="0051094D"/>
    <w:rsid w:val="00510C79"/>
    <w:rsid w:val="00510DB7"/>
    <w:rsid w:val="00510F12"/>
    <w:rsid w:val="00511656"/>
    <w:rsid w:val="0051166B"/>
    <w:rsid w:val="00511BD0"/>
    <w:rsid w:val="00511C94"/>
    <w:rsid w:val="00511D75"/>
    <w:rsid w:val="00511E61"/>
    <w:rsid w:val="00511EA1"/>
    <w:rsid w:val="005121FD"/>
    <w:rsid w:val="00512226"/>
    <w:rsid w:val="005123BB"/>
    <w:rsid w:val="00512577"/>
    <w:rsid w:val="0051260F"/>
    <w:rsid w:val="00512887"/>
    <w:rsid w:val="00512BA9"/>
    <w:rsid w:val="00512C4A"/>
    <w:rsid w:val="00512CED"/>
    <w:rsid w:val="005132EA"/>
    <w:rsid w:val="005137B7"/>
    <w:rsid w:val="005138BA"/>
    <w:rsid w:val="00513931"/>
    <w:rsid w:val="00513B88"/>
    <w:rsid w:val="00513CA2"/>
    <w:rsid w:val="00513CC4"/>
    <w:rsid w:val="00514206"/>
    <w:rsid w:val="00514228"/>
    <w:rsid w:val="005142FB"/>
    <w:rsid w:val="0051430B"/>
    <w:rsid w:val="005146E4"/>
    <w:rsid w:val="0051471D"/>
    <w:rsid w:val="00514A05"/>
    <w:rsid w:val="00514AB3"/>
    <w:rsid w:val="00514CB6"/>
    <w:rsid w:val="0051514E"/>
    <w:rsid w:val="00515499"/>
    <w:rsid w:val="005155CB"/>
    <w:rsid w:val="005155E0"/>
    <w:rsid w:val="005156D5"/>
    <w:rsid w:val="005157A4"/>
    <w:rsid w:val="00515B07"/>
    <w:rsid w:val="00515BA5"/>
    <w:rsid w:val="00515CD7"/>
    <w:rsid w:val="00515D76"/>
    <w:rsid w:val="00515EBF"/>
    <w:rsid w:val="005163C5"/>
    <w:rsid w:val="00516473"/>
    <w:rsid w:val="005167A1"/>
    <w:rsid w:val="00516806"/>
    <w:rsid w:val="0051683F"/>
    <w:rsid w:val="005168BA"/>
    <w:rsid w:val="005168C3"/>
    <w:rsid w:val="00516F38"/>
    <w:rsid w:val="00516FE5"/>
    <w:rsid w:val="00517017"/>
    <w:rsid w:val="005170B5"/>
    <w:rsid w:val="005171D3"/>
    <w:rsid w:val="005172BC"/>
    <w:rsid w:val="005173FB"/>
    <w:rsid w:val="00517429"/>
    <w:rsid w:val="005175D6"/>
    <w:rsid w:val="0051767A"/>
    <w:rsid w:val="005176B2"/>
    <w:rsid w:val="0051779A"/>
    <w:rsid w:val="0051783C"/>
    <w:rsid w:val="00517D37"/>
    <w:rsid w:val="00517E2A"/>
    <w:rsid w:val="00517F15"/>
    <w:rsid w:val="00517FAD"/>
    <w:rsid w:val="00520338"/>
    <w:rsid w:val="005206B8"/>
    <w:rsid w:val="005207A6"/>
    <w:rsid w:val="00520B40"/>
    <w:rsid w:val="00520BE8"/>
    <w:rsid w:val="00520CF0"/>
    <w:rsid w:val="00520D85"/>
    <w:rsid w:val="00520DAC"/>
    <w:rsid w:val="00520DB8"/>
    <w:rsid w:val="00520E4D"/>
    <w:rsid w:val="00520E85"/>
    <w:rsid w:val="00521068"/>
    <w:rsid w:val="005210EF"/>
    <w:rsid w:val="005212D9"/>
    <w:rsid w:val="005212EA"/>
    <w:rsid w:val="005212FA"/>
    <w:rsid w:val="005214F0"/>
    <w:rsid w:val="0052181D"/>
    <w:rsid w:val="005218F6"/>
    <w:rsid w:val="005219D2"/>
    <w:rsid w:val="00521B06"/>
    <w:rsid w:val="00521C37"/>
    <w:rsid w:val="00521D97"/>
    <w:rsid w:val="00521F56"/>
    <w:rsid w:val="00522098"/>
    <w:rsid w:val="00522156"/>
    <w:rsid w:val="00522284"/>
    <w:rsid w:val="005222B5"/>
    <w:rsid w:val="00522374"/>
    <w:rsid w:val="00522598"/>
    <w:rsid w:val="00522734"/>
    <w:rsid w:val="0052296B"/>
    <w:rsid w:val="00522BA1"/>
    <w:rsid w:val="00522F72"/>
    <w:rsid w:val="00523157"/>
    <w:rsid w:val="0052321E"/>
    <w:rsid w:val="00523312"/>
    <w:rsid w:val="005233EC"/>
    <w:rsid w:val="0052341F"/>
    <w:rsid w:val="0052350B"/>
    <w:rsid w:val="005235EA"/>
    <w:rsid w:val="0052384C"/>
    <w:rsid w:val="005238B9"/>
    <w:rsid w:val="00523DB7"/>
    <w:rsid w:val="0052402D"/>
    <w:rsid w:val="00524276"/>
    <w:rsid w:val="00524328"/>
    <w:rsid w:val="0052433B"/>
    <w:rsid w:val="00524443"/>
    <w:rsid w:val="00524507"/>
    <w:rsid w:val="00524755"/>
    <w:rsid w:val="005248C0"/>
    <w:rsid w:val="005249BE"/>
    <w:rsid w:val="00524CCB"/>
    <w:rsid w:val="00524CFE"/>
    <w:rsid w:val="00524E51"/>
    <w:rsid w:val="005251C6"/>
    <w:rsid w:val="0052545B"/>
    <w:rsid w:val="00525549"/>
    <w:rsid w:val="005257E0"/>
    <w:rsid w:val="00525861"/>
    <w:rsid w:val="00525B8F"/>
    <w:rsid w:val="00525E95"/>
    <w:rsid w:val="0052603B"/>
    <w:rsid w:val="00526117"/>
    <w:rsid w:val="0052616D"/>
    <w:rsid w:val="005261DC"/>
    <w:rsid w:val="005261DE"/>
    <w:rsid w:val="005262F3"/>
    <w:rsid w:val="00526327"/>
    <w:rsid w:val="00526388"/>
    <w:rsid w:val="00526683"/>
    <w:rsid w:val="00526AFF"/>
    <w:rsid w:val="00526DE0"/>
    <w:rsid w:val="00526F37"/>
    <w:rsid w:val="00526F78"/>
    <w:rsid w:val="00527283"/>
    <w:rsid w:val="005272C6"/>
    <w:rsid w:val="0052746B"/>
    <w:rsid w:val="0052767A"/>
    <w:rsid w:val="0052774F"/>
    <w:rsid w:val="005278B2"/>
    <w:rsid w:val="0052798C"/>
    <w:rsid w:val="00527AB2"/>
    <w:rsid w:val="00527CE5"/>
    <w:rsid w:val="00527E6B"/>
    <w:rsid w:val="00527EC1"/>
    <w:rsid w:val="00530009"/>
    <w:rsid w:val="00530216"/>
    <w:rsid w:val="00530281"/>
    <w:rsid w:val="005303D2"/>
    <w:rsid w:val="0053040A"/>
    <w:rsid w:val="0053043A"/>
    <w:rsid w:val="00530660"/>
    <w:rsid w:val="0053066C"/>
    <w:rsid w:val="005306E9"/>
    <w:rsid w:val="0053093B"/>
    <w:rsid w:val="00530C73"/>
    <w:rsid w:val="00530CBA"/>
    <w:rsid w:val="00530FF6"/>
    <w:rsid w:val="00531209"/>
    <w:rsid w:val="00531236"/>
    <w:rsid w:val="0053126B"/>
    <w:rsid w:val="0053127E"/>
    <w:rsid w:val="00531551"/>
    <w:rsid w:val="005315FA"/>
    <w:rsid w:val="0053170F"/>
    <w:rsid w:val="005319FF"/>
    <w:rsid w:val="00531BC7"/>
    <w:rsid w:val="00531F72"/>
    <w:rsid w:val="005323FF"/>
    <w:rsid w:val="00532822"/>
    <w:rsid w:val="00532BEA"/>
    <w:rsid w:val="00532F50"/>
    <w:rsid w:val="005335E2"/>
    <w:rsid w:val="00533635"/>
    <w:rsid w:val="005336B7"/>
    <w:rsid w:val="005337EB"/>
    <w:rsid w:val="00533AC6"/>
    <w:rsid w:val="00533C7B"/>
    <w:rsid w:val="00533DF0"/>
    <w:rsid w:val="00533DFA"/>
    <w:rsid w:val="00533E49"/>
    <w:rsid w:val="00533F08"/>
    <w:rsid w:val="00533F7E"/>
    <w:rsid w:val="0053403A"/>
    <w:rsid w:val="00534351"/>
    <w:rsid w:val="0053449E"/>
    <w:rsid w:val="00534622"/>
    <w:rsid w:val="005346DF"/>
    <w:rsid w:val="00534783"/>
    <w:rsid w:val="005347BF"/>
    <w:rsid w:val="0053481B"/>
    <w:rsid w:val="00534898"/>
    <w:rsid w:val="00534A93"/>
    <w:rsid w:val="00534BDF"/>
    <w:rsid w:val="00534CC1"/>
    <w:rsid w:val="00534DD9"/>
    <w:rsid w:val="00534EF2"/>
    <w:rsid w:val="0053542E"/>
    <w:rsid w:val="005354BC"/>
    <w:rsid w:val="005359AB"/>
    <w:rsid w:val="00535A12"/>
    <w:rsid w:val="00535CDA"/>
    <w:rsid w:val="00535DB7"/>
    <w:rsid w:val="00535FC8"/>
    <w:rsid w:val="00536163"/>
    <w:rsid w:val="005361A0"/>
    <w:rsid w:val="00536275"/>
    <w:rsid w:val="00536434"/>
    <w:rsid w:val="005364A7"/>
    <w:rsid w:val="005364BF"/>
    <w:rsid w:val="00536630"/>
    <w:rsid w:val="00536747"/>
    <w:rsid w:val="00536873"/>
    <w:rsid w:val="005368B1"/>
    <w:rsid w:val="00536A1C"/>
    <w:rsid w:val="00536A64"/>
    <w:rsid w:val="00536AFC"/>
    <w:rsid w:val="00536BEB"/>
    <w:rsid w:val="00536C2D"/>
    <w:rsid w:val="00536DA9"/>
    <w:rsid w:val="00536DD3"/>
    <w:rsid w:val="00536F5B"/>
    <w:rsid w:val="00536FCB"/>
    <w:rsid w:val="00536FE9"/>
    <w:rsid w:val="005372AF"/>
    <w:rsid w:val="005372C1"/>
    <w:rsid w:val="00537304"/>
    <w:rsid w:val="00537438"/>
    <w:rsid w:val="0053746D"/>
    <w:rsid w:val="005375A5"/>
    <w:rsid w:val="0053761F"/>
    <w:rsid w:val="005376DC"/>
    <w:rsid w:val="00537764"/>
    <w:rsid w:val="00537976"/>
    <w:rsid w:val="00537A06"/>
    <w:rsid w:val="00537A80"/>
    <w:rsid w:val="00537AC5"/>
    <w:rsid w:val="00537C3B"/>
    <w:rsid w:val="00537CF4"/>
    <w:rsid w:val="00537D5D"/>
    <w:rsid w:val="00540051"/>
    <w:rsid w:val="005400E5"/>
    <w:rsid w:val="005401A2"/>
    <w:rsid w:val="0054034B"/>
    <w:rsid w:val="005405A7"/>
    <w:rsid w:val="00540A99"/>
    <w:rsid w:val="00540AAD"/>
    <w:rsid w:val="00540B0A"/>
    <w:rsid w:val="00540B79"/>
    <w:rsid w:val="00540C62"/>
    <w:rsid w:val="00540E00"/>
    <w:rsid w:val="00540EF5"/>
    <w:rsid w:val="00540EF9"/>
    <w:rsid w:val="005410AF"/>
    <w:rsid w:val="005410BE"/>
    <w:rsid w:val="00541112"/>
    <w:rsid w:val="00541300"/>
    <w:rsid w:val="0054150D"/>
    <w:rsid w:val="005415AF"/>
    <w:rsid w:val="005415BC"/>
    <w:rsid w:val="005415D1"/>
    <w:rsid w:val="00541607"/>
    <w:rsid w:val="00541704"/>
    <w:rsid w:val="005417B9"/>
    <w:rsid w:val="0054181F"/>
    <w:rsid w:val="0054182B"/>
    <w:rsid w:val="00541C08"/>
    <w:rsid w:val="00541E44"/>
    <w:rsid w:val="00541E46"/>
    <w:rsid w:val="00541E5F"/>
    <w:rsid w:val="00541F99"/>
    <w:rsid w:val="0054202D"/>
    <w:rsid w:val="00542473"/>
    <w:rsid w:val="0054248A"/>
    <w:rsid w:val="0054262F"/>
    <w:rsid w:val="005429C6"/>
    <w:rsid w:val="00542D04"/>
    <w:rsid w:val="00542D38"/>
    <w:rsid w:val="00542E75"/>
    <w:rsid w:val="00542EF8"/>
    <w:rsid w:val="00542FA8"/>
    <w:rsid w:val="00542FCD"/>
    <w:rsid w:val="005431E2"/>
    <w:rsid w:val="0054325C"/>
    <w:rsid w:val="00543285"/>
    <w:rsid w:val="00543305"/>
    <w:rsid w:val="00543649"/>
    <w:rsid w:val="00543719"/>
    <w:rsid w:val="00543A38"/>
    <w:rsid w:val="00543EFD"/>
    <w:rsid w:val="00543F7C"/>
    <w:rsid w:val="00543FA5"/>
    <w:rsid w:val="0054414A"/>
    <w:rsid w:val="00544534"/>
    <w:rsid w:val="005446AC"/>
    <w:rsid w:val="005446CC"/>
    <w:rsid w:val="00544C62"/>
    <w:rsid w:val="00544D44"/>
    <w:rsid w:val="00544E97"/>
    <w:rsid w:val="00544EE2"/>
    <w:rsid w:val="00544F45"/>
    <w:rsid w:val="00545039"/>
    <w:rsid w:val="00545539"/>
    <w:rsid w:val="0054571E"/>
    <w:rsid w:val="005457FE"/>
    <w:rsid w:val="00545982"/>
    <w:rsid w:val="005459E2"/>
    <w:rsid w:val="00545C16"/>
    <w:rsid w:val="00545DB6"/>
    <w:rsid w:val="00545DEB"/>
    <w:rsid w:val="005460F4"/>
    <w:rsid w:val="0054628D"/>
    <w:rsid w:val="005463B5"/>
    <w:rsid w:val="005464B9"/>
    <w:rsid w:val="005467AA"/>
    <w:rsid w:val="0054696A"/>
    <w:rsid w:val="005469E1"/>
    <w:rsid w:val="00546B69"/>
    <w:rsid w:val="00546BBB"/>
    <w:rsid w:val="00546CA8"/>
    <w:rsid w:val="00546F53"/>
    <w:rsid w:val="00546FB2"/>
    <w:rsid w:val="00547156"/>
    <w:rsid w:val="005471A2"/>
    <w:rsid w:val="00547335"/>
    <w:rsid w:val="0054734B"/>
    <w:rsid w:val="00547385"/>
    <w:rsid w:val="005473DB"/>
    <w:rsid w:val="0054762D"/>
    <w:rsid w:val="00547946"/>
    <w:rsid w:val="00547ACB"/>
    <w:rsid w:val="00547D08"/>
    <w:rsid w:val="00547DA2"/>
    <w:rsid w:val="00547E53"/>
    <w:rsid w:val="00550074"/>
    <w:rsid w:val="00550216"/>
    <w:rsid w:val="005502C5"/>
    <w:rsid w:val="0055047D"/>
    <w:rsid w:val="005506E3"/>
    <w:rsid w:val="005507DA"/>
    <w:rsid w:val="00550C14"/>
    <w:rsid w:val="00550C4E"/>
    <w:rsid w:val="00550DBB"/>
    <w:rsid w:val="00550DCD"/>
    <w:rsid w:val="00551071"/>
    <w:rsid w:val="005511A1"/>
    <w:rsid w:val="005512B7"/>
    <w:rsid w:val="005514D5"/>
    <w:rsid w:val="00551594"/>
    <w:rsid w:val="005517AC"/>
    <w:rsid w:val="00551803"/>
    <w:rsid w:val="00551A0E"/>
    <w:rsid w:val="00551D76"/>
    <w:rsid w:val="005520AF"/>
    <w:rsid w:val="0055249A"/>
    <w:rsid w:val="0055267A"/>
    <w:rsid w:val="0055274E"/>
    <w:rsid w:val="00552884"/>
    <w:rsid w:val="00552B07"/>
    <w:rsid w:val="00552B63"/>
    <w:rsid w:val="00552C3C"/>
    <w:rsid w:val="00552E63"/>
    <w:rsid w:val="005531DD"/>
    <w:rsid w:val="0055329D"/>
    <w:rsid w:val="00553384"/>
    <w:rsid w:val="0055372A"/>
    <w:rsid w:val="00553801"/>
    <w:rsid w:val="00553959"/>
    <w:rsid w:val="00553A88"/>
    <w:rsid w:val="00553AA9"/>
    <w:rsid w:val="00553B55"/>
    <w:rsid w:val="00553B90"/>
    <w:rsid w:val="00553C5E"/>
    <w:rsid w:val="00554104"/>
    <w:rsid w:val="0055435C"/>
    <w:rsid w:val="005543F9"/>
    <w:rsid w:val="00554513"/>
    <w:rsid w:val="00554884"/>
    <w:rsid w:val="005548CD"/>
    <w:rsid w:val="005549C8"/>
    <w:rsid w:val="00554A5D"/>
    <w:rsid w:val="00554AA4"/>
    <w:rsid w:val="00554C0C"/>
    <w:rsid w:val="00554C9C"/>
    <w:rsid w:val="00554DF0"/>
    <w:rsid w:val="0055518B"/>
    <w:rsid w:val="00555494"/>
    <w:rsid w:val="005554EA"/>
    <w:rsid w:val="0055577C"/>
    <w:rsid w:val="005559E8"/>
    <w:rsid w:val="00555CDA"/>
    <w:rsid w:val="00555D2C"/>
    <w:rsid w:val="00555DB7"/>
    <w:rsid w:val="00556046"/>
    <w:rsid w:val="005561D4"/>
    <w:rsid w:val="00556247"/>
    <w:rsid w:val="00556278"/>
    <w:rsid w:val="00556786"/>
    <w:rsid w:val="0055678D"/>
    <w:rsid w:val="0055688C"/>
    <w:rsid w:val="005568BF"/>
    <w:rsid w:val="00556C80"/>
    <w:rsid w:val="00556E53"/>
    <w:rsid w:val="005570E2"/>
    <w:rsid w:val="00557224"/>
    <w:rsid w:val="00557292"/>
    <w:rsid w:val="00557681"/>
    <w:rsid w:val="00557895"/>
    <w:rsid w:val="00557946"/>
    <w:rsid w:val="00557B55"/>
    <w:rsid w:val="00557B68"/>
    <w:rsid w:val="00557C9F"/>
    <w:rsid w:val="00560013"/>
    <w:rsid w:val="0056043D"/>
    <w:rsid w:val="00560506"/>
    <w:rsid w:val="0056083C"/>
    <w:rsid w:val="005608A8"/>
    <w:rsid w:val="00560AF9"/>
    <w:rsid w:val="00560CBD"/>
    <w:rsid w:val="00560CFB"/>
    <w:rsid w:val="00560D54"/>
    <w:rsid w:val="0056112E"/>
    <w:rsid w:val="0056113D"/>
    <w:rsid w:val="005611A7"/>
    <w:rsid w:val="005611B8"/>
    <w:rsid w:val="005613DC"/>
    <w:rsid w:val="0056147D"/>
    <w:rsid w:val="0056149C"/>
    <w:rsid w:val="005618E4"/>
    <w:rsid w:val="00561E2D"/>
    <w:rsid w:val="00561E45"/>
    <w:rsid w:val="005622BC"/>
    <w:rsid w:val="005626AC"/>
    <w:rsid w:val="005626E7"/>
    <w:rsid w:val="005627CD"/>
    <w:rsid w:val="00562912"/>
    <w:rsid w:val="005629FF"/>
    <w:rsid w:val="00562A3E"/>
    <w:rsid w:val="00562A4F"/>
    <w:rsid w:val="0056331A"/>
    <w:rsid w:val="00563475"/>
    <w:rsid w:val="005634A3"/>
    <w:rsid w:val="005635B4"/>
    <w:rsid w:val="0056367D"/>
    <w:rsid w:val="0056370E"/>
    <w:rsid w:val="00563952"/>
    <w:rsid w:val="00563A0E"/>
    <w:rsid w:val="00563EAA"/>
    <w:rsid w:val="005642B3"/>
    <w:rsid w:val="00564313"/>
    <w:rsid w:val="005643C6"/>
    <w:rsid w:val="00564441"/>
    <w:rsid w:val="00564476"/>
    <w:rsid w:val="00564548"/>
    <w:rsid w:val="0056456A"/>
    <w:rsid w:val="00564693"/>
    <w:rsid w:val="005646EF"/>
    <w:rsid w:val="0056471D"/>
    <w:rsid w:val="0056472E"/>
    <w:rsid w:val="005648C0"/>
    <w:rsid w:val="005648DB"/>
    <w:rsid w:val="00564AE4"/>
    <w:rsid w:val="00564D0F"/>
    <w:rsid w:val="00564EBD"/>
    <w:rsid w:val="00564EC9"/>
    <w:rsid w:val="00564F73"/>
    <w:rsid w:val="0056502D"/>
    <w:rsid w:val="00565223"/>
    <w:rsid w:val="0056528C"/>
    <w:rsid w:val="00565341"/>
    <w:rsid w:val="005653D6"/>
    <w:rsid w:val="0056550C"/>
    <w:rsid w:val="0056571F"/>
    <w:rsid w:val="00565920"/>
    <w:rsid w:val="00565C95"/>
    <w:rsid w:val="00565FB3"/>
    <w:rsid w:val="00566102"/>
    <w:rsid w:val="0056673A"/>
    <w:rsid w:val="00566AF2"/>
    <w:rsid w:val="00566E4C"/>
    <w:rsid w:val="00566ED2"/>
    <w:rsid w:val="00566EFE"/>
    <w:rsid w:val="00567005"/>
    <w:rsid w:val="00567088"/>
    <w:rsid w:val="0056714C"/>
    <w:rsid w:val="00567534"/>
    <w:rsid w:val="00567596"/>
    <w:rsid w:val="00567609"/>
    <w:rsid w:val="0056772E"/>
    <w:rsid w:val="005677D2"/>
    <w:rsid w:val="005677E7"/>
    <w:rsid w:val="00567CB0"/>
    <w:rsid w:val="00567ECC"/>
    <w:rsid w:val="00567FD6"/>
    <w:rsid w:val="00570231"/>
    <w:rsid w:val="0057033C"/>
    <w:rsid w:val="005703DE"/>
    <w:rsid w:val="00570578"/>
    <w:rsid w:val="005705B7"/>
    <w:rsid w:val="005705D6"/>
    <w:rsid w:val="0057063A"/>
    <w:rsid w:val="0057065A"/>
    <w:rsid w:val="005708BB"/>
    <w:rsid w:val="00570B3B"/>
    <w:rsid w:val="00570C2F"/>
    <w:rsid w:val="00570C7C"/>
    <w:rsid w:val="0057109E"/>
    <w:rsid w:val="00571289"/>
    <w:rsid w:val="00571627"/>
    <w:rsid w:val="0057174F"/>
    <w:rsid w:val="005717C3"/>
    <w:rsid w:val="005719D0"/>
    <w:rsid w:val="00571D0A"/>
    <w:rsid w:val="00571D49"/>
    <w:rsid w:val="00572180"/>
    <w:rsid w:val="005721AF"/>
    <w:rsid w:val="0057258C"/>
    <w:rsid w:val="0057271B"/>
    <w:rsid w:val="005728FA"/>
    <w:rsid w:val="005728FD"/>
    <w:rsid w:val="00572992"/>
    <w:rsid w:val="00572A0C"/>
    <w:rsid w:val="00572BF3"/>
    <w:rsid w:val="00572C79"/>
    <w:rsid w:val="00572CE8"/>
    <w:rsid w:val="005732E2"/>
    <w:rsid w:val="005737CB"/>
    <w:rsid w:val="005737D6"/>
    <w:rsid w:val="005737F5"/>
    <w:rsid w:val="0057391E"/>
    <w:rsid w:val="005739F3"/>
    <w:rsid w:val="00573A03"/>
    <w:rsid w:val="00573C6C"/>
    <w:rsid w:val="00573CC3"/>
    <w:rsid w:val="00573D1F"/>
    <w:rsid w:val="005741BC"/>
    <w:rsid w:val="005741D5"/>
    <w:rsid w:val="00574330"/>
    <w:rsid w:val="005743BA"/>
    <w:rsid w:val="0057449A"/>
    <w:rsid w:val="005744AB"/>
    <w:rsid w:val="00574625"/>
    <w:rsid w:val="00574A67"/>
    <w:rsid w:val="00574B81"/>
    <w:rsid w:val="00574C70"/>
    <w:rsid w:val="00574CFC"/>
    <w:rsid w:val="00574EB0"/>
    <w:rsid w:val="00574EFE"/>
    <w:rsid w:val="00574F3C"/>
    <w:rsid w:val="00574F90"/>
    <w:rsid w:val="00574FE7"/>
    <w:rsid w:val="005751F4"/>
    <w:rsid w:val="005756A9"/>
    <w:rsid w:val="00575D35"/>
    <w:rsid w:val="00575DDD"/>
    <w:rsid w:val="00575E09"/>
    <w:rsid w:val="00575F2D"/>
    <w:rsid w:val="00575F85"/>
    <w:rsid w:val="00575FA3"/>
    <w:rsid w:val="00576009"/>
    <w:rsid w:val="0057608D"/>
    <w:rsid w:val="005760CA"/>
    <w:rsid w:val="00576111"/>
    <w:rsid w:val="00576351"/>
    <w:rsid w:val="0057656F"/>
    <w:rsid w:val="00576657"/>
    <w:rsid w:val="00576691"/>
    <w:rsid w:val="005767FE"/>
    <w:rsid w:val="00576AA0"/>
    <w:rsid w:val="00576ADE"/>
    <w:rsid w:val="00576B18"/>
    <w:rsid w:val="00576C08"/>
    <w:rsid w:val="00576CAD"/>
    <w:rsid w:val="00576E88"/>
    <w:rsid w:val="00577373"/>
    <w:rsid w:val="00577399"/>
    <w:rsid w:val="00577408"/>
    <w:rsid w:val="005774D2"/>
    <w:rsid w:val="00577786"/>
    <w:rsid w:val="005778A8"/>
    <w:rsid w:val="00577B33"/>
    <w:rsid w:val="00577B46"/>
    <w:rsid w:val="00577D2B"/>
    <w:rsid w:val="00577D31"/>
    <w:rsid w:val="005802D1"/>
    <w:rsid w:val="00580A68"/>
    <w:rsid w:val="00580B55"/>
    <w:rsid w:val="00580E45"/>
    <w:rsid w:val="00580ED6"/>
    <w:rsid w:val="00580F5A"/>
    <w:rsid w:val="00581321"/>
    <w:rsid w:val="005813D0"/>
    <w:rsid w:val="00581443"/>
    <w:rsid w:val="00581810"/>
    <w:rsid w:val="00581892"/>
    <w:rsid w:val="00581BAC"/>
    <w:rsid w:val="005820DF"/>
    <w:rsid w:val="005821BA"/>
    <w:rsid w:val="00582289"/>
    <w:rsid w:val="005823E1"/>
    <w:rsid w:val="00582507"/>
    <w:rsid w:val="00582BD5"/>
    <w:rsid w:val="00582DE2"/>
    <w:rsid w:val="00582F6C"/>
    <w:rsid w:val="00582FB0"/>
    <w:rsid w:val="0058311D"/>
    <w:rsid w:val="00583436"/>
    <w:rsid w:val="0058349F"/>
    <w:rsid w:val="005834FF"/>
    <w:rsid w:val="00583507"/>
    <w:rsid w:val="00583896"/>
    <w:rsid w:val="00583926"/>
    <w:rsid w:val="005839C2"/>
    <w:rsid w:val="00583AE2"/>
    <w:rsid w:val="00583B71"/>
    <w:rsid w:val="00583C89"/>
    <w:rsid w:val="00583C98"/>
    <w:rsid w:val="00583CF4"/>
    <w:rsid w:val="00583D45"/>
    <w:rsid w:val="00583DE0"/>
    <w:rsid w:val="00583F61"/>
    <w:rsid w:val="005841C2"/>
    <w:rsid w:val="005843DD"/>
    <w:rsid w:val="0058440A"/>
    <w:rsid w:val="00584722"/>
    <w:rsid w:val="005849BA"/>
    <w:rsid w:val="00584AC4"/>
    <w:rsid w:val="00584CA3"/>
    <w:rsid w:val="0058503F"/>
    <w:rsid w:val="0058527F"/>
    <w:rsid w:val="005853B5"/>
    <w:rsid w:val="005854F8"/>
    <w:rsid w:val="005858EF"/>
    <w:rsid w:val="00585B25"/>
    <w:rsid w:val="00585B5D"/>
    <w:rsid w:val="00585BB3"/>
    <w:rsid w:val="00585E12"/>
    <w:rsid w:val="005863FE"/>
    <w:rsid w:val="0058648E"/>
    <w:rsid w:val="005867F8"/>
    <w:rsid w:val="0058691E"/>
    <w:rsid w:val="00586A8B"/>
    <w:rsid w:val="00586B32"/>
    <w:rsid w:val="00586BE5"/>
    <w:rsid w:val="00586D14"/>
    <w:rsid w:val="00586EE4"/>
    <w:rsid w:val="00587036"/>
    <w:rsid w:val="005871FD"/>
    <w:rsid w:val="0058740C"/>
    <w:rsid w:val="0058748F"/>
    <w:rsid w:val="005875C1"/>
    <w:rsid w:val="00587BA9"/>
    <w:rsid w:val="00587BB8"/>
    <w:rsid w:val="00587C71"/>
    <w:rsid w:val="00587D9C"/>
    <w:rsid w:val="00587F54"/>
    <w:rsid w:val="0059002F"/>
    <w:rsid w:val="0059018D"/>
    <w:rsid w:val="00590272"/>
    <w:rsid w:val="005902A2"/>
    <w:rsid w:val="00590409"/>
    <w:rsid w:val="0059052F"/>
    <w:rsid w:val="0059061B"/>
    <w:rsid w:val="00590677"/>
    <w:rsid w:val="005906F1"/>
    <w:rsid w:val="005907F0"/>
    <w:rsid w:val="00590908"/>
    <w:rsid w:val="00590957"/>
    <w:rsid w:val="00590B0D"/>
    <w:rsid w:val="00590BB3"/>
    <w:rsid w:val="00590D3C"/>
    <w:rsid w:val="00590EA5"/>
    <w:rsid w:val="00590EB3"/>
    <w:rsid w:val="00590F29"/>
    <w:rsid w:val="00590FE8"/>
    <w:rsid w:val="00591152"/>
    <w:rsid w:val="005911C9"/>
    <w:rsid w:val="00591271"/>
    <w:rsid w:val="00591410"/>
    <w:rsid w:val="00591423"/>
    <w:rsid w:val="00591638"/>
    <w:rsid w:val="00591643"/>
    <w:rsid w:val="0059197B"/>
    <w:rsid w:val="00591AB3"/>
    <w:rsid w:val="00591C13"/>
    <w:rsid w:val="00591E50"/>
    <w:rsid w:val="0059212E"/>
    <w:rsid w:val="005922A8"/>
    <w:rsid w:val="005923CC"/>
    <w:rsid w:val="005924E0"/>
    <w:rsid w:val="005926D3"/>
    <w:rsid w:val="00592845"/>
    <w:rsid w:val="00592987"/>
    <w:rsid w:val="00592A18"/>
    <w:rsid w:val="00592A31"/>
    <w:rsid w:val="00592A65"/>
    <w:rsid w:val="00592BCF"/>
    <w:rsid w:val="00592C08"/>
    <w:rsid w:val="00592F47"/>
    <w:rsid w:val="00592FBB"/>
    <w:rsid w:val="0059302A"/>
    <w:rsid w:val="005931F5"/>
    <w:rsid w:val="0059333E"/>
    <w:rsid w:val="00593628"/>
    <w:rsid w:val="00593749"/>
    <w:rsid w:val="005938E1"/>
    <w:rsid w:val="005938F9"/>
    <w:rsid w:val="00593AB2"/>
    <w:rsid w:val="0059413D"/>
    <w:rsid w:val="005947E7"/>
    <w:rsid w:val="0059489D"/>
    <w:rsid w:val="0059491F"/>
    <w:rsid w:val="005949AC"/>
    <w:rsid w:val="00594A53"/>
    <w:rsid w:val="00594D38"/>
    <w:rsid w:val="00594EB3"/>
    <w:rsid w:val="00595005"/>
    <w:rsid w:val="00595070"/>
    <w:rsid w:val="005950B3"/>
    <w:rsid w:val="005950C3"/>
    <w:rsid w:val="005951C9"/>
    <w:rsid w:val="00595265"/>
    <w:rsid w:val="0059534A"/>
    <w:rsid w:val="005954CB"/>
    <w:rsid w:val="0059579C"/>
    <w:rsid w:val="00595A75"/>
    <w:rsid w:val="00595C4C"/>
    <w:rsid w:val="00595C50"/>
    <w:rsid w:val="00595C5B"/>
    <w:rsid w:val="00595CB4"/>
    <w:rsid w:val="00595D0B"/>
    <w:rsid w:val="0059627C"/>
    <w:rsid w:val="0059667A"/>
    <w:rsid w:val="00596772"/>
    <w:rsid w:val="005968E6"/>
    <w:rsid w:val="00596AE2"/>
    <w:rsid w:val="00596C1B"/>
    <w:rsid w:val="0059716F"/>
    <w:rsid w:val="00597206"/>
    <w:rsid w:val="0059742C"/>
    <w:rsid w:val="005974EC"/>
    <w:rsid w:val="00597934"/>
    <w:rsid w:val="00597B16"/>
    <w:rsid w:val="005A02E5"/>
    <w:rsid w:val="005A02F8"/>
    <w:rsid w:val="005A048F"/>
    <w:rsid w:val="005A0539"/>
    <w:rsid w:val="005A0570"/>
    <w:rsid w:val="005A063E"/>
    <w:rsid w:val="005A066C"/>
    <w:rsid w:val="005A0A7A"/>
    <w:rsid w:val="005A0ADD"/>
    <w:rsid w:val="005A0B0E"/>
    <w:rsid w:val="005A109F"/>
    <w:rsid w:val="005A10BE"/>
    <w:rsid w:val="005A11EF"/>
    <w:rsid w:val="005A11F8"/>
    <w:rsid w:val="005A132D"/>
    <w:rsid w:val="005A1631"/>
    <w:rsid w:val="005A171D"/>
    <w:rsid w:val="005A1970"/>
    <w:rsid w:val="005A1C70"/>
    <w:rsid w:val="005A1EA3"/>
    <w:rsid w:val="005A215F"/>
    <w:rsid w:val="005A25C7"/>
    <w:rsid w:val="005A2675"/>
    <w:rsid w:val="005A278C"/>
    <w:rsid w:val="005A2859"/>
    <w:rsid w:val="005A2965"/>
    <w:rsid w:val="005A2A0B"/>
    <w:rsid w:val="005A2A0D"/>
    <w:rsid w:val="005A2AD4"/>
    <w:rsid w:val="005A2DD3"/>
    <w:rsid w:val="005A2DEE"/>
    <w:rsid w:val="005A2E4E"/>
    <w:rsid w:val="005A2FF5"/>
    <w:rsid w:val="005A3296"/>
    <w:rsid w:val="005A33CF"/>
    <w:rsid w:val="005A3517"/>
    <w:rsid w:val="005A3594"/>
    <w:rsid w:val="005A35DA"/>
    <w:rsid w:val="005A3680"/>
    <w:rsid w:val="005A3720"/>
    <w:rsid w:val="005A3991"/>
    <w:rsid w:val="005A39B7"/>
    <w:rsid w:val="005A41AC"/>
    <w:rsid w:val="005A4206"/>
    <w:rsid w:val="005A45AB"/>
    <w:rsid w:val="005A4B66"/>
    <w:rsid w:val="005A4CDE"/>
    <w:rsid w:val="005A4FDF"/>
    <w:rsid w:val="005A509F"/>
    <w:rsid w:val="005A52B4"/>
    <w:rsid w:val="005A5476"/>
    <w:rsid w:val="005A5520"/>
    <w:rsid w:val="005A5533"/>
    <w:rsid w:val="005A5551"/>
    <w:rsid w:val="005A55A9"/>
    <w:rsid w:val="005A567B"/>
    <w:rsid w:val="005A5DCD"/>
    <w:rsid w:val="005A5EAC"/>
    <w:rsid w:val="005A5F0A"/>
    <w:rsid w:val="005A5FA6"/>
    <w:rsid w:val="005A5FE3"/>
    <w:rsid w:val="005A6007"/>
    <w:rsid w:val="005A6081"/>
    <w:rsid w:val="005A6988"/>
    <w:rsid w:val="005A6AB5"/>
    <w:rsid w:val="005A6C0C"/>
    <w:rsid w:val="005A6C29"/>
    <w:rsid w:val="005A6E60"/>
    <w:rsid w:val="005A6F33"/>
    <w:rsid w:val="005A6F38"/>
    <w:rsid w:val="005A72CE"/>
    <w:rsid w:val="005A7555"/>
    <w:rsid w:val="005A75E0"/>
    <w:rsid w:val="005A7A33"/>
    <w:rsid w:val="005A7AED"/>
    <w:rsid w:val="005A7D14"/>
    <w:rsid w:val="005A7DC7"/>
    <w:rsid w:val="005A7F7D"/>
    <w:rsid w:val="005B0486"/>
    <w:rsid w:val="005B04C5"/>
    <w:rsid w:val="005B056E"/>
    <w:rsid w:val="005B0946"/>
    <w:rsid w:val="005B0CD9"/>
    <w:rsid w:val="005B0CDD"/>
    <w:rsid w:val="005B0CE8"/>
    <w:rsid w:val="005B0CE9"/>
    <w:rsid w:val="005B10BA"/>
    <w:rsid w:val="005B151A"/>
    <w:rsid w:val="005B15C5"/>
    <w:rsid w:val="005B1633"/>
    <w:rsid w:val="005B195B"/>
    <w:rsid w:val="005B1A9B"/>
    <w:rsid w:val="005B1AC0"/>
    <w:rsid w:val="005B1B9C"/>
    <w:rsid w:val="005B1BDC"/>
    <w:rsid w:val="005B1CEC"/>
    <w:rsid w:val="005B1D88"/>
    <w:rsid w:val="005B224A"/>
    <w:rsid w:val="005B2306"/>
    <w:rsid w:val="005B28E7"/>
    <w:rsid w:val="005B296F"/>
    <w:rsid w:val="005B2A43"/>
    <w:rsid w:val="005B2AA7"/>
    <w:rsid w:val="005B2CF2"/>
    <w:rsid w:val="005B2D7E"/>
    <w:rsid w:val="005B2F0D"/>
    <w:rsid w:val="005B2FEC"/>
    <w:rsid w:val="005B3130"/>
    <w:rsid w:val="005B31BE"/>
    <w:rsid w:val="005B3211"/>
    <w:rsid w:val="005B3721"/>
    <w:rsid w:val="005B37C8"/>
    <w:rsid w:val="005B391E"/>
    <w:rsid w:val="005B3973"/>
    <w:rsid w:val="005B3C59"/>
    <w:rsid w:val="005B404A"/>
    <w:rsid w:val="005B41D8"/>
    <w:rsid w:val="005B4270"/>
    <w:rsid w:val="005B451A"/>
    <w:rsid w:val="005B47D0"/>
    <w:rsid w:val="005B4818"/>
    <w:rsid w:val="005B4AE8"/>
    <w:rsid w:val="005B4B56"/>
    <w:rsid w:val="005B4C14"/>
    <w:rsid w:val="005B4D15"/>
    <w:rsid w:val="005B4DDC"/>
    <w:rsid w:val="005B51EB"/>
    <w:rsid w:val="005B520C"/>
    <w:rsid w:val="005B5216"/>
    <w:rsid w:val="005B5384"/>
    <w:rsid w:val="005B54DD"/>
    <w:rsid w:val="005B5588"/>
    <w:rsid w:val="005B57F9"/>
    <w:rsid w:val="005B5ABB"/>
    <w:rsid w:val="005B5B04"/>
    <w:rsid w:val="005B5BA1"/>
    <w:rsid w:val="005B5C7F"/>
    <w:rsid w:val="005B5CBB"/>
    <w:rsid w:val="005B5DAB"/>
    <w:rsid w:val="005B5DD3"/>
    <w:rsid w:val="005B616F"/>
    <w:rsid w:val="005B64F6"/>
    <w:rsid w:val="005B67F0"/>
    <w:rsid w:val="005B68CB"/>
    <w:rsid w:val="005B6AD2"/>
    <w:rsid w:val="005B6C0A"/>
    <w:rsid w:val="005B6E2E"/>
    <w:rsid w:val="005B6F47"/>
    <w:rsid w:val="005B6FB1"/>
    <w:rsid w:val="005B6FFD"/>
    <w:rsid w:val="005B7138"/>
    <w:rsid w:val="005B724C"/>
    <w:rsid w:val="005B74D0"/>
    <w:rsid w:val="005B78AD"/>
    <w:rsid w:val="005B7A16"/>
    <w:rsid w:val="005B7B75"/>
    <w:rsid w:val="005B7DC4"/>
    <w:rsid w:val="005C003E"/>
    <w:rsid w:val="005C0238"/>
    <w:rsid w:val="005C02ED"/>
    <w:rsid w:val="005C07AF"/>
    <w:rsid w:val="005C0822"/>
    <w:rsid w:val="005C0AAD"/>
    <w:rsid w:val="005C0B8E"/>
    <w:rsid w:val="005C0E11"/>
    <w:rsid w:val="005C0E48"/>
    <w:rsid w:val="005C0F16"/>
    <w:rsid w:val="005C0F17"/>
    <w:rsid w:val="005C0F5A"/>
    <w:rsid w:val="005C108F"/>
    <w:rsid w:val="005C11D2"/>
    <w:rsid w:val="005C13D0"/>
    <w:rsid w:val="005C1474"/>
    <w:rsid w:val="005C1496"/>
    <w:rsid w:val="005C1698"/>
    <w:rsid w:val="005C16EB"/>
    <w:rsid w:val="005C175C"/>
    <w:rsid w:val="005C1952"/>
    <w:rsid w:val="005C197C"/>
    <w:rsid w:val="005C1A1B"/>
    <w:rsid w:val="005C1EB7"/>
    <w:rsid w:val="005C1EF3"/>
    <w:rsid w:val="005C1FD9"/>
    <w:rsid w:val="005C2058"/>
    <w:rsid w:val="005C21CA"/>
    <w:rsid w:val="005C273C"/>
    <w:rsid w:val="005C275F"/>
    <w:rsid w:val="005C2768"/>
    <w:rsid w:val="005C277E"/>
    <w:rsid w:val="005C2805"/>
    <w:rsid w:val="005C2847"/>
    <w:rsid w:val="005C2915"/>
    <w:rsid w:val="005C298E"/>
    <w:rsid w:val="005C2B16"/>
    <w:rsid w:val="005C2F10"/>
    <w:rsid w:val="005C2FCB"/>
    <w:rsid w:val="005C3069"/>
    <w:rsid w:val="005C34FB"/>
    <w:rsid w:val="005C36EB"/>
    <w:rsid w:val="005C36FB"/>
    <w:rsid w:val="005C3A71"/>
    <w:rsid w:val="005C3B38"/>
    <w:rsid w:val="005C3B4B"/>
    <w:rsid w:val="005C3D55"/>
    <w:rsid w:val="005C3DD5"/>
    <w:rsid w:val="005C421C"/>
    <w:rsid w:val="005C42D5"/>
    <w:rsid w:val="005C43A6"/>
    <w:rsid w:val="005C43D1"/>
    <w:rsid w:val="005C4505"/>
    <w:rsid w:val="005C479F"/>
    <w:rsid w:val="005C491E"/>
    <w:rsid w:val="005C4C68"/>
    <w:rsid w:val="005C4CAD"/>
    <w:rsid w:val="005C4E46"/>
    <w:rsid w:val="005C4FD9"/>
    <w:rsid w:val="005C500A"/>
    <w:rsid w:val="005C50D1"/>
    <w:rsid w:val="005C51D5"/>
    <w:rsid w:val="005C5243"/>
    <w:rsid w:val="005C550E"/>
    <w:rsid w:val="005C5571"/>
    <w:rsid w:val="005C5A87"/>
    <w:rsid w:val="005C5D67"/>
    <w:rsid w:val="005C5EDB"/>
    <w:rsid w:val="005C5F22"/>
    <w:rsid w:val="005C5FB4"/>
    <w:rsid w:val="005C604A"/>
    <w:rsid w:val="005C6094"/>
    <w:rsid w:val="005C61DF"/>
    <w:rsid w:val="005C6271"/>
    <w:rsid w:val="005C6493"/>
    <w:rsid w:val="005C6647"/>
    <w:rsid w:val="005C67A7"/>
    <w:rsid w:val="005C685A"/>
    <w:rsid w:val="005C68A3"/>
    <w:rsid w:val="005C695C"/>
    <w:rsid w:val="005C6B6A"/>
    <w:rsid w:val="005C6BEB"/>
    <w:rsid w:val="005C6CAF"/>
    <w:rsid w:val="005C6CEF"/>
    <w:rsid w:val="005C6E1E"/>
    <w:rsid w:val="005C6F07"/>
    <w:rsid w:val="005C7195"/>
    <w:rsid w:val="005C727F"/>
    <w:rsid w:val="005C72B9"/>
    <w:rsid w:val="005C72D0"/>
    <w:rsid w:val="005C74BA"/>
    <w:rsid w:val="005C7546"/>
    <w:rsid w:val="005C782B"/>
    <w:rsid w:val="005C782F"/>
    <w:rsid w:val="005C78BC"/>
    <w:rsid w:val="005C79E9"/>
    <w:rsid w:val="005C7C35"/>
    <w:rsid w:val="005C7DF7"/>
    <w:rsid w:val="005C7E5C"/>
    <w:rsid w:val="005D0157"/>
    <w:rsid w:val="005D01DD"/>
    <w:rsid w:val="005D01F8"/>
    <w:rsid w:val="005D0357"/>
    <w:rsid w:val="005D03D3"/>
    <w:rsid w:val="005D04A1"/>
    <w:rsid w:val="005D05FB"/>
    <w:rsid w:val="005D0857"/>
    <w:rsid w:val="005D0870"/>
    <w:rsid w:val="005D092E"/>
    <w:rsid w:val="005D0C8F"/>
    <w:rsid w:val="005D0DB5"/>
    <w:rsid w:val="005D0DF6"/>
    <w:rsid w:val="005D0EB9"/>
    <w:rsid w:val="005D0FC0"/>
    <w:rsid w:val="005D103A"/>
    <w:rsid w:val="005D128E"/>
    <w:rsid w:val="005D12E8"/>
    <w:rsid w:val="005D1463"/>
    <w:rsid w:val="005D147F"/>
    <w:rsid w:val="005D162D"/>
    <w:rsid w:val="005D1679"/>
    <w:rsid w:val="005D1707"/>
    <w:rsid w:val="005D171C"/>
    <w:rsid w:val="005D17C0"/>
    <w:rsid w:val="005D18B5"/>
    <w:rsid w:val="005D1AAC"/>
    <w:rsid w:val="005D1C57"/>
    <w:rsid w:val="005D1DB3"/>
    <w:rsid w:val="005D1DDE"/>
    <w:rsid w:val="005D22D0"/>
    <w:rsid w:val="005D238B"/>
    <w:rsid w:val="005D2415"/>
    <w:rsid w:val="005D2464"/>
    <w:rsid w:val="005D2686"/>
    <w:rsid w:val="005D2691"/>
    <w:rsid w:val="005D26A0"/>
    <w:rsid w:val="005D2763"/>
    <w:rsid w:val="005D28E0"/>
    <w:rsid w:val="005D2C42"/>
    <w:rsid w:val="005D2C6E"/>
    <w:rsid w:val="005D2CF1"/>
    <w:rsid w:val="005D2CFF"/>
    <w:rsid w:val="005D2DD6"/>
    <w:rsid w:val="005D2F96"/>
    <w:rsid w:val="005D30D6"/>
    <w:rsid w:val="005D3442"/>
    <w:rsid w:val="005D4044"/>
    <w:rsid w:val="005D4302"/>
    <w:rsid w:val="005D443E"/>
    <w:rsid w:val="005D44C7"/>
    <w:rsid w:val="005D4997"/>
    <w:rsid w:val="005D49E0"/>
    <w:rsid w:val="005D4AE5"/>
    <w:rsid w:val="005D4CDC"/>
    <w:rsid w:val="005D4D5B"/>
    <w:rsid w:val="005D4E14"/>
    <w:rsid w:val="005D54AD"/>
    <w:rsid w:val="005D5CB1"/>
    <w:rsid w:val="005D5D86"/>
    <w:rsid w:val="005D605C"/>
    <w:rsid w:val="005D623F"/>
    <w:rsid w:val="005D66B8"/>
    <w:rsid w:val="005D6709"/>
    <w:rsid w:val="005D6866"/>
    <w:rsid w:val="005D6BE0"/>
    <w:rsid w:val="005D6C69"/>
    <w:rsid w:val="005D6CFF"/>
    <w:rsid w:val="005D6DF5"/>
    <w:rsid w:val="005D700A"/>
    <w:rsid w:val="005D7310"/>
    <w:rsid w:val="005D749D"/>
    <w:rsid w:val="005D758A"/>
    <w:rsid w:val="005D766D"/>
    <w:rsid w:val="005D7786"/>
    <w:rsid w:val="005D780C"/>
    <w:rsid w:val="005D784E"/>
    <w:rsid w:val="005D78A2"/>
    <w:rsid w:val="005D7968"/>
    <w:rsid w:val="005D79A0"/>
    <w:rsid w:val="005D7A5C"/>
    <w:rsid w:val="005D7D89"/>
    <w:rsid w:val="005D7D9F"/>
    <w:rsid w:val="005D7E55"/>
    <w:rsid w:val="005E03E5"/>
    <w:rsid w:val="005E03E7"/>
    <w:rsid w:val="005E0581"/>
    <w:rsid w:val="005E0626"/>
    <w:rsid w:val="005E075F"/>
    <w:rsid w:val="005E0898"/>
    <w:rsid w:val="005E0961"/>
    <w:rsid w:val="005E0993"/>
    <w:rsid w:val="005E0B92"/>
    <w:rsid w:val="005E0DBC"/>
    <w:rsid w:val="005E1349"/>
    <w:rsid w:val="005E16C9"/>
    <w:rsid w:val="005E1A0B"/>
    <w:rsid w:val="005E1AD8"/>
    <w:rsid w:val="005E1B00"/>
    <w:rsid w:val="005E1B0A"/>
    <w:rsid w:val="005E1BFE"/>
    <w:rsid w:val="005E2083"/>
    <w:rsid w:val="005E2524"/>
    <w:rsid w:val="005E2614"/>
    <w:rsid w:val="005E263B"/>
    <w:rsid w:val="005E287B"/>
    <w:rsid w:val="005E2D01"/>
    <w:rsid w:val="005E2FCD"/>
    <w:rsid w:val="005E3185"/>
    <w:rsid w:val="005E324D"/>
    <w:rsid w:val="005E32C1"/>
    <w:rsid w:val="005E33A7"/>
    <w:rsid w:val="005E3935"/>
    <w:rsid w:val="005E3B79"/>
    <w:rsid w:val="005E3C17"/>
    <w:rsid w:val="005E3E33"/>
    <w:rsid w:val="005E3E5D"/>
    <w:rsid w:val="005E3E6A"/>
    <w:rsid w:val="005E3ED7"/>
    <w:rsid w:val="005E400B"/>
    <w:rsid w:val="005E411C"/>
    <w:rsid w:val="005E4247"/>
    <w:rsid w:val="005E4673"/>
    <w:rsid w:val="005E46BA"/>
    <w:rsid w:val="005E47AA"/>
    <w:rsid w:val="005E4955"/>
    <w:rsid w:val="005E4A2D"/>
    <w:rsid w:val="005E4AF2"/>
    <w:rsid w:val="005E52A4"/>
    <w:rsid w:val="005E55A7"/>
    <w:rsid w:val="005E55E8"/>
    <w:rsid w:val="005E5646"/>
    <w:rsid w:val="005E5B47"/>
    <w:rsid w:val="005E5CC1"/>
    <w:rsid w:val="005E5D97"/>
    <w:rsid w:val="005E5D9E"/>
    <w:rsid w:val="005E5E10"/>
    <w:rsid w:val="005E5F74"/>
    <w:rsid w:val="005E628A"/>
    <w:rsid w:val="005E62A4"/>
    <w:rsid w:val="005E6301"/>
    <w:rsid w:val="005E670A"/>
    <w:rsid w:val="005E678C"/>
    <w:rsid w:val="005E69B2"/>
    <w:rsid w:val="005E6C29"/>
    <w:rsid w:val="005E6CD3"/>
    <w:rsid w:val="005E6D83"/>
    <w:rsid w:val="005E6EB5"/>
    <w:rsid w:val="005E7048"/>
    <w:rsid w:val="005E7072"/>
    <w:rsid w:val="005E723B"/>
    <w:rsid w:val="005E7242"/>
    <w:rsid w:val="005E740F"/>
    <w:rsid w:val="005E7426"/>
    <w:rsid w:val="005E754E"/>
    <w:rsid w:val="005E7665"/>
    <w:rsid w:val="005E77CD"/>
    <w:rsid w:val="005E7AD2"/>
    <w:rsid w:val="005E7C52"/>
    <w:rsid w:val="005E7DE8"/>
    <w:rsid w:val="005E7F76"/>
    <w:rsid w:val="005F003D"/>
    <w:rsid w:val="005F0133"/>
    <w:rsid w:val="005F027D"/>
    <w:rsid w:val="005F076D"/>
    <w:rsid w:val="005F081B"/>
    <w:rsid w:val="005F092F"/>
    <w:rsid w:val="005F0998"/>
    <w:rsid w:val="005F0CE0"/>
    <w:rsid w:val="005F0F71"/>
    <w:rsid w:val="005F102C"/>
    <w:rsid w:val="005F1330"/>
    <w:rsid w:val="005F13D0"/>
    <w:rsid w:val="005F15A1"/>
    <w:rsid w:val="005F174D"/>
    <w:rsid w:val="005F1756"/>
    <w:rsid w:val="005F18D0"/>
    <w:rsid w:val="005F1ABA"/>
    <w:rsid w:val="005F1B3C"/>
    <w:rsid w:val="005F1F50"/>
    <w:rsid w:val="005F1FFA"/>
    <w:rsid w:val="005F2027"/>
    <w:rsid w:val="005F2028"/>
    <w:rsid w:val="005F2101"/>
    <w:rsid w:val="005F2696"/>
    <w:rsid w:val="005F2821"/>
    <w:rsid w:val="005F2867"/>
    <w:rsid w:val="005F2BF9"/>
    <w:rsid w:val="005F2DE5"/>
    <w:rsid w:val="005F30F6"/>
    <w:rsid w:val="005F330E"/>
    <w:rsid w:val="005F33FE"/>
    <w:rsid w:val="005F349C"/>
    <w:rsid w:val="005F359C"/>
    <w:rsid w:val="005F365C"/>
    <w:rsid w:val="005F369C"/>
    <w:rsid w:val="005F36CA"/>
    <w:rsid w:val="005F36E1"/>
    <w:rsid w:val="005F3761"/>
    <w:rsid w:val="005F3774"/>
    <w:rsid w:val="005F3854"/>
    <w:rsid w:val="005F3962"/>
    <w:rsid w:val="005F3D51"/>
    <w:rsid w:val="005F3D6A"/>
    <w:rsid w:val="005F3E94"/>
    <w:rsid w:val="005F4007"/>
    <w:rsid w:val="005F41D6"/>
    <w:rsid w:val="005F42FF"/>
    <w:rsid w:val="005F44C3"/>
    <w:rsid w:val="005F4ADF"/>
    <w:rsid w:val="005F4C30"/>
    <w:rsid w:val="005F4FAC"/>
    <w:rsid w:val="005F4FE7"/>
    <w:rsid w:val="005F5091"/>
    <w:rsid w:val="005F50CA"/>
    <w:rsid w:val="005F569B"/>
    <w:rsid w:val="005F57F0"/>
    <w:rsid w:val="005F59C7"/>
    <w:rsid w:val="005F5AC8"/>
    <w:rsid w:val="005F5AD5"/>
    <w:rsid w:val="005F5D32"/>
    <w:rsid w:val="005F5FB2"/>
    <w:rsid w:val="005F5FC7"/>
    <w:rsid w:val="005F6054"/>
    <w:rsid w:val="005F610A"/>
    <w:rsid w:val="005F61AD"/>
    <w:rsid w:val="005F68C9"/>
    <w:rsid w:val="005F690D"/>
    <w:rsid w:val="005F699E"/>
    <w:rsid w:val="005F6A97"/>
    <w:rsid w:val="005F6AE8"/>
    <w:rsid w:val="005F6B37"/>
    <w:rsid w:val="005F6D17"/>
    <w:rsid w:val="005F6D2F"/>
    <w:rsid w:val="005F6E85"/>
    <w:rsid w:val="005F6EDE"/>
    <w:rsid w:val="005F6FBB"/>
    <w:rsid w:val="005F70AF"/>
    <w:rsid w:val="005F7171"/>
    <w:rsid w:val="005F7304"/>
    <w:rsid w:val="005F73A8"/>
    <w:rsid w:val="005F7504"/>
    <w:rsid w:val="005F7534"/>
    <w:rsid w:val="005F7558"/>
    <w:rsid w:val="005F763E"/>
    <w:rsid w:val="005F76BD"/>
    <w:rsid w:val="005F7806"/>
    <w:rsid w:val="005F78BC"/>
    <w:rsid w:val="005F7908"/>
    <w:rsid w:val="005F7D12"/>
    <w:rsid w:val="00600013"/>
    <w:rsid w:val="00600078"/>
    <w:rsid w:val="0060012E"/>
    <w:rsid w:val="0060014D"/>
    <w:rsid w:val="0060027E"/>
    <w:rsid w:val="00600751"/>
    <w:rsid w:val="00600A78"/>
    <w:rsid w:val="00600B50"/>
    <w:rsid w:val="00600B7E"/>
    <w:rsid w:val="00600DEF"/>
    <w:rsid w:val="0060135E"/>
    <w:rsid w:val="00601385"/>
    <w:rsid w:val="00601433"/>
    <w:rsid w:val="006014F6"/>
    <w:rsid w:val="006015B0"/>
    <w:rsid w:val="00601776"/>
    <w:rsid w:val="006018BD"/>
    <w:rsid w:val="00601939"/>
    <w:rsid w:val="00601A77"/>
    <w:rsid w:val="00601B4A"/>
    <w:rsid w:val="00601DBE"/>
    <w:rsid w:val="00601F55"/>
    <w:rsid w:val="006020B1"/>
    <w:rsid w:val="0060214D"/>
    <w:rsid w:val="006022D3"/>
    <w:rsid w:val="00602660"/>
    <w:rsid w:val="00602671"/>
    <w:rsid w:val="006028F6"/>
    <w:rsid w:val="0060296E"/>
    <w:rsid w:val="00602A17"/>
    <w:rsid w:val="00602BBC"/>
    <w:rsid w:val="00602C97"/>
    <w:rsid w:val="00602CAB"/>
    <w:rsid w:val="00602D89"/>
    <w:rsid w:val="00602EB7"/>
    <w:rsid w:val="00603094"/>
    <w:rsid w:val="006032D6"/>
    <w:rsid w:val="006033C7"/>
    <w:rsid w:val="00603403"/>
    <w:rsid w:val="006034CB"/>
    <w:rsid w:val="006037BE"/>
    <w:rsid w:val="00603807"/>
    <w:rsid w:val="006038D7"/>
    <w:rsid w:val="0060393A"/>
    <w:rsid w:val="0060394B"/>
    <w:rsid w:val="00603AF9"/>
    <w:rsid w:val="00603BD5"/>
    <w:rsid w:val="00603DBF"/>
    <w:rsid w:val="00603DED"/>
    <w:rsid w:val="00603E29"/>
    <w:rsid w:val="00604329"/>
    <w:rsid w:val="00604354"/>
    <w:rsid w:val="00604428"/>
    <w:rsid w:val="006045EA"/>
    <w:rsid w:val="0060462E"/>
    <w:rsid w:val="00604740"/>
    <w:rsid w:val="00604A06"/>
    <w:rsid w:val="00604A3F"/>
    <w:rsid w:val="00604BDD"/>
    <w:rsid w:val="00604FFC"/>
    <w:rsid w:val="0060510E"/>
    <w:rsid w:val="0060535E"/>
    <w:rsid w:val="00605595"/>
    <w:rsid w:val="006056E6"/>
    <w:rsid w:val="00605979"/>
    <w:rsid w:val="006059B3"/>
    <w:rsid w:val="00605A50"/>
    <w:rsid w:val="00605A62"/>
    <w:rsid w:val="00605AF3"/>
    <w:rsid w:val="00605C1F"/>
    <w:rsid w:val="00605C55"/>
    <w:rsid w:val="00605C62"/>
    <w:rsid w:val="00605C6B"/>
    <w:rsid w:val="00605C9E"/>
    <w:rsid w:val="00605CA9"/>
    <w:rsid w:val="00605D38"/>
    <w:rsid w:val="00605D42"/>
    <w:rsid w:val="00605EC0"/>
    <w:rsid w:val="0060647F"/>
    <w:rsid w:val="006065B1"/>
    <w:rsid w:val="00606736"/>
    <w:rsid w:val="006067B7"/>
    <w:rsid w:val="006068C7"/>
    <w:rsid w:val="0060697B"/>
    <w:rsid w:val="00606B8D"/>
    <w:rsid w:val="00606CF7"/>
    <w:rsid w:val="00606D7F"/>
    <w:rsid w:val="00606E0C"/>
    <w:rsid w:val="00607041"/>
    <w:rsid w:val="006072D9"/>
    <w:rsid w:val="0060733C"/>
    <w:rsid w:val="00607356"/>
    <w:rsid w:val="00607372"/>
    <w:rsid w:val="006074F7"/>
    <w:rsid w:val="0060754A"/>
    <w:rsid w:val="0060757F"/>
    <w:rsid w:val="00607650"/>
    <w:rsid w:val="00607754"/>
    <w:rsid w:val="00607AAF"/>
    <w:rsid w:val="00607BE7"/>
    <w:rsid w:val="00607E62"/>
    <w:rsid w:val="00610122"/>
    <w:rsid w:val="0061029C"/>
    <w:rsid w:val="0061041F"/>
    <w:rsid w:val="00610485"/>
    <w:rsid w:val="0061055A"/>
    <w:rsid w:val="006106A9"/>
    <w:rsid w:val="0061077B"/>
    <w:rsid w:val="00610791"/>
    <w:rsid w:val="006107A2"/>
    <w:rsid w:val="006107CC"/>
    <w:rsid w:val="00610AAA"/>
    <w:rsid w:val="00610CF1"/>
    <w:rsid w:val="006110C6"/>
    <w:rsid w:val="0061129F"/>
    <w:rsid w:val="00611403"/>
    <w:rsid w:val="0061153D"/>
    <w:rsid w:val="006116ED"/>
    <w:rsid w:val="0061197C"/>
    <w:rsid w:val="006119CA"/>
    <w:rsid w:val="00611DF9"/>
    <w:rsid w:val="006120BC"/>
    <w:rsid w:val="00612117"/>
    <w:rsid w:val="006121D3"/>
    <w:rsid w:val="0061221D"/>
    <w:rsid w:val="00612785"/>
    <w:rsid w:val="006127AF"/>
    <w:rsid w:val="0061292E"/>
    <w:rsid w:val="006129DA"/>
    <w:rsid w:val="00612AB8"/>
    <w:rsid w:val="00612BC5"/>
    <w:rsid w:val="00612C85"/>
    <w:rsid w:val="00613020"/>
    <w:rsid w:val="00613035"/>
    <w:rsid w:val="006130C2"/>
    <w:rsid w:val="006132AC"/>
    <w:rsid w:val="0061358B"/>
    <w:rsid w:val="00613660"/>
    <w:rsid w:val="006138ED"/>
    <w:rsid w:val="00613955"/>
    <w:rsid w:val="00613A66"/>
    <w:rsid w:val="00613DAC"/>
    <w:rsid w:val="00613EFF"/>
    <w:rsid w:val="006143BC"/>
    <w:rsid w:val="006145C2"/>
    <w:rsid w:val="006146BC"/>
    <w:rsid w:val="00614877"/>
    <w:rsid w:val="00614926"/>
    <w:rsid w:val="00614B4B"/>
    <w:rsid w:val="00614D14"/>
    <w:rsid w:val="00615111"/>
    <w:rsid w:val="0061534C"/>
    <w:rsid w:val="00615603"/>
    <w:rsid w:val="0061563F"/>
    <w:rsid w:val="00615769"/>
    <w:rsid w:val="00615824"/>
    <w:rsid w:val="00615889"/>
    <w:rsid w:val="00615AE8"/>
    <w:rsid w:val="00615C37"/>
    <w:rsid w:val="00615D47"/>
    <w:rsid w:val="00615F07"/>
    <w:rsid w:val="00615F61"/>
    <w:rsid w:val="00615F8C"/>
    <w:rsid w:val="00616039"/>
    <w:rsid w:val="0061618D"/>
    <w:rsid w:val="006161E3"/>
    <w:rsid w:val="0061638A"/>
    <w:rsid w:val="006163E0"/>
    <w:rsid w:val="006164AC"/>
    <w:rsid w:val="006164E4"/>
    <w:rsid w:val="006166FA"/>
    <w:rsid w:val="00616C9C"/>
    <w:rsid w:val="00616C9D"/>
    <w:rsid w:val="00616E99"/>
    <w:rsid w:val="006170C8"/>
    <w:rsid w:val="0061722F"/>
    <w:rsid w:val="006173E5"/>
    <w:rsid w:val="00617523"/>
    <w:rsid w:val="00617526"/>
    <w:rsid w:val="00617641"/>
    <w:rsid w:val="0061773B"/>
    <w:rsid w:val="0061787C"/>
    <w:rsid w:val="006179A7"/>
    <w:rsid w:val="00617CEA"/>
    <w:rsid w:val="00617F19"/>
    <w:rsid w:val="006200E1"/>
    <w:rsid w:val="0062026C"/>
    <w:rsid w:val="006202E5"/>
    <w:rsid w:val="0062072D"/>
    <w:rsid w:val="00620A43"/>
    <w:rsid w:val="00620BFD"/>
    <w:rsid w:val="00620CBF"/>
    <w:rsid w:val="0062118E"/>
    <w:rsid w:val="00621564"/>
    <w:rsid w:val="006217D3"/>
    <w:rsid w:val="00621932"/>
    <w:rsid w:val="00621964"/>
    <w:rsid w:val="00621D26"/>
    <w:rsid w:val="00621E42"/>
    <w:rsid w:val="0062200D"/>
    <w:rsid w:val="00622238"/>
    <w:rsid w:val="006224F6"/>
    <w:rsid w:val="006227CA"/>
    <w:rsid w:val="006228FB"/>
    <w:rsid w:val="00622D4E"/>
    <w:rsid w:val="00622E90"/>
    <w:rsid w:val="00622F62"/>
    <w:rsid w:val="006230A1"/>
    <w:rsid w:val="006231C1"/>
    <w:rsid w:val="00623756"/>
    <w:rsid w:val="00623875"/>
    <w:rsid w:val="00623960"/>
    <w:rsid w:val="00623A74"/>
    <w:rsid w:val="00623DCE"/>
    <w:rsid w:val="0062418D"/>
    <w:rsid w:val="006241CD"/>
    <w:rsid w:val="006242A6"/>
    <w:rsid w:val="00624334"/>
    <w:rsid w:val="006243D6"/>
    <w:rsid w:val="006246A1"/>
    <w:rsid w:val="0062470C"/>
    <w:rsid w:val="00624A8A"/>
    <w:rsid w:val="00624B16"/>
    <w:rsid w:val="00624B26"/>
    <w:rsid w:val="00624B6E"/>
    <w:rsid w:val="0062500A"/>
    <w:rsid w:val="0062501A"/>
    <w:rsid w:val="0062516B"/>
    <w:rsid w:val="006251FE"/>
    <w:rsid w:val="00625210"/>
    <w:rsid w:val="006252EA"/>
    <w:rsid w:val="00625404"/>
    <w:rsid w:val="0062557C"/>
    <w:rsid w:val="00625590"/>
    <w:rsid w:val="006255D3"/>
    <w:rsid w:val="00625740"/>
    <w:rsid w:val="0062599D"/>
    <w:rsid w:val="00625C14"/>
    <w:rsid w:val="00625C8C"/>
    <w:rsid w:val="00625D1B"/>
    <w:rsid w:val="00626114"/>
    <w:rsid w:val="006262A3"/>
    <w:rsid w:val="00626449"/>
    <w:rsid w:val="0062687F"/>
    <w:rsid w:val="00626A2F"/>
    <w:rsid w:val="00626A4A"/>
    <w:rsid w:val="00626BA8"/>
    <w:rsid w:val="00626C51"/>
    <w:rsid w:val="00626F26"/>
    <w:rsid w:val="0062707E"/>
    <w:rsid w:val="0062726B"/>
    <w:rsid w:val="00627532"/>
    <w:rsid w:val="00627580"/>
    <w:rsid w:val="006275CB"/>
    <w:rsid w:val="00627D21"/>
    <w:rsid w:val="00627E2E"/>
    <w:rsid w:val="00627EBA"/>
    <w:rsid w:val="0063010A"/>
    <w:rsid w:val="006304E7"/>
    <w:rsid w:val="006305C3"/>
    <w:rsid w:val="006308C8"/>
    <w:rsid w:val="00630900"/>
    <w:rsid w:val="00630A22"/>
    <w:rsid w:val="00630AF6"/>
    <w:rsid w:val="00630B11"/>
    <w:rsid w:val="00630B6E"/>
    <w:rsid w:val="00630F88"/>
    <w:rsid w:val="00631599"/>
    <w:rsid w:val="00631693"/>
    <w:rsid w:val="00631734"/>
    <w:rsid w:val="00631803"/>
    <w:rsid w:val="00631830"/>
    <w:rsid w:val="006319DA"/>
    <w:rsid w:val="00631A6E"/>
    <w:rsid w:val="00631BB3"/>
    <w:rsid w:val="00631BF5"/>
    <w:rsid w:val="00631CF5"/>
    <w:rsid w:val="00631EA9"/>
    <w:rsid w:val="00631FBF"/>
    <w:rsid w:val="00632016"/>
    <w:rsid w:val="0063209F"/>
    <w:rsid w:val="00632110"/>
    <w:rsid w:val="006326AD"/>
    <w:rsid w:val="00632A4C"/>
    <w:rsid w:val="00632CF8"/>
    <w:rsid w:val="00632D0F"/>
    <w:rsid w:val="00632ED9"/>
    <w:rsid w:val="00632F24"/>
    <w:rsid w:val="00632FE2"/>
    <w:rsid w:val="0063303F"/>
    <w:rsid w:val="006333BA"/>
    <w:rsid w:val="006334EF"/>
    <w:rsid w:val="0063352B"/>
    <w:rsid w:val="00633834"/>
    <w:rsid w:val="00633976"/>
    <w:rsid w:val="006339DA"/>
    <w:rsid w:val="00633A61"/>
    <w:rsid w:val="00633DCE"/>
    <w:rsid w:val="0063415C"/>
    <w:rsid w:val="00634271"/>
    <w:rsid w:val="006343D5"/>
    <w:rsid w:val="0063496C"/>
    <w:rsid w:val="00634B5C"/>
    <w:rsid w:val="00634BC2"/>
    <w:rsid w:val="00634D8C"/>
    <w:rsid w:val="00634F28"/>
    <w:rsid w:val="00635484"/>
    <w:rsid w:val="00635517"/>
    <w:rsid w:val="006355B3"/>
    <w:rsid w:val="00635906"/>
    <w:rsid w:val="00635A11"/>
    <w:rsid w:val="00635C91"/>
    <w:rsid w:val="00635CBE"/>
    <w:rsid w:val="00635D22"/>
    <w:rsid w:val="00636314"/>
    <w:rsid w:val="0063657C"/>
    <w:rsid w:val="006365D2"/>
    <w:rsid w:val="0063672F"/>
    <w:rsid w:val="006367B8"/>
    <w:rsid w:val="00636AD5"/>
    <w:rsid w:val="00636B26"/>
    <w:rsid w:val="00636B8E"/>
    <w:rsid w:val="00636B9F"/>
    <w:rsid w:val="00636EE6"/>
    <w:rsid w:val="00636F71"/>
    <w:rsid w:val="00636F94"/>
    <w:rsid w:val="00636FDC"/>
    <w:rsid w:val="006370A6"/>
    <w:rsid w:val="006370E9"/>
    <w:rsid w:val="00637127"/>
    <w:rsid w:val="0063719C"/>
    <w:rsid w:val="0063725B"/>
    <w:rsid w:val="00637330"/>
    <w:rsid w:val="006374C0"/>
    <w:rsid w:val="00637B73"/>
    <w:rsid w:val="00637BCE"/>
    <w:rsid w:val="00637DC2"/>
    <w:rsid w:val="00637E4E"/>
    <w:rsid w:val="00637FD5"/>
    <w:rsid w:val="006403FE"/>
    <w:rsid w:val="00640627"/>
    <w:rsid w:val="00640A24"/>
    <w:rsid w:val="00640A60"/>
    <w:rsid w:val="00640B4D"/>
    <w:rsid w:val="00640BBA"/>
    <w:rsid w:val="00640D06"/>
    <w:rsid w:val="00640D39"/>
    <w:rsid w:val="00640EF3"/>
    <w:rsid w:val="00640F58"/>
    <w:rsid w:val="00641036"/>
    <w:rsid w:val="0064103D"/>
    <w:rsid w:val="00641203"/>
    <w:rsid w:val="00641221"/>
    <w:rsid w:val="00641918"/>
    <w:rsid w:val="00641A12"/>
    <w:rsid w:val="00641A8D"/>
    <w:rsid w:val="00641D3E"/>
    <w:rsid w:val="00641DC2"/>
    <w:rsid w:val="00641DE9"/>
    <w:rsid w:val="00641EF2"/>
    <w:rsid w:val="00641F7F"/>
    <w:rsid w:val="006423D7"/>
    <w:rsid w:val="0064288A"/>
    <w:rsid w:val="00642890"/>
    <w:rsid w:val="00642AB7"/>
    <w:rsid w:val="00642B51"/>
    <w:rsid w:val="00642D9A"/>
    <w:rsid w:val="00642DEF"/>
    <w:rsid w:val="00642DF2"/>
    <w:rsid w:val="006432BC"/>
    <w:rsid w:val="006432C6"/>
    <w:rsid w:val="006433BB"/>
    <w:rsid w:val="00643836"/>
    <w:rsid w:val="0064397F"/>
    <w:rsid w:val="006439A0"/>
    <w:rsid w:val="00643D81"/>
    <w:rsid w:val="00643DA0"/>
    <w:rsid w:val="00643EB9"/>
    <w:rsid w:val="00643ECC"/>
    <w:rsid w:val="00643EF4"/>
    <w:rsid w:val="00644143"/>
    <w:rsid w:val="006443F4"/>
    <w:rsid w:val="00644420"/>
    <w:rsid w:val="006446CE"/>
    <w:rsid w:val="006448E0"/>
    <w:rsid w:val="00644D45"/>
    <w:rsid w:val="00644E6B"/>
    <w:rsid w:val="00644F5E"/>
    <w:rsid w:val="00644F83"/>
    <w:rsid w:val="00644FD5"/>
    <w:rsid w:val="00644FF4"/>
    <w:rsid w:val="00645161"/>
    <w:rsid w:val="00645272"/>
    <w:rsid w:val="006454DD"/>
    <w:rsid w:val="006459D2"/>
    <w:rsid w:val="00645AD5"/>
    <w:rsid w:val="00645B16"/>
    <w:rsid w:val="00645FFF"/>
    <w:rsid w:val="00646000"/>
    <w:rsid w:val="006460D2"/>
    <w:rsid w:val="006460EF"/>
    <w:rsid w:val="006461A7"/>
    <w:rsid w:val="00646204"/>
    <w:rsid w:val="00646874"/>
    <w:rsid w:val="006469DB"/>
    <w:rsid w:val="006469F4"/>
    <w:rsid w:val="00646CA6"/>
    <w:rsid w:val="00646CC4"/>
    <w:rsid w:val="00646DFC"/>
    <w:rsid w:val="00646EEF"/>
    <w:rsid w:val="006471C2"/>
    <w:rsid w:val="0064728E"/>
    <w:rsid w:val="0064754B"/>
    <w:rsid w:val="00647706"/>
    <w:rsid w:val="006477ED"/>
    <w:rsid w:val="0064793F"/>
    <w:rsid w:val="00647B7C"/>
    <w:rsid w:val="00647D46"/>
    <w:rsid w:val="00647DDF"/>
    <w:rsid w:val="00647E29"/>
    <w:rsid w:val="00647E94"/>
    <w:rsid w:val="00650003"/>
    <w:rsid w:val="00650163"/>
    <w:rsid w:val="00650A68"/>
    <w:rsid w:val="00650AC2"/>
    <w:rsid w:val="00650CB3"/>
    <w:rsid w:val="00650F89"/>
    <w:rsid w:val="00651131"/>
    <w:rsid w:val="006513A9"/>
    <w:rsid w:val="0065153A"/>
    <w:rsid w:val="00651555"/>
    <w:rsid w:val="0065166F"/>
    <w:rsid w:val="0065171D"/>
    <w:rsid w:val="00651878"/>
    <w:rsid w:val="00651CFF"/>
    <w:rsid w:val="00651D55"/>
    <w:rsid w:val="00651E45"/>
    <w:rsid w:val="00651F26"/>
    <w:rsid w:val="00651FE2"/>
    <w:rsid w:val="0065203E"/>
    <w:rsid w:val="006520E5"/>
    <w:rsid w:val="00652160"/>
    <w:rsid w:val="00652217"/>
    <w:rsid w:val="006522C9"/>
    <w:rsid w:val="00652385"/>
    <w:rsid w:val="0065241D"/>
    <w:rsid w:val="00652604"/>
    <w:rsid w:val="00652701"/>
    <w:rsid w:val="00652916"/>
    <w:rsid w:val="0065292E"/>
    <w:rsid w:val="00652B80"/>
    <w:rsid w:val="00652CE3"/>
    <w:rsid w:val="00652D46"/>
    <w:rsid w:val="00652E1C"/>
    <w:rsid w:val="00652E9A"/>
    <w:rsid w:val="0065306D"/>
    <w:rsid w:val="006530A5"/>
    <w:rsid w:val="006531F0"/>
    <w:rsid w:val="006532CD"/>
    <w:rsid w:val="0065375C"/>
    <w:rsid w:val="00653775"/>
    <w:rsid w:val="006538B7"/>
    <w:rsid w:val="006538DC"/>
    <w:rsid w:val="00653935"/>
    <w:rsid w:val="006539B1"/>
    <w:rsid w:val="00653B27"/>
    <w:rsid w:val="00653B4E"/>
    <w:rsid w:val="00653BBE"/>
    <w:rsid w:val="00653C4D"/>
    <w:rsid w:val="00653D64"/>
    <w:rsid w:val="00653F9D"/>
    <w:rsid w:val="0065401C"/>
    <w:rsid w:val="006541AE"/>
    <w:rsid w:val="006541EA"/>
    <w:rsid w:val="0065451E"/>
    <w:rsid w:val="0065463B"/>
    <w:rsid w:val="006546BF"/>
    <w:rsid w:val="0065475F"/>
    <w:rsid w:val="006549B4"/>
    <w:rsid w:val="00654B12"/>
    <w:rsid w:val="00654C3A"/>
    <w:rsid w:val="00654CDB"/>
    <w:rsid w:val="00654D11"/>
    <w:rsid w:val="00654D5D"/>
    <w:rsid w:val="00654E80"/>
    <w:rsid w:val="00655061"/>
    <w:rsid w:val="00655104"/>
    <w:rsid w:val="00655277"/>
    <w:rsid w:val="0065529C"/>
    <w:rsid w:val="0065536B"/>
    <w:rsid w:val="00655563"/>
    <w:rsid w:val="00655609"/>
    <w:rsid w:val="006557AF"/>
    <w:rsid w:val="006558E5"/>
    <w:rsid w:val="00655E0B"/>
    <w:rsid w:val="00656013"/>
    <w:rsid w:val="00656200"/>
    <w:rsid w:val="00656236"/>
    <w:rsid w:val="006562D7"/>
    <w:rsid w:val="00656403"/>
    <w:rsid w:val="0065651B"/>
    <w:rsid w:val="006565F1"/>
    <w:rsid w:val="006566DF"/>
    <w:rsid w:val="00656730"/>
    <w:rsid w:val="00656761"/>
    <w:rsid w:val="0065686F"/>
    <w:rsid w:val="00656A7A"/>
    <w:rsid w:val="00656A93"/>
    <w:rsid w:val="00656C94"/>
    <w:rsid w:val="00656CA1"/>
    <w:rsid w:val="00656F33"/>
    <w:rsid w:val="006570B6"/>
    <w:rsid w:val="0065722C"/>
    <w:rsid w:val="006575A7"/>
    <w:rsid w:val="006575BB"/>
    <w:rsid w:val="0065774A"/>
    <w:rsid w:val="00657753"/>
    <w:rsid w:val="00657819"/>
    <w:rsid w:val="006579E8"/>
    <w:rsid w:val="00657A90"/>
    <w:rsid w:val="00657E31"/>
    <w:rsid w:val="00657E51"/>
    <w:rsid w:val="00657E55"/>
    <w:rsid w:val="00657F8B"/>
    <w:rsid w:val="0066006B"/>
    <w:rsid w:val="006600EC"/>
    <w:rsid w:val="006607E8"/>
    <w:rsid w:val="00660AB1"/>
    <w:rsid w:val="00660B8D"/>
    <w:rsid w:val="00660E7F"/>
    <w:rsid w:val="00661492"/>
    <w:rsid w:val="006616D9"/>
    <w:rsid w:val="00661832"/>
    <w:rsid w:val="00661979"/>
    <w:rsid w:val="00661B53"/>
    <w:rsid w:val="00661B65"/>
    <w:rsid w:val="006621AB"/>
    <w:rsid w:val="00662279"/>
    <w:rsid w:val="006622E1"/>
    <w:rsid w:val="006624B8"/>
    <w:rsid w:val="00662580"/>
    <w:rsid w:val="00662619"/>
    <w:rsid w:val="0066267B"/>
    <w:rsid w:val="006626CB"/>
    <w:rsid w:val="00662C96"/>
    <w:rsid w:val="00662CE0"/>
    <w:rsid w:val="00662CE7"/>
    <w:rsid w:val="00663066"/>
    <w:rsid w:val="0066312A"/>
    <w:rsid w:val="00663275"/>
    <w:rsid w:val="00663463"/>
    <w:rsid w:val="0066346C"/>
    <w:rsid w:val="0066352C"/>
    <w:rsid w:val="00663714"/>
    <w:rsid w:val="00663AAC"/>
    <w:rsid w:val="00663AF4"/>
    <w:rsid w:val="00663DAA"/>
    <w:rsid w:val="00663E11"/>
    <w:rsid w:val="00663F0C"/>
    <w:rsid w:val="0066404E"/>
    <w:rsid w:val="006640E5"/>
    <w:rsid w:val="00664173"/>
    <w:rsid w:val="006641D1"/>
    <w:rsid w:val="006641F0"/>
    <w:rsid w:val="0066433A"/>
    <w:rsid w:val="0066453F"/>
    <w:rsid w:val="006647AE"/>
    <w:rsid w:val="0066481E"/>
    <w:rsid w:val="0066489E"/>
    <w:rsid w:val="00664C93"/>
    <w:rsid w:val="00665187"/>
    <w:rsid w:val="006653E9"/>
    <w:rsid w:val="006655D4"/>
    <w:rsid w:val="006657A6"/>
    <w:rsid w:val="006657C8"/>
    <w:rsid w:val="006658D3"/>
    <w:rsid w:val="006659B7"/>
    <w:rsid w:val="00665ABA"/>
    <w:rsid w:val="00665AC8"/>
    <w:rsid w:val="00665B1D"/>
    <w:rsid w:val="00665F7A"/>
    <w:rsid w:val="006660E7"/>
    <w:rsid w:val="00666188"/>
    <w:rsid w:val="006661FB"/>
    <w:rsid w:val="006664AA"/>
    <w:rsid w:val="006668BC"/>
    <w:rsid w:val="00666AA9"/>
    <w:rsid w:val="00666C9B"/>
    <w:rsid w:val="006670D2"/>
    <w:rsid w:val="00667139"/>
    <w:rsid w:val="0066750D"/>
    <w:rsid w:val="006676F1"/>
    <w:rsid w:val="00667760"/>
    <w:rsid w:val="006677A5"/>
    <w:rsid w:val="00667841"/>
    <w:rsid w:val="00667927"/>
    <w:rsid w:val="00667AA0"/>
    <w:rsid w:val="00667AFC"/>
    <w:rsid w:val="00667B80"/>
    <w:rsid w:val="00667C2C"/>
    <w:rsid w:val="00667DEE"/>
    <w:rsid w:val="00667EBF"/>
    <w:rsid w:val="006700BC"/>
    <w:rsid w:val="006701EC"/>
    <w:rsid w:val="0067047B"/>
    <w:rsid w:val="0067051F"/>
    <w:rsid w:val="00670695"/>
    <w:rsid w:val="006707D2"/>
    <w:rsid w:val="00670B1F"/>
    <w:rsid w:val="00670BE7"/>
    <w:rsid w:val="00670CCA"/>
    <w:rsid w:val="00670CF3"/>
    <w:rsid w:val="00670F30"/>
    <w:rsid w:val="00671022"/>
    <w:rsid w:val="0067107C"/>
    <w:rsid w:val="0067128F"/>
    <w:rsid w:val="0067129C"/>
    <w:rsid w:val="006712DB"/>
    <w:rsid w:val="006713B9"/>
    <w:rsid w:val="006714B6"/>
    <w:rsid w:val="006715A1"/>
    <w:rsid w:val="00671685"/>
    <w:rsid w:val="006717D0"/>
    <w:rsid w:val="00671CC5"/>
    <w:rsid w:val="00672501"/>
    <w:rsid w:val="0067262C"/>
    <w:rsid w:val="006729FB"/>
    <w:rsid w:val="00672AFF"/>
    <w:rsid w:val="00672C1B"/>
    <w:rsid w:val="00672DFF"/>
    <w:rsid w:val="00672EAC"/>
    <w:rsid w:val="00672F5B"/>
    <w:rsid w:val="00672FB9"/>
    <w:rsid w:val="006730C8"/>
    <w:rsid w:val="00673455"/>
    <w:rsid w:val="006734A3"/>
    <w:rsid w:val="006735E9"/>
    <w:rsid w:val="00673707"/>
    <w:rsid w:val="006737EB"/>
    <w:rsid w:val="00673858"/>
    <w:rsid w:val="006739A8"/>
    <w:rsid w:val="00673D30"/>
    <w:rsid w:val="00673EDB"/>
    <w:rsid w:val="00673F52"/>
    <w:rsid w:val="006740A5"/>
    <w:rsid w:val="006741D3"/>
    <w:rsid w:val="006744D5"/>
    <w:rsid w:val="00674528"/>
    <w:rsid w:val="00674760"/>
    <w:rsid w:val="0067481D"/>
    <w:rsid w:val="00674848"/>
    <w:rsid w:val="00674B0B"/>
    <w:rsid w:val="00674B11"/>
    <w:rsid w:val="00674EF5"/>
    <w:rsid w:val="00674F1E"/>
    <w:rsid w:val="0067506D"/>
    <w:rsid w:val="0067508B"/>
    <w:rsid w:val="00675367"/>
    <w:rsid w:val="006756CF"/>
    <w:rsid w:val="00675B2B"/>
    <w:rsid w:val="00675C74"/>
    <w:rsid w:val="00675CE4"/>
    <w:rsid w:val="00675CF3"/>
    <w:rsid w:val="00675D11"/>
    <w:rsid w:val="00675EC4"/>
    <w:rsid w:val="00675F26"/>
    <w:rsid w:val="0067616E"/>
    <w:rsid w:val="00676213"/>
    <w:rsid w:val="0067623D"/>
    <w:rsid w:val="00676387"/>
    <w:rsid w:val="0067658C"/>
    <w:rsid w:val="006766E2"/>
    <w:rsid w:val="006767A2"/>
    <w:rsid w:val="006768FC"/>
    <w:rsid w:val="00676B73"/>
    <w:rsid w:val="00677064"/>
    <w:rsid w:val="00677079"/>
    <w:rsid w:val="0067713E"/>
    <w:rsid w:val="006771F4"/>
    <w:rsid w:val="00677267"/>
    <w:rsid w:val="006772CA"/>
    <w:rsid w:val="00677401"/>
    <w:rsid w:val="006779C9"/>
    <w:rsid w:val="00677B9B"/>
    <w:rsid w:val="00677DA8"/>
    <w:rsid w:val="00677F47"/>
    <w:rsid w:val="00677FE0"/>
    <w:rsid w:val="0068014D"/>
    <w:rsid w:val="006802F6"/>
    <w:rsid w:val="00680347"/>
    <w:rsid w:val="00680558"/>
    <w:rsid w:val="006805F2"/>
    <w:rsid w:val="006807DC"/>
    <w:rsid w:val="006809AF"/>
    <w:rsid w:val="00680B03"/>
    <w:rsid w:val="00680D05"/>
    <w:rsid w:val="00680D66"/>
    <w:rsid w:val="00680E5E"/>
    <w:rsid w:val="00680F2C"/>
    <w:rsid w:val="006810E5"/>
    <w:rsid w:val="006811D0"/>
    <w:rsid w:val="0068123A"/>
    <w:rsid w:val="006813D1"/>
    <w:rsid w:val="00681426"/>
    <w:rsid w:val="00681430"/>
    <w:rsid w:val="006814AD"/>
    <w:rsid w:val="00681656"/>
    <w:rsid w:val="006817DC"/>
    <w:rsid w:val="00681D4A"/>
    <w:rsid w:val="00681FDF"/>
    <w:rsid w:val="00682227"/>
    <w:rsid w:val="006824DA"/>
    <w:rsid w:val="006828CA"/>
    <w:rsid w:val="00682AD6"/>
    <w:rsid w:val="00682EC4"/>
    <w:rsid w:val="00682F1B"/>
    <w:rsid w:val="006830B1"/>
    <w:rsid w:val="00683476"/>
    <w:rsid w:val="00683538"/>
    <w:rsid w:val="00683AD5"/>
    <w:rsid w:val="00683B22"/>
    <w:rsid w:val="00683D24"/>
    <w:rsid w:val="00683D25"/>
    <w:rsid w:val="00683E18"/>
    <w:rsid w:val="00683E1C"/>
    <w:rsid w:val="0068427C"/>
    <w:rsid w:val="006847E9"/>
    <w:rsid w:val="00684C13"/>
    <w:rsid w:val="0068500B"/>
    <w:rsid w:val="00685011"/>
    <w:rsid w:val="00685251"/>
    <w:rsid w:val="0068537E"/>
    <w:rsid w:val="006853EF"/>
    <w:rsid w:val="00685465"/>
    <w:rsid w:val="00685506"/>
    <w:rsid w:val="00685521"/>
    <w:rsid w:val="00685721"/>
    <w:rsid w:val="0068586A"/>
    <w:rsid w:val="00685BB7"/>
    <w:rsid w:val="00685CEF"/>
    <w:rsid w:val="00685F65"/>
    <w:rsid w:val="00685F82"/>
    <w:rsid w:val="00685FAC"/>
    <w:rsid w:val="006862BC"/>
    <w:rsid w:val="00686307"/>
    <w:rsid w:val="00686349"/>
    <w:rsid w:val="00686670"/>
    <w:rsid w:val="006866FD"/>
    <w:rsid w:val="00686728"/>
    <w:rsid w:val="00686893"/>
    <w:rsid w:val="00686932"/>
    <w:rsid w:val="00686A33"/>
    <w:rsid w:val="00686A8D"/>
    <w:rsid w:val="00686B0F"/>
    <w:rsid w:val="00686B2C"/>
    <w:rsid w:val="00686CB6"/>
    <w:rsid w:val="00686F20"/>
    <w:rsid w:val="00687104"/>
    <w:rsid w:val="0068725D"/>
    <w:rsid w:val="006872F1"/>
    <w:rsid w:val="006874E7"/>
    <w:rsid w:val="006875D3"/>
    <w:rsid w:val="006877AD"/>
    <w:rsid w:val="00687AF4"/>
    <w:rsid w:val="00687B2D"/>
    <w:rsid w:val="00687E0E"/>
    <w:rsid w:val="0069058D"/>
    <w:rsid w:val="006907C4"/>
    <w:rsid w:val="00690E45"/>
    <w:rsid w:val="00691037"/>
    <w:rsid w:val="0069139C"/>
    <w:rsid w:val="00691434"/>
    <w:rsid w:val="00691505"/>
    <w:rsid w:val="006915C9"/>
    <w:rsid w:val="0069176C"/>
    <w:rsid w:val="00691849"/>
    <w:rsid w:val="00691BB5"/>
    <w:rsid w:val="00691D47"/>
    <w:rsid w:val="00691D94"/>
    <w:rsid w:val="00691DCD"/>
    <w:rsid w:val="00691EA7"/>
    <w:rsid w:val="00691EE1"/>
    <w:rsid w:val="006921E8"/>
    <w:rsid w:val="0069227F"/>
    <w:rsid w:val="00692395"/>
    <w:rsid w:val="00692578"/>
    <w:rsid w:val="00692900"/>
    <w:rsid w:val="006931B4"/>
    <w:rsid w:val="00693678"/>
    <w:rsid w:val="00693692"/>
    <w:rsid w:val="00693818"/>
    <w:rsid w:val="00693A91"/>
    <w:rsid w:val="00693AE1"/>
    <w:rsid w:val="00693C32"/>
    <w:rsid w:val="00693CEB"/>
    <w:rsid w:val="00693E39"/>
    <w:rsid w:val="006941B4"/>
    <w:rsid w:val="0069428E"/>
    <w:rsid w:val="006943F8"/>
    <w:rsid w:val="00694855"/>
    <w:rsid w:val="00694A52"/>
    <w:rsid w:val="00694AB4"/>
    <w:rsid w:val="00694CE2"/>
    <w:rsid w:val="00694DFF"/>
    <w:rsid w:val="0069513B"/>
    <w:rsid w:val="00695241"/>
    <w:rsid w:val="00695300"/>
    <w:rsid w:val="0069567F"/>
    <w:rsid w:val="00695709"/>
    <w:rsid w:val="0069579F"/>
    <w:rsid w:val="00695823"/>
    <w:rsid w:val="00695937"/>
    <w:rsid w:val="006959E7"/>
    <w:rsid w:val="00695AC8"/>
    <w:rsid w:val="00695B0A"/>
    <w:rsid w:val="00695B37"/>
    <w:rsid w:val="00695CDB"/>
    <w:rsid w:val="00695CF8"/>
    <w:rsid w:val="00695E6D"/>
    <w:rsid w:val="00696006"/>
    <w:rsid w:val="0069619E"/>
    <w:rsid w:val="0069619F"/>
    <w:rsid w:val="006966E6"/>
    <w:rsid w:val="006968C6"/>
    <w:rsid w:val="0069694B"/>
    <w:rsid w:val="0069696C"/>
    <w:rsid w:val="006969AF"/>
    <w:rsid w:val="00696B08"/>
    <w:rsid w:val="00696B54"/>
    <w:rsid w:val="00696C03"/>
    <w:rsid w:val="006971C1"/>
    <w:rsid w:val="006974B7"/>
    <w:rsid w:val="006975FE"/>
    <w:rsid w:val="0069762A"/>
    <w:rsid w:val="00697663"/>
    <w:rsid w:val="0069766F"/>
    <w:rsid w:val="006979CC"/>
    <w:rsid w:val="00697D17"/>
    <w:rsid w:val="006A007D"/>
    <w:rsid w:val="006A00B0"/>
    <w:rsid w:val="006A0176"/>
    <w:rsid w:val="006A02B6"/>
    <w:rsid w:val="006A02C9"/>
    <w:rsid w:val="006A0384"/>
    <w:rsid w:val="006A063D"/>
    <w:rsid w:val="006A069F"/>
    <w:rsid w:val="006A093A"/>
    <w:rsid w:val="006A09DA"/>
    <w:rsid w:val="006A0A22"/>
    <w:rsid w:val="006A0A98"/>
    <w:rsid w:val="006A0AE3"/>
    <w:rsid w:val="006A0EB1"/>
    <w:rsid w:val="006A1061"/>
    <w:rsid w:val="006A147E"/>
    <w:rsid w:val="006A18EB"/>
    <w:rsid w:val="006A1961"/>
    <w:rsid w:val="006A1A8E"/>
    <w:rsid w:val="006A1AD5"/>
    <w:rsid w:val="006A1B42"/>
    <w:rsid w:val="006A1B97"/>
    <w:rsid w:val="006A1F54"/>
    <w:rsid w:val="006A1F79"/>
    <w:rsid w:val="006A2208"/>
    <w:rsid w:val="006A23E8"/>
    <w:rsid w:val="006A26CF"/>
    <w:rsid w:val="006A2768"/>
    <w:rsid w:val="006A278B"/>
    <w:rsid w:val="006A29F3"/>
    <w:rsid w:val="006A2A86"/>
    <w:rsid w:val="006A2AE3"/>
    <w:rsid w:val="006A2BB4"/>
    <w:rsid w:val="006A2E0A"/>
    <w:rsid w:val="006A2E2B"/>
    <w:rsid w:val="006A2E55"/>
    <w:rsid w:val="006A2EE2"/>
    <w:rsid w:val="006A2F7E"/>
    <w:rsid w:val="006A3030"/>
    <w:rsid w:val="006A30F0"/>
    <w:rsid w:val="006A3216"/>
    <w:rsid w:val="006A329B"/>
    <w:rsid w:val="006A33C2"/>
    <w:rsid w:val="006A359C"/>
    <w:rsid w:val="006A3781"/>
    <w:rsid w:val="006A3AE3"/>
    <w:rsid w:val="006A3C07"/>
    <w:rsid w:val="006A3F53"/>
    <w:rsid w:val="006A4298"/>
    <w:rsid w:val="006A4389"/>
    <w:rsid w:val="006A4422"/>
    <w:rsid w:val="006A449A"/>
    <w:rsid w:val="006A453C"/>
    <w:rsid w:val="006A4686"/>
    <w:rsid w:val="006A49A6"/>
    <w:rsid w:val="006A4ACA"/>
    <w:rsid w:val="006A4CCC"/>
    <w:rsid w:val="006A4E2B"/>
    <w:rsid w:val="006A4EFD"/>
    <w:rsid w:val="006A5028"/>
    <w:rsid w:val="006A53FD"/>
    <w:rsid w:val="006A545D"/>
    <w:rsid w:val="006A54D1"/>
    <w:rsid w:val="006A55CB"/>
    <w:rsid w:val="006A5644"/>
    <w:rsid w:val="006A566C"/>
    <w:rsid w:val="006A5869"/>
    <w:rsid w:val="006A5A56"/>
    <w:rsid w:val="006A5AAC"/>
    <w:rsid w:val="006A5C48"/>
    <w:rsid w:val="006A5D7C"/>
    <w:rsid w:val="006A5D91"/>
    <w:rsid w:val="006A600D"/>
    <w:rsid w:val="006A6061"/>
    <w:rsid w:val="006A62D8"/>
    <w:rsid w:val="006A6310"/>
    <w:rsid w:val="006A6314"/>
    <w:rsid w:val="006A631B"/>
    <w:rsid w:val="006A638F"/>
    <w:rsid w:val="006A6851"/>
    <w:rsid w:val="006A6889"/>
    <w:rsid w:val="006A69D9"/>
    <w:rsid w:val="006A6A65"/>
    <w:rsid w:val="006A6DE8"/>
    <w:rsid w:val="006A6EE1"/>
    <w:rsid w:val="006A6FE6"/>
    <w:rsid w:val="006A70A8"/>
    <w:rsid w:val="006A7171"/>
    <w:rsid w:val="006A71F5"/>
    <w:rsid w:val="006A740F"/>
    <w:rsid w:val="006A7510"/>
    <w:rsid w:val="006A7533"/>
    <w:rsid w:val="006A761A"/>
    <w:rsid w:val="006A76EF"/>
    <w:rsid w:val="006A77F3"/>
    <w:rsid w:val="006A7833"/>
    <w:rsid w:val="006A7860"/>
    <w:rsid w:val="006A79F6"/>
    <w:rsid w:val="006A7BDD"/>
    <w:rsid w:val="006A7D10"/>
    <w:rsid w:val="006B0322"/>
    <w:rsid w:val="006B0390"/>
    <w:rsid w:val="006B03DD"/>
    <w:rsid w:val="006B0461"/>
    <w:rsid w:val="006B04FC"/>
    <w:rsid w:val="006B08DF"/>
    <w:rsid w:val="006B09CC"/>
    <w:rsid w:val="006B0A1A"/>
    <w:rsid w:val="006B0AE4"/>
    <w:rsid w:val="006B0B4A"/>
    <w:rsid w:val="006B0CA2"/>
    <w:rsid w:val="006B0DA2"/>
    <w:rsid w:val="006B0F66"/>
    <w:rsid w:val="006B0F72"/>
    <w:rsid w:val="006B0FFC"/>
    <w:rsid w:val="006B12FD"/>
    <w:rsid w:val="006B1552"/>
    <w:rsid w:val="006B189F"/>
    <w:rsid w:val="006B190E"/>
    <w:rsid w:val="006B1A45"/>
    <w:rsid w:val="006B1AA8"/>
    <w:rsid w:val="006B1B67"/>
    <w:rsid w:val="006B1BAF"/>
    <w:rsid w:val="006B1BB1"/>
    <w:rsid w:val="006B1C2C"/>
    <w:rsid w:val="006B1D04"/>
    <w:rsid w:val="006B1DF1"/>
    <w:rsid w:val="006B1E07"/>
    <w:rsid w:val="006B1E33"/>
    <w:rsid w:val="006B2A1E"/>
    <w:rsid w:val="006B2A4A"/>
    <w:rsid w:val="006B2A65"/>
    <w:rsid w:val="006B2C1E"/>
    <w:rsid w:val="006B2C7C"/>
    <w:rsid w:val="006B2E81"/>
    <w:rsid w:val="006B32A2"/>
    <w:rsid w:val="006B3403"/>
    <w:rsid w:val="006B3471"/>
    <w:rsid w:val="006B354D"/>
    <w:rsid w:val="006B3818"/>
    <w:rsid w:val="006B38A0"/>
    <w:rsid w:val="006B39A2"/>
    <w:rsid w:val="006B3AB1"/>
    <w:rsid w:val="006B3BEF"/>
    <w:rsid w:val="006B3C47"/>
    <w:rsid w:val="006B3D35"/>
    <w:rsid w:val="006B3F08"/>
    <w:rsid w:val="006B3F3C"/>
    <w:rsid w:val="006B3F81"/>
    <w:rsid w:val="006B402F"/>
    <w:rsid w:val="006B4134"/>
    <w:rsid w:val="006B4159"/>
    <w:rsid w:val="006B438D"/>
    <w:rsid w:val="006B449D"/>
    <w:rsid w:val="006B45FD"/>
    <w:rsid w:val="006B462A"/>
    <w:rsid w:val="006B472A"/>
    <w:rsid w:val="006B47E7"/>
    <w:rsid w:val="006B4BAE"/>
    <w:rsid w:val="006B4C52"/>
    <w:rsid w:val="006B4E92"/>
    <w:rsid w:val="006B50CC"/>
    <w:rsid w:val="006B5523"/>
    <w:rsid w:val="006B5768"/>
    <w:rsid w:val="006B5BBE"/>
    <w:rsid w:val="006B5BD7"/>
    <w:rsid w:val="006B5F58"/>
    <w:rsid w:val="006B5FF2"/>
    <w:rsid w:val="006B61C5"/>
    <w:rsid w:val="006B625B"/>
    <w:rsid w:val="006B6667"/>
    <w:rsid w:val="006B69AD"/>
    <w:rsid w:val="006B6E72"/>
    <w:rsid w:val="006B7042"/>
    <w:rsid w:val="006B7229"/>
    <w:rsid w:val="006B7514"/>
    <w:rsid w:val="006B7705"/>
    <w:rsid w:val="006B7AD5"/>
    <w:rsid w:val="006B7B13"/>
    <w:rsid w:val="006B7B60"/>
    <w:rsid w:val="006B7E87"/>
    <w:rsid w:val="006C04CB"/>
    <w:rsid w:val="006C0685"/>
    <w:rsid w:val="006C06BA"/>
    <w:rsid w:val="006C076C"/>
    <w:rsid w:val="006C0862"/>
    <w:rsid w:val="006C0ACE"/>
    <w:rsid w:val="006C0C0A"/>
    <w:rsid w:val="006C0C4D"/>
    <w:rsid w:val="006C0D12"/>
    <w:rsid w:val="006C110A"/>
    <w:rsid w:val="006C142A"/>
    <w:rsid w:val="006C15E5"/>
    <w:rsid w:val="006C176E"/>
    <w:rsid w:val="006C1892"/>
    <w:rsid w:val="006C1B66"/>
    <w:rsid w:val="006C1CD9"/>
    <w:rsid w:val="006C1DC5"/>
    <w:rsid w:val="006C2073"/>
    <w:rsid w:val="006C2348"/>
    <w:rsid w:val="006C2652"/>
    <w:rsid w:val="006C26B1"/>
    <w:rsid w:val="006C2C09"/>
    <w:rsid w:val="006C2D52"/>
    <w:rsid w:val="006C2DCB"/>
    <w:rsid w:val="006C2E40"/>
    <w:rsid w:val="006C2F42"/>
    <w:rsid w:val="006C301F"/>
    <w:rsid w:val="006C3027"/>
    <w:rsid w:val="006C30CF"/>
    <w:rsid w:val="006C3257"/>
    <w:rsid w:val="006C338A"/>
    <w:rsid w:val="006C33E3"/>
    <w:rsid w:val="006C35AF"/>
    <w:rsid w:val="006C3642"/>
    <w:rsid w:val="006C373E"/>
    <w:rsid w:val="006C3810"/>
    <w:rsid w:val="006C3910"/>
    <w:rsid w:val="006C3A7B"/>
    <w:rsid w:val="006C3BCB"/>
    <w:rsid w:val="006C4324"/>
    <w:rsid w:val="006C43C9"/>
    <w:rsid w:val="006C49AF"/>
    <w:rsid w:val="006C4B43"/>
    <w:rsid w:val="006C4CC3"/>
    <w:rsid w:val="006C4FE1"/>
    <w:rsid w:val="006C534C"/>
    <w:rsid w:val="006C5734"/>
    <w:rsid w:val="006C588C"/>
    <w:rsid w:val="006C5BD1"/>
    <w:rsid w:val="006C5EAB"/>
    <w:rsid w:val="006C603E"/>
    <w:rsid w:val="006C60DB"/>
    <w:rsid w:val="006C6203"/>
    <w:rsid w:val="006C6398"/>
    <w:rsid w:val="006C642D"/>
    <w:rsid w:val="006C66D2"/>
    <w:rsid w:val="006C6ABF"/>
    <w:rsid w:val="006C6C0E"/>
    <w:rsid w:val="006C6C28"/>
    <w:rsid w:val="006C6D91"/>
    <w:rsid w:val="006C6F15"/>
    <w:rsid w:val="006C7017"/>
    <w:rsid w:val="006C7202"/>
    <w:rsid w:val="006C74DD"/>
    <w:rsid w:val="006C7503"/>
    <w:rsid w:val="006C7760"/>
    <w:rsid w:val="006C77D9"/>
    <w:rsid w:val="006C78A4"/>
    <w:rsid w:val="006C7A5B"/>
    <w:rsid w:val="006C7A65"/>
    <w:rsid w:val="006C7D3F"/>
    <w:rsid w:val="006C7D9E"/>
    <w:rsid w:val="006D0078"/>
    <w:rsid w:val="006D023F"/>
    <w:rsid w:val="006D033D"/>
    <w:rsid w:val="006D039C"/>
    <w:rsid w:val="006D05DD"/>
    <w:rsid w:val="006D0869"/>
    <w:rsid w:val="006D09CF"/>
    <w:rsid w:val="006D0A28"/>
    <w:rsid w:val="006D0A89"/>
    <w:rsid w:val="006D0AB6"/>
    <w:rsid w:val="006D0B45"/>
    <w:rsid w:val="006D0CAD"/>
    <w:rsid w:val="006D0F68"/>
    <w:rsid w:val="006D0FA6"/>
    <w:rsid w:val="006D0FAD"/>
    <w:rsid w:val="006D0FCC"/>
    <w:rsid w:val="006D10D3"/>
    <w:rsid w:val="006D123B"/>
    <w:rsid w:val="006D12DA"/>
    <w:rsid w:val="006D13AC"/>
    <w:rsid w:val="006D1443"/>
    <w:rsid w:val="006D159C"/>
    <w:rsid w:val="006D15B1"/>
    <w:rsid w:val="006D15FA"/>
    <w:rsid w:val="006D1831"/>
    <w:rsid w:val="006D18FB"/>
    <w:rsid w:val="006D19F9"/>
    <w:rsid w:val="006D1AFA"/>
    <w:rsid w:val="006D1BE8"/>
    <w:rsid w:val="006D1C49"/>
    <w:rsid w:val="006D1C54"/>
    <w:rsid w:val="006D1CC9"/>
    <w:rsid w:val="006D1D4A"/>
    <w:rsid w:val="006D1DA7"/>
    <w:rsid w:val="006D1F45"/>
    <w:rsid w:val="006D1F57"/>
    <w:rsid w:val="006D205B"/>
    <w:rsid w:val="006D20D2"/>
    <w:rsid w:val="006D22C6"/>
    <w:rsid w:val="006D27B0"/>
    <w:rsid w:val="006D28A6"/>
    <w:rsid w:val="006D2B09"/>
    <w:rsid w:val="006D2C05"/>
    <w:rsid w:val="006D2F42"/>
    <w:rsid w:val="006D317E"/>
    <w:rsid w:val="006D33C6"/>
    <w:rsid w:val="006D3611"/>
    <w:rsid w:val="006D363D"/>
    <w:rsid w:val="006D37FB"/>
    <w:rsid w:val="006D3821"/>
    <w:rsid w:val="006D3841"/>
    <w:rsid w:val="006D3C5D"/>
    <w:rsid w:val="006D40C5"/>
    <w:rsid w:val="006D41A6"/>
    <w:rsid w:val="006D4210"/>
    <w:rsid w:val="006D4281"/>
    <w:rsid w:val="006D4419"/>
    <w:rsid w:val="006D452C"/>
    <w:rsid w:val="006D458B"/>
    <w:rsid w:val="006D4592"/>
    <w:rsid w:val="006D4642"/>
    <w:rsid w:val="006D4656"/>
    <w:rsid w:val="006D46FB"/>
    <w:rsid w:val="006D49DB"/>
    <w:rsid w:val="006D4ACD"/>
    <w:rsid w:val="006D4B31"/>
    <w:rsid w:val="006D4B73"/>
    <w:rsid w:val="006D4BB9"/>
    <w:rsid w:val="006D4DE0"/>
    <w:rsid w:val="006D4F20"/>
    <w:rsid w:val="006D4F36"/>
    <w:rsid w:val="006D4FBE"/>
    <w:rsid w:val="006D52E6"/>
    <w:rsid w:val="006D5380"/>
    <w:rsid w:val="006D55A4"/>
    <w:rsid w:val="006D577E"/>
    <w:rsid w:val="006D5A87"/>
    <w:rsid w:val="006D5BAF"/>
    <w:rsid w:val="006D5BD0"/>
    <w:rsid w:val="006D5C62"/>
    <w:rsid w:val="006D5D70"/>
    <w:rsid w:val="006D5DDA"/>
    <w:rsid w:val="006D5E47"/>
    <w:rsid w:val="006D5E6A"/>
    <w:rsid w:val="006D60C1"/>
    <w:rsid w:val="006D61E6"/>
    <w:rsid w:val="006D621A"/>
    <w:rsid w:val="006D630E"/>
    <w:rsid w:val="006D64E1"/>
    <w:rsid w:val="006D67FA"/>
    <w:rsid w:val="006D6805"/>
    <w:rsid w:val="006D69AB"/>
    <w:rsid w:val="006D69EC"/>
    <w:rsid w:val="006D6EED"/>
    <w:rsid w:val="006D6F77"/>
    <w:rsid w:val="006D6F78"/>
    <w:rsid w:val="006D716D"/>
    <w:rsid w:val="006D7276"/>
    <w:rsid w:val="006D7482"/>
    <w:rsid w:val="006D76EA"/>
    <w:rsid w:val="006D7903"/>
    <w:rsid w:val="006D7B1F"/>
    <w:rsid w:val="006D7C74"/>
    <w:rsid w:val="006D7DD1"/>
    <w:rsid w:val="006D7DD3"/>
    <w:rsid w:val="006D7E4C"/>
    <w:rsid w:val="006E0285"/>
    <w:rsid w:val="006E031B"/>
    <w:rsid w:val="006E05AE"/>
    <w:rsid w:val="006E06FC"/>
    <w:rsid w:val="006E088E"/>
    <w:rsid w:val="006E1004"/>
    <w:rsid w:val="006E10A4"/>
    <w:rsid w:val="006E11BA"/>
    <w:rsid w:val="006E1287"/>
    <w:rsid w:val="006E12EE"/>
    <w:rsid w:val="006E1577"/>
    <w:rsid w:val="006E15A0"/>
    <w:rsid w:val="006E171E"/>
    <w:rsid w:val="006E1752"/>
    <w:rsid w:val="006E1956"/>
    <w:rsid w:val="006E1AA4"/>
    <w:rsid w:val="006E1CC2"/>
    <w:rsid w:val="006E1E04"/>
    <w:rsid w:val="006E215C"/>
    <w:rsid w:val="006E24FD"/>
    <w:rsid w:val="006E2505"/>
    <w:rsid w:val="006E2577"/>
    <w:rsid w:val="006E259E"/>
    <w:rsid w:val="006E266C"/>
    <w:rsid w:val="006E2702"/>
    <w:rsid w:val="006E2728"/>
    <w:rsid w:val="006E2BD3"/>
    <w:rsid w:val="006E2CBC"/>
    <w:rsid w:val="006E2D2E"/>
    <w:rsid w:val="006E2E5D"/>
    <w:rsid w:val="006E3061"/>
    <w:rsid w:val="006E30AF"/>
    <w:rsid w:val="006E3114"/>
    <w:rsid w:val="006E32C9"/>
    <w:rsid w:val="006E337E"/>
    <w:rsid w:val="006E3399"/>
    <w:rsid w:val="006E385F"/>
    <w:rsid w:val="006E38F5"/>
    <w:rsid w:val="006E3963"/>
    <w:rsid w:val="006E3A1B"/>
    <w:rsid w:val="006E3A90"/>
    <w:rsid w:val="006E3AE2"/>
    <w:rsid w:val="006E3C1B"/>
    <w:rsid w:val="006E3D2F"/>
    <w:rsid w:val="006E3EDA"/>
    <w:rsid w:val="006E3F1D"/>
    <w:rsid w:val="006E3FAF"/>
    <w:rsid w:val="006E40E9"/>
    <w:rsid w:val="006E41E4"/>
    <w:rsid w:val="006E4237"/>
    <w:rsid w:val="006E4264"/>
    <w:rsid w:val="006E42BD"/>
    <w:rsid w:val="006E42C7"/>
    <w:rsid w:val="006E466A"/>
    <w:rsid w:val="006E490F"/>
    <w:rsid w:val="006E4F29"/>
    <w:rsid w:val="006E5130"/>
    <w:rsid w:val="006E517A"/>
    <w:rsid w:val="006E51E3"/>
    <w:rsid w:val="006E56B4"/>
    <w:rsid w:val="006E5907"/>
    <w:rsid w:val="006E59C3"/>
    <w:rsid w:val="006E5C1F"/>
    <w:rsid w:val="006E5D47"/>
    <w:rsid w:val="006E5E58"/>
    <w:rsid w:val="006E5FFF"/>
    <w:rsid w:val="006E602A"/>
    <w:rsid w:val="006E6243"/>
    <w:rsid w:val="006E6260"/>
    <w:rsid w:val="006E63E0"/>
    <w:rsid w:val="006E646C"/>
    <w:rsid w:val="006E64AE"/>
    <w:rsid w:val="006E64CA"/>
    <w:rsid w:val="006E6595"/>
    <w:rsid w:val="006E66F4"/>
    <w:rsid w:val="006E6755"/>
    <w:rsid w:val="006E675A"/>
    <w:rsid w:val="006E678C"/>
    <w:rsid w:val="006E6A08"/>
    <w:rsid w:val="006E6A43"/>
    <w:rsid w:val="006E6B1B"/>
    <w:rsid w:val="006E6C0F"/>
    <w:rsid w:val="006E6F8B"/>
    <w:rsid w:val="006E6FD0"/>
    <w:rsid w:val="006E7147"/>
    <w:rsid w:val="006E7478"/>
    <w:rsid w:val="006E76A4"/>
    <w:rsid w:val="006E76CC"/>
    <w:rsid w:val="006E77C9"/>
    <w:rsid w:val="006E77E9"/>
    <w:rsid w:val="006E77F1"/>
    <w:rsid w:val="006E7BC8"/>
    <w:rsid w:val="006E7CA8"/>
    <w:rsid w:val="006E7CD3"/>
    <w:rsid w:val="006E7E03"/>
    <w:rsid w:val="006E7EA1"/>
    <w:rsid w:val="006E7F52"/>
    <w:rsid w:val="006F0156"/>
    <w:rsid w:val="006F0322"/>
    <w:rsid w:val="006F033D"/>
    <w:rsid w:val="006F05B7"/>
    <w:rsid w:val="006F0698"/>
    <w:rsid w:val="006F093B"/>
    <w:rsid w:val="006F0BC8"/>
    <w:rsid w:val="006F0BDE"/>
    <w:rsid w:val="006F122D"/>
    <w:rsid w:val="006F124E"/>
    <w:rsid w:val="006F166D"/>
    <w:rsid w:val="006F1A22"/>
    <w:rsid w:val="006F1A5D"/>
    <w:rsid w:val="006F1A8C"/>
    <w:rsid w:val="006F1B05"/>
    <w:rsid w:val="006F1C35"/>
    <w:rsid w:val="006F1C75"/>
    <w:rsid w:val="006F1D9D"/>
    <w:rsid w:val="006F1FB2"/>
    <w:rsid w:val="006F22E5"/>
    <w:rsid w:val="006F23A9"/>
    <w:rsid w:val="006F24F7"/>
    <w:rsid w:val="006F2734"/>
    <w:rsid w:val="006F2745"/>
    <w:rsid w:val="006F29BD"/>
    <w:rsid w:val="006F2D31"/>
    <w:rsid w:val="006F2DB6"/>
    <w:rsid w:val="006F2E65"/>
    <w:rsid w:val="006F2FA9"/>
    <w:rsid w:val="006F341F"/>
    <w:rsid w:val="006F35E0"/>
    <w:rsid w:val="006F3632"/>
    <w:rsid w:val="006F36D4"/>
    <w:rsid w:val="006F371D"/>
    <w:rsid w:val="006F381D"/>
    <w:rsid w:val="006F391D"/>
    <w:rsid w:val="006F3A6B"/>
    <w:rsid w:val="006F3B3F"/>
    <w:rsid w:val="006F3DD0"/>
    <w:rsid w:val="006F3E8B"/>
    <w:rsid w:val="006F3F93"/>
    <w:rsid w:val="006F3FCC"/>
    <w:rsid w:val="006F401F"/>
    <w:rsid w:val="006F42AE"/>
    <w:rsid w:val="006F49AB"/>
    <w:rsid w:val="006F4B27"/>
    <w:rsid w:val="006F4BA0"/>
    <w:rsid w:val="006F4D95"/>
    <w:rsid w:val="006F4DF0"/>
    <w:rsid w:val="006F4EF0"/>
    <w:rsid w:val="006F4F09"/>
    <w:rsid w:val="006F50C6"/>
    <w:rsid w:val="006F5287"/>
    <w:rsid w:val="006F5453"/>
    <w:rsid w:val="006F55E5"/>
    <w:rsid w:val="006F58E1"/>
    <w:rsid w:val="006F59CF"/>
    <w:rsid w:val="006F5A53"/>
    <w:rsid w:val="006F5A55"/>
    <w:rsid w:val="006F5ABA"/>
    <w:rsid w:val="006F5E3A"/>
    <w:rsid w:val="006F6003"/>
    <w:rsid w:val="006F624B"/>
    <w:rsid w:val="006F66E7"/>
    <w:rsid w:val="006F673C"/>
    <w:rsid w:val="006F682F"/>
    <w:rsid w:val="006F68A9"/>
    <w:rsid w:val="006F6A60"/>
    <w:rsid w:val="006F6B4F"/>
    <w:rsid w:val="006F6C61"/>
    <w:rsid w:val="006F6CA9"/>
    <w:rsid w:val="006F6D82"/>
    <w:rsid w:val="006F6E7C"/>
    <w:rsid w:val="006F70EA"/>
    <w:rsid w:val="006F7394"/>
    <w:rsid w:val="006F7491"/>
    <w:rsid w:val="006F7853"/>
    <w:rsid w:val="006F7B73"/>
    <w:rsid w:val="006F7DCF"/>
    <w:rsid w:val="006F7F8C"/>
    <w:rsid w:val="006F7FB6"/>
    <w:rsid w:val="0070013C"/>
    <w:rsid w:val="00700280"/>
    <w:rsid w:val="00700391"/>
    <w:rsid w:val="00700427"/>
    <w:rsid w:val="00700449"/>
    <w:rsid w:val="0070077E"/>
    <w:rsid w:val="0070089B"/>
    <w:rsid w:val="007008B9"/>
    <w:rsid w:val="00700D46"/>
    <w:rsid w:val="00700E54"/>
    <w:rsid w:val="00700E6A"/>
    <w:rsid w:val="00701086"/>
    <w:rsid w:val="00701222"/>
    <w:rsid w:val="007012A3"/>
    <w:rsid w:val="007012EF"/>
    <w:rsid w:val="0070136C"/>
    <w:rsid w:val="007013EF"/>
    <w:rsid w:val="00701473"/>
    <w:rsid w:val="00701492"/>
    <w:rsid w:val="007016FC"/>
    <w:rsid w:val="007017D5"/>
    <w:rsid w:val="00701813"/>
    <w:rsid w:val="007018EF"/>
    <w:rsid w:val="0070194D"/>
    <w:rsid w:val="00701D0C"/>
    <w:rsid w:val="00701D80"/>
    <w:rsid w:val="00702107"/>
    <w:rsid w:val="00702238"/>
    <w:rsid w:val="00702367"/>
    <w:rsid w:val="00702478"/>
    <w:rsid w:val="007026D7"/>
    <w:rsid w:val="007028DC"/>
    <w:rsid w:val="00702B39"/>
    <w:rsid w:val="00702B3F"/>
    <w:rsid w:val="00702BB4"/>
    <w:rsid w:val="00702C53"/>
    <w:rsid w:val="00702DB5"/>
    <w:rsid w:val="00702E38"/>
    <w:rsid w:val="0070302F"/>
    <w:rsid w:val="007031F5"/>
    <w:rsid w:val="007033B6"/>
    <w:rsid w:val="00703483"/>
    <w:rsid w:val="007034AE"/>
    <w:rsid w:val="007035C9"/>
    <w:rsid w:val="00703707"/>
    <w:rsid w:val="00703721"/>
    <w:rsid w:val="007037EB"/>
    <w:rsid w:val="007038B5"/>
    <w:rsid w:val="007038EC"/>
    <w:rsid w:val="00703A18"/>
    <w:rsid w:val="00703C2B"/>
    <w:rsid w:val="00703E13"/>
    <w:rsid w:val="00703E34"/>
    <w:rsid w:val="00703EED"/>
    <w:rsid w:val="00704029"/>
    <w:rsid w:val="007041B1"/>
    <w:rsid w:val="00704420"/>
    <w:rsid w:val="0070452A"/>
    <w:rsid w:val="0070458D"/>
    <w:rsid w:val="007047A1"/>
    <w:rsid w:val="0070496F"/>
    <w:rsid w:val="007049B3"/>
    <w:rsid w:val="007049D2"/>
    <w:rsid w:val="00704C22"/>
    <w:rsid w:val="00704D80"/>
    <w:rsid w:val="00704DA8"/>
    <w:rsid w:val="00704E77"/>
    <w:rsid w:val="00704F1F"/>
    <w:rsid w:val="00704F20"/>
    <w:rsid w:val="00705189"/>
    <w:rsid w:val="007053F6"/>
    <w:rsid w:val="007055A1"/>
    <w:rsid w:val="00705CDB"/>
    <w:rsid w:val="00705DA1"/>
    <w:rsid w:val="00705E1E"/>
    <w:rsid w:val="00705EC0"/>
    <w:rsid w:val="00705F4D"/>
    <w:rsid w:val="00706296"/>
    <w:rsid w:val="007062B6"/>
    <w:rsid w:val="007062BF"/>
    <w:rsid w:val="007062C6"/>
    <w:rsid w:val="007063A5"/>
    <w:rsid w:val="007063D4"/>
    <w:rsid w:val="007064E4"/>
    <w:rsid w:val="0070653B"/>
    <w:rsid w:val="00706857"/>
    <w:rsid w:val="00706974"/>
    <w:rsid w:val="00706B49"/>
    <w:rsid w:val="00706B7E"/>
    <w:rsid w:val="00706C14"/>
    <w:rsid w:val="00706C38"/>
    <w:rsid w:val="00706CB2"/>
    <w:rsid w:val="00706F88"/>
    <w:rsid w:val="00706FCE"/>
    <w:rsid w:val="0070703B"/>
    <w:rsid w:val="00707238"/>
    <w:rsid w:val="00707428"/>
    <w:rsid w:val="0070743C"/>
    <w:rsid w:val="007078E0"/>
    <w:rsid w:val="007078E8"/>
    <w:rsid w:val="0070791A"/>
    <w:rsid w:val="0070797F"/>
    <w:rsid w:val="00707A75"/>
    <w:rsid w:val="00707C11"/>
    <w:rsid w:val="00707C19"/>
    <w:rsid w:val="00707C73"/>
    <w:rsid w:val="00707CD7"/>
    <w:rsid w:val="00707D4F"/>
    <w:rsid w:val="00710037"/>
    <w:rsid w:val="007100AD"/>
    <w:rsid w:val="0071026A"/>
    <w:rsid w:val="007105D6"/>
    <w:rsid w:val="0071061E"/>
    <w:rsid w:val="007106A0"/>
    <w:rsid w:val="007108BA"/>
    <w:rsid w:val="00710AE1"/>
    <w:rsid w:val="00710D6B"/>
    <w:rsid w:val="00710F32"/>
    <w:rsid w:val="0071102B"/>
    <w:rsid w:val="007111B8"/>
    <w:rsid w:val="007112D6"/>
    <w:rsid w:val="00711591"/>
    <w:rsid w:val="0071170D"/>
    <w:rsid w:val="007117C2"/>
    <w:rsid w:val="00711858"/>
    <w:rsid w:val="007118C9"/>
    <w:rsid w:val="00711D36"/>
    <w:rsid w:val="00711E01"/>
    <w:rsid w:val="00711E8B"/>
    <w:rsid w:val="00711ECA"/>
    <w:rsid w:val="00711F2A"/>
    <w:rsid w:val="00712488"/>
    <w:rsid w:val="00712585"/>
    <w:rsid w:val="0071290B"/>
    <w:rsid w:val="00712964"/>
    <w:rsid w:val="00712ABE"/>
    <w:rsid w:val="00712B53"/>
    <w:rsid w:val="00712C1E"/>
    <w:rsid w:val="00712E6E"/>
    <w:rsid w:val="007132E5"/>
    <w:rsid w:val="00713408"/>
    <w:rsid w:val="00713422"/>
    <w:rsid w:val="0071345D"/>
    <w:rsid w:val="00713785"/>
    <w:rsid w:val="007137B0"/>
    <w:rsid w:val="007139BD"/>
    <w:rsid w:val="00713ACD"/>
    <w:rsid w:val="00713ADF"/>
    <w:rsid w:val="00713B1F"/>
    <w:rsid w:val="00713B9F"/>
    <w:rsid w:val="00713D0F"/>
    <w:rsid w:val="00714256"/>
    <w:rsid w:val="0071440F"/>
    <w:rsid w:val="00714666"/>
    <w:rsid w:val="007151C0"/>
    <w:rsid w:val="007151CA"/>
    <w:rsid w:val="00715582"/>
    <w:rsid w:val="007155A6"/>
    <w:rsid w:val="00715691"/>
    <w:rsid w:val="0071585E"/>
    <w:rsid w:val="00715A0A"/>
    <w:rsid w:val="00715FA0"/>
    <w:rsid w:val="00716406"/>
    <w:rsid w:val="007164D5"/>
    <w:rsid w:val="00716637"/>
    <w:rsid w:val="0071671D"/>
    <w:rsid w:val="0071680A"/>
    <w:rsid w:val="00716AC9"/>
    <w:rsid w:val="00716AE2"/>
    <w:rsid w:val="00716D21"/>
    <w:rsid w:val="00716E8E"/>
    <w:rsid w:val="00716F61"/>
    <w:rsid w:val="0071700D"/>
    <w:rsid w:val="00717169"/>
    <w:rsid w:val="00717324"/>
    <w:rsid w:val="0071746D"/>
    <w:rsid w:val="007175BC"/>
    <w:rsid w:val="007178A1"/>
    <w:rsid w:val="007179DE"/>
    <w:rsid w:val="00717B1E"/>
    <w:rsid w:val="00717E90"/>
    <w:rsid w:val="00717F78"/>
    <w:rsid w:val="00720185"/>
    <w:rsid w:val="00720374"/>
    <w:rsid w:val="007203B0"/>
    <w:rsid w:val="00720425"/>
    <w:rsid w:val="00720523"/>
    <w:rsid w:val="0072059E"/>
    <w:rsid w:val="00720829"/>
    <w:rsid w:val="00720AF4"/>
    <w:rsid w:val="00720AF9"/>
    <w:rsid w:val="00720DE8"/>
    <w:rsid w:val="00720F49"/>
    <w:rsid w:val="00720F4A"/>
    <w:rsid w:val="00720F84"/>
    <w:rsid w:val="007211BB"/>
    <w:rsid w:val="007215A6"/>
    <w:rsid w:val="007217FE"/>
    <w:rsid w:val="0072184E"/>
    <w:rsid w:val="007218F6"/>
    <w:rsid w:val="0072196C"/>
    <w:rsid w:val="007219AC"/>
    <w:rsid w:val="00721A6E"/>
    <w:rsid w:val="00721CD0"/>
    <w:rsid w:val="00721D81"/>
    <w:rsid w:val="007224D1"/>
    <w:rsid w:val="007225F8"/>
    <w:rsid w:val="00722732"/>
    <w:rsid w:val="00722793"/>
    <w:rsid w:val="00722811"/>
    <w:rsid w:val="0072299D"/>
    <w:rsid w:val="00722B3A"/>
    <w:rsid w:val="00722E8B"/>
    <w:rsid w:val="00722F3E"/>
    <w:rsid w:val="00722F9C"/>
    <w:rsid w:val="00722FEA"/>
    <w:rsid w:val="00723309"/>
    <w:rsid w:val="007233A9"/>
    <w:rsid w:val="00723450"/>
    <w:rsid w:val="00723476"/>
    <w:rsid w:val="007236D3"/>
    <w:rsid w:val="007236D4"/>
    <w:rsid w:val="007238A6"/>
    <w:rsid w:val="007239C1"/>
    <w:rsid w:val="00723AAA"/>
    <w:rsid w:val="00723C70"/>
    <w:rsid w:val="00723D3A"/>
    <w:rsid w:val="00723F60"/>
    <w:rsid w:val="00723FD8"/>
    <w:rsid w:val="007244AB"/>
    <w:rsid w:val="00724594"/>
    <w:rsid w:val="00724704"/>
    <w:rsid w:val="007247BC"/>
    <w:rsid w:val="00724850"/>
    <w:rsid w:val="00724A2F"/>
    <w:rsid w:val="00724B0D"/>
    <w:rsid w:val="00724EF9"/>
    <w:rsid w:val="00724FB1"/>
    <w:rsid w:val="00724FEA"/>
    <w:rsid w:val="00725045"/>
    <w:rsid w:val="0072505C"/>
    <w:rsid w:val="007250D6"/>
    <w:rsid w:val="0072531C"/>
    <w:rsid w:val="007253C7"/>
    <w:rsid w:val="00725436"/>
    <w:rsid w:val="00725540"/>
    <w:rsid w:val="00725698"/>
    <w:rsid w:val="0072569F"/>
    <w:rsid w:val="0072574C"/>
    <w:rsid w:val="007258D4"/>
    <w:rsid w:val="00725B10"/>
    <w:rsid w:val="00725B44"/>
    <w:rsid w:val="00725B45"/>
    <w:rsid w:val="00725F26"/>
    <w:rsid w:val="00726124"/>
    <w:rsid w:val="00726176"/>
    <w:rsid w:val="007261DE"/>
    <w:rsid w:val="0072656E"/>
    <w:rsid w:val="0072665E"/>
    <w:rsid w:val="00726AC2"/>
    <w:rsid w:val="00726DBA"/>
    <w:rsid w:val="00726EAF"/>
    <w:rsid w:val="00726F3B"/>
    <w:rsid w:val="00726F68"/>
    <w:rsid w:val="007274B3"/>
    <w:rsid w:val="007276A2"/>
    <w:rsid w:val="007276C1"/>
    <w:rsid w:val="00727860"/>
    <w:rsid w:val="00727912"/>
    <w:rsid w:val="007279E1"/>
    <w:rsid w:val="00727BA0"/>
    <w:rsid w:val="00727BD3"/>
    <w:rsid w:val="00727C2F"/>
    <w:rsid w:val="00727C9B"/>
    <w:rsid w:val="00727DE6"/>
    <w:rsid w:val="00727F51"/>
    <w:rsid w:val="00730070"/>
    <w:rsid w:val="00730103"/>
    <w:rsid w:val="00730163"/>
    <w:rsid w:val="00730231"/>
    <w:rsid w:val="007302C1"/>
    <w:rsid w:val="007304B2"/>
    <w:rsid w:val="00730A27"/>
    <w:rsid w:val="00730DA9"/>
    <w:rsid w:val="00730DEB"/>
    <w:rsid w:val="00730E6D"/>
    <w:rsid w:val="0073157B"/>
    <w:rsid w:val="0073160F"/>
    <w:rsid w:val="0073177B"/>
    <w:rsid w:val="00731845"/>
    <w:rsid w:val="00731852"/>
    <w:rsid w:val="0073192C"/>
    <w:rsid w:val="00731C5D"/>
    <w:rsid w:val="00731CAD"/>
    <w:rsid w:val="00731CF3"/>
    <w:rsid w:val="00731D9C"/>
    <w:rsid w:val="00731E68"/>
    <w:rsid w:val="00731FA5"/>
    <w:rsid w:val="00731FDC"/>
    <w:rsid w:val="00732018"/>
    <w:rsid w:val="00732052"/>
    <w:rsid w:val="0073210C"/>
    <w:rsid w:val="007322B6"/>
    <w:rsid w:val="007324E7"/>
    <w:rsid w:val="00732565"/>
    <w:rsid w:val="00732613"/>
    <w:rsid w:val="0073263D"/>
    <w:rsid w:val="0073276B"/>
    <w:rsid w:val="00732779"/>
    <w:rsid w:val="00732A1E"/>
    <w:rsid w:val="00732A21"/>
    <w:rsid w:val="00732CD0"/>
    <w:rsid w:val="0073301B"/>
    <w:rsid w:val="0073344E"/>
    <w:rsid w:val="0073345E"/>
    <w:rsid w:val="00733507"/>
    <w:rsid w:val="00733597"/>
    <w:rsid w:val="00733630"/>
    <w:rsid w:val="00733669"/>
    <w:rsid w:val="007336B6"/>
    <w:rsid w:val="00733870"/>
    <w:rsid w:val="00733A36"/>
    <w:rsid w:val="00733B08"/>
    <w:rsid w:val="00733D5A"/>
    <w:rsid w:val="00733EBC"/>
    <w:rsid w:val="00733F0C"/>
    <w:rsid w:val="00734000"/>
    <w:rsid w:val="0073416D"/>
    <w:rsid w:val="0073423A"/>
    <w:rsid w:val="00734291"/>
    <w:rsid w:val="0073431D"/>
    <w:rsid w:val="0073434A"/>
    <w:rsid w:val="0073439F"/>
    <w:rsid w:val="0073476D"/>
    <w:rsid w:val="007347F7"/>
    <w:rsid w:val="00734872"/>
    <w:rsid w:val="007349FF"/>
    <w:rsid w:val="00734AD8"/>
    <w:rsid w:val="00734B3D"/>
    <w:rsid w:val="00734C2B"/>
    <w:rsid w:val="00734C71"/>
    <w:rsid w:val="00734C78"/>
    <w:rsid w:val="00734E1C"/>
    <w:rsid w:val="007352AA"/>
    <w:rsid w:val="0073539C"/>
    <w:rsid w:val="007353AC"/>
    <w:rsid w:val="0073554C"/>
    <w:rsid w:val="0073579F"/>
    <w:rsid w:val="00735853"/>
    <w:rsid w:val="00735909"/>
    <w:rsid w:val="00735AF3"/>
    <w:rsid w:val="00735B46"/>
    <w:rsid w:val="00735BA3"/>
    <w:rsid w:val="00735BF9"/>
    <w:rsid w:val="00735CED"/>
    <w:rsid w:val="00735D74"/>
    <w:rsid w:val="00735DB7"/>
    <w:rsid w:val="00736016"/>
    <w:rsid w:val="007360D1"/>
    <w:rsid w:val="00736292"/>
    <w:rsid w:val="007362DF"/>
    <w:rsid w:val="00736543"/>
    <w:rsid w:val="007365F4"/>
    <w:rsid w:val="007366B2"/>
    <w:rsid w:val="00736941"/>
    <w:rsid w:val="007369AB"/>
    <w:rsid w:val="00736A0E"/>
    <w:rsid w:val="00737301"/>
    <w:rsid w:val="00737474"/>
    <w:rsid w:val="00737523"/>
    <w:rsid w:val="00737D9A"/>
    <w:rsid w:val="00737E21"/>
    <w:rsid w:val="00737F9F"/>
    <w:rsid w:val="00737FCF"/>
    <w:rsid w:val="0074004E"/>
    <w:rsid w:val="007403E2"/>
    <w:rsid w:val="00740495"/>
    <w:rsid w:val="00740573"/>
    <w:rsid w:val="0074079E"/>
    <w:rsid w:val="007409D2"/>
    <w:rsid w:val="007409E6"/>
    <w:rsid w:val="00740CED"/>
    <w:rsid w:val="00740CF3"/>
    <w:rsid w:val="00740D45"/>
    <w:rsid w:val="00740DC0"/>
    <w:rsid w:val="00740E91"/>
    <w:rsid w:val="00740F38"/>
    <w:rsid w:val="0074114D"/>
    <w:rsid w:val="007411F6"/>
    <w:rsid w:val="0074121E"/>
    <w:rsid w:val="0074157F"/>
    <w:rsid w:val="0074159A"/>
    <w:rsid w:val="0074159F"/>
    <w:rsid w:val="00741890"/>
    <w:rsid w:val="00741C39"/>
    <w:rsid w:val="00741C73"/>
    <w:rsid w:val="00741F04"/>
    <w:rsid w:val="00741FBF"/>
    <w:rsid w:val="00742053"/>
    <w:rsid w:val="0074207E"/>
    <w:rsid w:val="00742111"/>
    <w:rsid w:val="0074236A"/>
    <w:rsid w:val="00742437"/>
    <w:rsid w:val="00742704"/>
    <w:rsid w:val="0074283C"/>
    <w:rsid w:val="00742877"/>
    <w:rsid w:val="0074288A"/>
    <w:rsid w:val="007428BF"/>
    <w:rsid w:val="00742D63"/>
    <w:rsid w:val="00742E5A"/>
    <w:rsid w:val="00742FFB"/>
    <w:rsid w:val="0074306F"/>
    <w:rsid w:val="00743165"/>
    <w:rsid w:val="0074319C"/>
    <w:rsid w:val="0074329A"/>
    <w:rsid w:val="00743702"/>
    <w:rsid w:val="0074371B"/>
    <w:rsid w:val="00743767"/>
    <w:rsid w:val="007437B8"/>
    <w:rsid w:val="0074383B"/>
    <w:rsid w:val="00743A31"/>
    <w:rsid w:val="00743DC0"/>
    <w:rsid w:val="00743E00"/>
    <w:rsid w:val="00743F1B"/>
    <w:rsid w:val="00743FB6"/>
    <w:rsid w:val="00744128"/>
    <w:rsid w:val="00744152"/>
    <w:rsid w:val="0074434C"/>
    <w:rsid w:val="007443C2"/>
    <w:rsid w:val="007443F6"/>
    <w:rsid w:val="007444FE"/>
    <w:rsid w:val="0074453C"/>
    <w:rsid w:val="007446DA"/>
    <w:rsid w:val="00744707"/>
    <w:rsid w:val="00744799"/>
    <w:rsid w:val="0074482C"/>
    <w:rsid w:val="00744910"/>
    <w:rsid w:val="00744DDA"/>
    <w:rsid w:val="00744F9D"/>
    <w:rsid w:val="0074512E"/>
    <w:rsid w:val="007452A4"/>
    <w:rsid w:val="007452D2"/>
    <w:rsid w:val="00745545"/>
    <w:rsid w:val="007457F6"/>
    <w:rsid w:val="0074599F"/>
    <w:rsid w:val="00745B3F"/>
    <w:rsid w:val="00745D2B"/>
    <w:rsid w:val="00745DC5"/>
    <w:rsid w:val="00745FF7"/>
    <w:rsid w:val="007460B4"/>
    <w:rsid w:val="0074627F"/>
    <w:rsid w:val="0074641D"/>
    <w:rsid w:val="0074659B"/>
    <w:rsid w:val="007465E3"/>
    <w:rsid w:val="00746795"/>
    <w:rsid w:val="0074698F"/>
    <w:rsid w:val="00746BC5"/>
    <w:rsid w:val="00746E33"/>
    <w:rsid w:val="00746F9F"/>
    <w:rsid w:val="0074713F"/>
    <w:rsid w:val="007471CD"/>
    <w:rsid w:val="0074767F"/>
    <w:rsid w:val="0074792E"/>
    <w:rsid w:val="007479E7"/>
    <w:rsid w:val="00747C04"/>
    <w:rsid w:val="00747C0C"/>
    <w:rsid w:val="00747C34"/>
    <w:rsid w:val="00747CBA"/>
    <w:rsid w:val="00747D18"/>
    <w:rsid w:val="00747E0E"/>
    <w:rsid w:val="00750080"/>
    <w:rsid w:val="00750478"/>
    <w:rsid w:val="00750C30"/>
    <w:rsid w:val="00750D09"/>
    <w:rsid w:val="007510B9"/>
    <w:rsid w:val="00751149"/>
    <w:rsid w:val="00751650"/>
    <w:rsid w:val="007517D9"/>
    <w:rsid w:val="007518B9"/>
    <w:rsid w:val="007518BE"/>
    <w:rsid w:val="00751A46"/>
    <w:rsid w:val="00751C7C"/>
    <w:rsid w:val="00751D3C"/>
    <w:rsid w:val="00751E41"/>
    <w:rsid w:val="00752068"/>
    <w:rsid w:val="0075225C"/>
    <w:rsid w:val="00752336"/>
    <w:rsid w:val="00752385"/>
    <w:rsid w:val="00752466"/>
    <w:rsid w:val="00752576"/>
    <w:rsid w:val="007528F6"/>
    <w:rsid w:val="00752AF3"/>
    <w:rsid w:val="00752D94"/>
    <w:rsid w:val="00752E18"/>
    <w:rsid w:val="00752EEF"/>
    <w:rsid w:val="00753036"/>
    <w:rsid w:val="0075317E"/>
    <w:rsid w:val="0075339C"/>
    <w:rsid w:val="00753496"/>
    <w:rsid w:val="007535CF"/>
    <w:rsid w:val="00753716"/>
    <w:rsid w:val="00753AC0"/>
    <w:rsid w:val="00753CAD"/>
    <w:rsid w:val="00753E51"/>
    <w:rsid w:val="00753E59"/>
    <w:rsid w:val="00753EBD"/>
    <w:rsid w:val="00753EE4"/>
    <w:rsid w:val="00753F4C"/>
    <w:rsid w:val="007540DD"/>
    <w:rsid w:val="00754157"/>
    <w:rsid w:val="00754178"/>
    <w:rsid w:val="007542A1"/>
    <w:rsid w:val="0075464E"/>
    <w:rsid w:val="007549D2"/>
    <w:rsid w:val="00754B2C"/>
    <w:rsid w:val="00754D23"/>
    <w:rsid w:val="00754D25"/>
    <w:rsid w:val="00754DAE"/>
    <w:rsid w:val="00755293"/>
    <w:rsid w:val="00755526"/>
    <w:rsid w:val="00755667"/>
    <w:rsid w:val="00755719"/>
    <w:rsid w:val="007557C0"/>
    <w:rsid w:val="007557EF"/>
    <w:rsid w:val="00755A5C"/>
    <w:rsid w:val="00755E6D"/>
    <w:rsid w:val="00755F43"/>
    <w:rsid w:val="0075660B"/>
    <w:rsid w:val="0075667B"/>
    <w:rsid w:val="007567C6"/>
    <w:rsid w:val="007568B4"/>
    <w:rsid w:val="00756B13"/>
    <w:rsid w:val="00756B9B"/>
    <w:rsid w:val="00756C9B"/>
    <w:rsid w:val="00756E12"/>
    <w:rsid w:val="007571C6"/>
    <w:rsid w:val="007572EF"/>
    <w:rsid w:val="00757530"/>
    <w:rsid w:val="00757580"/>
    <w:rsid w:val="007575F8"/>
    <w:rsid w:val="00757805"/>
    <w:rsid w:val="007579B3"/>
    <w:rsid w:val="00757A3A"/>
    <w:rsid w:val="00757CA3"/>
    <w:rsid w:val="0076000E"/>
    <w:rsid w:val="007601CB"/>
    <w:rsid w:val="00760398"/>
    <w:rsid w:val="0076059C"/>
    <w:rsid w:val="0076060D"/>
    <w:rsid w:val="0076088E"/>
    <w:rsid w:val="00760B30"/>
    <w:rsid w:val="00760B6F"/>
    <w:rsid w:val="00760C3B"/>
    <w:rsid w:val="00760CBE"/>
    <w:rsid w:val="00760D15"/>
    <w:rsid w:val="00761174"/>
    <w:rsid w:val="00761920"/>
    <w:rsid w:val="00761B0E"/>
    <w:rsid w:val="00761BE8"/>
    <w:rsid w:val="00761C90"/>
    <w:rsid w:val="00761E59"/>
    <w:rsid w:val="00761E73"/>
    <w:rsid w:val="00762014"/>
    <w:rsid w:val="00762088"/>
    <w:rsid w:val="007620C9"/>
    <w:rsid w:val="0076237D"/>
    <w:rsid w:val="0076274E"/>
    <w:rsid w:val="007628BC"/>
    <w:rsid w:val="0076298D"/>
    <w:rsid w:val="00762ADC"/>
    <w:rsid w:val="00762BF8"/>
    <w:rsid w:val="00762E0C"/>
    <w:rsid w:val="00762FBC"/>
    <w:rsid w:val="0076316B"/>
    <w:rsid w:val="007634D6"/>
    <w:rsid w:val="0076352F"/>
    <w:rsid w:val="00763674"/>
    <w:rsid w:val="007636B9"/>
    <w:rsid w:val="007636C2"/>
    <w:rsid w:val="00763722"/>
    <w:rsid w:val="00763903"/>
    <w:rsid w:val="00763A10"/>
    <w:rsid w:val="00763E09"/>
    <w:rsid w:val="00763E86"/>
    <w:rsid w:val="00763EFA"/>
    <w:rsid w:val="0076443E"/>
    <w:rsid w:val="00764555"/>
    <w:rsid w:val="0076455B"/>
    <w:rsid w:val="00764574"/>
    <w:rsid w:val="007645A3"/>
    <w:rsid w:val="007645E8"/>
    <w:rsid w:val="00764854"/>
    <w:rsid w:val="007648D7"/>
    <w:rsid w:val="00764C6A"/>
    <w:rsid w:val="00764D35"/>
    <w:rsid w:val="00764ED1"/>
    <w:rsid w:val="00764FC3"/>
    <w:rsid w:val="007650E9"/>
    <w:rsid w:val="00765117"/>
    <w:rsid w:val="0076547A"/>
    <w:rsid w:val="0076569C"/>
    <w:rsid w:val="007656B3"/>
    <w:rsid w:val="007656CA"/>
    <w:rsid w:val="00765B4E"/>
    <w:rsid w:val="00765B86"/>
    <w:rsid w:val="00765C4F"/>
    <w:rsid w:val="00765D3E"/>
    <w:rsid w:val="00765D73"/>
    <w:rsid w:val="00765E7A"/>
    <w:rsid w:val="00765E9E"/>
    <w:rsid w:val="00765EE9"/>
    <w:rsid w:val="00766039"/>
    <w:rsid w:val="0076625F"/>
    <w:rsid w:val="00766445"/>
    <w:rsid w:val="007665C1"/>
    <w:rsid w:val="00766BEE"/>
    <w:rsid w:val="00766C43"/>
    <w:rsid w:val="00766EEA"/>
    <w:rsid w:val="00766F42"/>
    <w:rsid w:val="00766F6E"/>
    <w:rsid w:val="007670F6"/>
    <w:rsid w:val="00767375"/>
    <w:rsid w:val="0076741F"/>
    <w:rsid w:val="007674B0"/>
    <w:rsid w:val="0076757A"/>
    <w:rsid w:val="00767762"/>
    <w:rsid w:val="007677F3"/>
    <w:rsid w:val="00767898"/>
    <w:rsid w:val="00767995"/>
    <w:rsid w:val="00767AE2"/>
    <w:rsid w:val="00767B15"/>
    <w:rsid w:val="00767B77"/>
    <w:rsid w:val="00767BEA"/>
    <w:rsid w:val="00767CEE"/>
    <w:rsid w:val="00767F34"/>
    <w:rsid w:val="007700CD"/>
    <w:rsid w:val="00770184"/>
    <w:rsid w:val="0077032A"/>
    <w:rsid w:val="00770444"/>
    <w:rsid w:val="0077053F"/>
    <w:rsid w:val="007706E9"/>
    <w:rsid w:val="007707A5"/>
    <w:rsid w:val="00770A04"/>
    <w:rsid w:val="00770BDA"/>
    <w:rsid w:val="00770C07"/>
    <w:rsid w:val="00771033"/>
    <w:rsid w:val="00771088"/>
    <w:rsid w:val="00771114"/>
    <w:rsid w:val="007711FA"/>
    <w:rsid w:val="0077130A"/>
    <w:rsid w:val="0077136A"/>
    <w:rsid w:val="00771396"/>
    <w:rsid w:val="007714AB"/>
    <w:rsid w:val="00771639"/>
    <w:rsid w:val="0077173E"/>
    <w:rsid w:val="007717F4"/>
    <w:rsid w:val="00771E76"/>
    <w:rsid w:val="00772271"/>
    <w:rsid w:val="007722E5"/>
    <w:rsid w:val="0077241C"/>
    <w:rsid w:val="00772726"/>
    <w:rsid w:val="00772874"/>
    <w:rsid w:val="007728A2"/>
    <w:rsid w:val="007728F5"/>
    <w:rsid w:val="0077291C"/>
    <w:rsid w:val="00772E05"/>
    <w:rsid w:val="00772F16"/>
    <w:rsid w:val="00772F56"/>
    <w:rsid w:val="007733E4"/>
    <w:rsid w:val="00773660"/>
    <w:rsid w:val="0077371C"/>
    <w:rsid w:val="0077372A"/>
    <w:rsid w:val="00773782"/>
    <w:rsid w:val="00773CD8"/>
    <w:rsid w:val="00773D9D"/>
    <w:rsid w:val="00773DA2"/>
    <w:rsid w:val="00773E6F"/>
    <w:rsid w:val="00773E82"/>
    <w:rsid w:val="007740FD"/>
    <w:rsid w:val="00774132"/>
    <w:rsid w:val="0077426A"/>
    <w:rsid w:val="00774BDC"/>
    <w:rsid w:val="00774CB7"/>
    <w:rsid w:val="00774F56"/>
    <w:rsid w:val="00774FDB"/>
    <w:rsid w:val="007750F0"/>
    <w:rsid w:val="00775181"/>
    <w:rsid w:val="007753FD"/>
    <w:rsid w:val="00775496"/>
    <w:rsid w:val="00775521"/>
    <w:rsid w:val="0077567B"/>
    <w:rsid w:val="007758BE"/>
    <w:rsid w:val="007758E8"/>
    <w:rsid w:val="00775941"/>
    <w:rsid w:val="00775AC9"/>
    <w:rsid w:val="00775D44"/>
    <w:rsid w:val="00776234"/>
    <w:rsid w:val="0077626F"/>
    <w:rsid w:val="00776291"/>
    <w:rsid w:val="00776310"/>
    <w:rsid w:val="00776384"/>
    <w:rsid w:val="00776759"/>
    <w:rsid w:val="00776890"/>
    <w:rsid w:val="00776AD0"/>
    <w:rsid w:val="00776E10"/>
    <w:rsid w:val="007770CB"/>
    <w:rsid w:val="00777125"/>
    <w:rsid w:val="00777195"/>
    <w:rsid w:val="00777299"/>
    <w:rsid w:val="00777502"/>
    <w:rsid w:val="00777974"/>
    <w:rsid w:val="00777A64"/>
    <w:rsid w:val="00777E60"/>
    <w:rsid w:val="007801C3"/>
    <w:rsid w:val="00780311"/>
    <w:rsid w:val="00780454"/>
    <w:rsid w:val="00780630"/>
    <w:rsid w:val="007808C7"/>
    <w:rsid w:val="007808E1"/>
    <w:rsid w:val="0078090E"/>
    <w:rsid w:val="00780933"/>
    <w:rsid w:val="00780C0B"/>
    <w:rsid w:val="00780D31"/>
    <w:rsid w:val="00780E3E"/>
    <w:rsid w:val="00780EB8"/>
    <w:rsid w:val="0078110E"/>
    <w:rsid w:val="007811D6"/>
    <w:rsid w:val="00781334"/>
    <w:rsid w:val="00781340"/>
    <w:rsid w:val="007816A4"/>
    <w:rsid w:val="007818A3"/>
    <w:rsid w:val="007819BA"/>
    <w:rsid w:val="00781AB3"/>
    <w:rsid w:val="00781B6F"/>
    <w:rsid w:val="00781D32"/>
    <w:rsid w:val="00781E61"/>
    <w:rsid w:val="0078218C"/>
    <w:rsid w:val="00782277"/>
    <w:rsid w:val="007826E1"/>
    <w:rsid w:val="007828F1"/>
    <w:rsid w:val="00782CCE"/>
    <w:rsid w:val="00782CD6"/>
    <w:rsid w:val="00782F33"/>
    <w:rsid w:val="00783052"/>
    <w:rsid w:val="00783207"/>
    <w:rsid w:val="0078367F"/>
    <w:rsid w:val="0078374F"/>
    <w:rsid w:val="00783833"/>
    <w:rsid w:val="007839F8"/>
    <w:rsid w:val="00783A18"/>
    <w:rsid w:val="00783A56"/>
    <w:rsid w:val="00783B00"/>
    <w:rsid w:val="00783BC1"/>
    <w:rsid w:val="00783C40"/>
    <w:rsid w:val="00783F10"/>
    <w:rsid w:val="00783F9B"/>
    <w:rsid w:val="00784036"/>
    <w:rsid w:val="00784194"/>
    <w:rsid w:val="007841EB"/>
    <w:rsid w:val="00784269"/>
    <w:rsid w:val="007843DC"/>
    <w:rsid w:val="00784565"/>
    <w:rsid w:val="0078460D"/>
    <w:rsid w:val="00784692"/>
    <w:rsid w:val="00784725"/>
    <w:rsid w:val="0078475C"/>
    <w:rsid w:val="00784807"/>
    <w:rsid w:val="00784B3C"/>
    <w:rsid w:val="00784BC8"/>
    <w:rsid w:val="00784CC9"/>
    <w:rsid w:val="00784E2C"/>
    <w:rsid w:val="00784F00"/>
    <w:rsid w:val="0078546D"/>
    <w:rsid w:val="00785490"/>
    <w:rsid w:val="00785624"/>
    <w:rsid w:val="00785644"/>
    <w:rsid w:val="007856CE"/>
    <w:rsid w:val="00785835"/>
    <w:rsid w:val="00785A4C"/>
    <w:rsid w:val="00785A7B"/>
    <w:rsid w:val="00785B64"/>
    <w:rsid w:val="00785E12"/>
    <w:rsid w:val="00785E94"/>
    <w:rsid w:val="00785E96"/>
    <w:rsid w:val="00785F2A"/>
    <w:rsid w:val="00785FB7"/>
    <w:rsid w:val="00786041"/>
    <w:rsid w:val="00786158"/>
    <w:rsid w:val="00786173"/>
    <w:rsid w:val="007861E4"/>
    <w:rsid w:val="00786244"/>
    <w:rsid w:val="007862F1"/>
    <w:rsid w:val="007863E4"/>
    <w:rsid w:val="00786434"/>
    <w:rsid w:val="0078649C"/>
    <w:rsid w:val="007864C5"/>
    <w:rsid w:val="007864EC"/>
    <w:rsid w:val="007865CB"/>
    <w:rsid w:val="0078674E"/>
    <w:rsid w:val="00786834"/>
    <w:rsid w:val="007868A9"/>
    <w:rsid w:val="00786AFA"/>
    <w:rsid w:val="00786F8A"/>
    <w:rsid w:val="00787018"/>
    <w:rsid w:val="00787393"/>
    <w:rsid w:val="00787468"/>
    <w:rsid w:val="007874C9"/>
    <w:rsid w:val="007876A0"/>
    <w:rsid w:val="007878AB"/>
    <w:rsid w:val="00787AA6"/>
    <w:rsid w:val="00787C93"/>
    <w:rsid w:val="00787CFF"/>
    <w:rsid w:val="00787DD4"/>
    <w:rsid w:val="00787E83"/>
    <w:rsid w:val="0079007E"/>
    <w:rsid w:val="00790385"/>
    <w:rsid w:val="00790486"/>
    <w:rsid w:val="007904C4"/>
    <w:rsid w:val="007904D0"/>
    <w:rsid w:val="00790519"/>
    <w:rsid w:val="007908A0"/>
    <w:rsid w:val="007908DC"/>
    <w:rsid w:val="007908E0"/>
    <w:rsid w:val="00790981"/>
    <w:rsid w:val="00790B68"/>
    <w:rsid w:val="0079158B"/>
    <w:rsid w:val="0079180B"/>
    <w:rsid w:val="00791882"/>
    <w:rsid w:val="00791952"/>
    <w:rsid w:val="00791956"/>
    <w:rsid w:val="00791A1B"/>
    <w:rsid w:val="00791ACA"/>
    <w:rsid w:val="00791BFF"/>
    <w:rsid w:val="00791FC3"/>
    <w:rsid w:val="00792181"/>
    <w:rsid w:val="0079219B"/>
    <w:rsid w:val="007923C8"/>
    <w:rsid w:val="00792422"/>
    <w:rsid w:val="007924B2"/>
    <w:rsid w:val="00792736"/>
    <w:rsid w:val="00792830"/>
    <w:rsid w:val="0079284A"/>
    <w:rsid w:val="007928A2"/>
    <w:rsid w:val="007928AF"/>
    <w:rsid w:val="0079298D"/>
    <w:rsid w:val="00792C0C"/>
    <w:rsid w:val="00792ECD"/>
    <w:rsid w:val="00792F55"/>
    <w:rsid w:val="00793017"/>
    <w:rsid w:val="007931FB"/>
    <w:rsid w:val="00793610"/>
    <w:rsid w:val="00793838"/>
    <w:rsid w:val="007939A0"/>
    <w:rsid w:val="00793A27"/>
    <w:rsid w:val="00793C29"/>
    <w:rsid w:val="00793C8E"/>
    <w:rsid w:val="00793F63"/>
    <w:rsid w:val="00793FD8"/>
    <w:rsid w:val="00793FE6"/>
    <w:rsid w:val="00794022"/>
    <w:rsid w:val="0079423C"/>
    <w:rsid w:val="00794260"/>
    <w:rsid w:val="00794280"/>
    <w:rsid w:val="0079431F"/>
    <w:rsid w:val="0079432D"/>
    <w:rsid w:val="00794355"/>
    <w:rsid w:val="0079454B"/>
    <w:rsid w:val="00794798"/>
    <w:rsid w:val="0079487F"/>
    <w:rsid w:val="00794D64"/>
    <w:rsid w:val="00794DDF"/>
    <w:rsid w:val="00794E51"/>
    <w:rsid w:val="0079507D"/>
    <w:rsid w:val="007952B1"/>
    <w:rsid w:val="00795429"/>
    <w:rsid w:val="00795549"/>
    <w:rsid w:val="00795599"/>
    <w:rsid w:val="007955DA"/>
    <w:rsid w:val="007956A2"/>
    <w:rsid w:val="00795BD5"/>
    <w:rsid w:val="00795CAB"/>
    <w:rsid w:val="00795D14"/>
    <w:rsid w:val="00795D4C"/>
    <w:rsid w:val="00795EAA"/>
    <w:rsid w:val="00796066"/>
    <w:rsid w:val="007961A1"/>
    <w:rsid w:val="007961CA"/>
    <w:rsid w:val="0079636B"/>
    <w:rsid w:val="007964C3"/>
    <w:rsid w:val="007964E6"/>
    <w:rsid w:val="00796926"/>
    <w:rsid w:val="00796986"/>
    <w:rsid w:val="00796B19"/>
    <w:rsid w:val="00796B7D"/>
    <w:rsid w:val="00796C51"/>
    <w:rsid w:val="00796CFB"/>
    <w:rsid w:val="00796D34"/>
    <w:rsid w:val="00796EC9"/>
    <w:rsid w:val="00797026"/>
    <w:rsid w:val="0079707D"/>
    <w:rsid w:val="0079767C"/>
    <w:rsid w:val="007977C3"/>
    <w:rsid w:val="00797AE0"/>
    <w:rsid w:val="00797C10"/>
    <w:rsid w:val="00797FAD"/>
    <w:rsid w:val="00797FDE"/>
    <w:rsid w:val="007A0240"/>
    <w:rsid w:val="007A0254"/>
    <w:rsid w:val="007A0427"/>
    <w:rsid w:val="007A04CE"/>
    <w:rsid w:val="007A0557"/>
    <w:rsid w:val="007A0565"/>
    <w:rsid w:val="007A0A14"/>
    <w:rsid w:val="007A0B24"/>
    <w:rsid w:val="007A0B4B"/>
    <w:rsid w:val="007A0CC3"/>
    <w:rsid w:val="007A0CEA"/>
    <w:rsid w:val="007A0DF9"/>
    <w:rsid w:val="007A1226"/>
    <w:rsid w:val="007A129D"/>
    <w:rsid w:val="007A1413"/>
    <w:rsid w:val="007A1938"/>
    <w:rsid w:val="007A1ADC"/>
    <w:rsid w:val="007A1CCC"/>
    <w:rsid w:val="007A1CFF"/>
    <w:rsid w:val="007A2072"/>
    <w:rsid w:val="007A22DE"/>
    <w:rsid w:val="007A2301"/>
    <w:rsid w:val="007A23F2"/>
    <w:rsid w:val="007A2ABC"/>
    <w:rsid w:val="007A2B35"/>
    <w:rsid w:val="007A2B3C"/>
    <w:rsid w:val="007A2BDF"/>
    <w:rsid w:val="007A2D63"/>
    <w:rsid w:val="007A2F75"/>
    <w:rsid w:val="007A2FA0"/>
    <w:rsid w:val="007A32E1"/>
    <w:rsid w:val="007A36C0"/>
    <w:rsid w:val="007A36F9"/>
    <w:rsid w:val="007A3774"/>
    <w:rsid w:val="007A3948"/>
    <w:rsid w:val="007A3BDA"/>
    <w:rsid w:val="007A3C7B"/>
    <w:rsid w:val="007A3C84"/>
    <w:rsid w:val="007A3D6E"/>
    <w:rsid w:val="007A3F35"/>
    <w:rsid w:val="007A40E9"/>
    <w:rsid w:val="007A4139"/>
    <w:rsid w:val="007A43CC"/>
    <w:rsid w:val="007A4691"/>
    <w:rsid w:val="007A46FF"/>
    <w:rsid w:val="007A479D"/>
    <w:rsid w:val="007A484A"/>
    <w:rsid w:val="007A48EE"/>
    <w:rsid w:val="007A4940"/>
    <w:rsid w:val="007A4A48"/>
    <w:rsid w:val="007A4E5B"/>
    <w:rsid w:val="007A4FF9"/>
    <w:rsid w:val="007A509B"/>
    <w:rsid w:val="007A5125"/>
    <w:rsid w:val="007A51FD"/>
    <w:rsid w:val="007A52D1"/>
    <w:rsid w:val="007A53BF"/>
    <w:rsid w:val="007A546C"/>
    <w:rsid w:val="007A5526"/>
    <w:rsid w:val="007A55DA"/>
    <w:rsid w:val="007A57C2"/>
    <w:rsid w:val="007A5872"/>
    <w:rsid w:val="007A5938"/>
    <w:rsid w:val="007A59A3"/>
    <w:rsid w:val="007A5A3A"/>
    <w:rsid w:val="007A5AA6"/>
    <w:rsid w:val="007A5AA9"/>
    <w:rsid w:val="007A5D50"/>
    <w:rsid w:val="007A5D8C"/>
    <w:rsid w:val="007A6218"/>
    <w:rsid w:val="007A628C"/>
    <w:rsid w:val="007A6414"/>
    <w:rsid w:val="007A68A2"/>
    <w:rsid w:val="007A6BAB"/>
    <w:rsid w:val="007A6C46"/>
    <w:rsid w:val="007A6CB9"/>
    <w:rsid w:val="007A6EBF"/>
    <w:rsid w:val="007A7051"/>
    <w:rsid w:val="007A70F3"/>
    <w:rsid w:val="007A7111"/>
    <w:rsid w:val="007A7246"/>
    <w:rsid w:val="007A7436"/>
    <w:rsid w:val="007A746E"/>
    <w:rsid w:val="007A76DF"/>
    <w:rsid w:val="007A782D"/>
    <w:rsid w:val="007A784D"/>
    <w:rsid w:val="007A7966"/>
    <w:rsid w:val="007A7973"/>
    <w:rsid w:val="007A7AF4"/>
    <w:rsid w:val="007A7C52"/>
    <w:rsid w:val="007A7C59"/>
    <w:rsid w:val="007A7CA2"/>
    <w:rsid w:val="007A7DC5"/>
    <w:rsid w:val="007A7E26"/>
    <w:rsid w:val="007B0345"/>
    <w:rsid w:val="007B03AE"/>
    <w:rsid w:val="007B0505"/>
    <w:rsid w:val="007B0771"/>
    <w:rsid w:val="007B0B71"/>
    <w:rsid w:val="007B0BDA"/>
    <w:rsid w:val="007B0C18"/>
    <w:rsid w:val="007B0DE1"/>
    <w:rsid w:val="007B0F14"/>
    <w:rsid w:val="007B1062"/>
    <w:rsid w:val="007B1154"/>
    <w:rsid w:val="007B118F"/>
    <w:rsid w:val="007B1196"/>
    <w:rsid w:val="007B1336"/>
    <w:rsid w:val="007B1596"/>
    <w:rsid w:val="007B177B"/>
    <w:rsid w:val="007B17E9"/>
    <w:rsid w:val="007B1966"/>
    <w:rsid w:val="007B1B3F"/>
    <w:rsid w:val="007B1C5A"/>
    <w:rsid w:val="007B1E23"/>
    <w:rsid w:val="007B1F70"/>
    <w:rsid w:val="007B21C8"/>
    <w:rsid w:val="007B23BE"/>
    <w:rsid w:val="007B23C0"/>
    <w:rsid w:val="007B2548"/>
    <w:rsid w:val="007B2994"/>
    <w:rsid w:val="007B2C37"/>
    <w:rsid w:val="007B2CD4"/>
    <w:rsid w:val="007B2D27"/>
    <w:rsid w:val="007B3738"/>
    <w:rsid w:val="007B380B"/>
    <w:rsid w:val="007B3B75"/>
    <w:rsid w:val="007B3C2D"/>
    <w:rsid w:val="007B41D3"/>
    <w:rsid w:val="007B4525"/>
    <w:rsid w:val="007B45E0"/>
    <w:rsid w:val="007B4782"/>
    <w:rsid w:val="007B47C7"/>
    <w:rsid w:val="007B49F6"/>
    <w:rsid w:val="007B4B7F"/>
    <w:rsid w:val="007B4BEF"/>
    <w:rsid w:val="007B4CD9"/>
    <w:rsid w:val="007B4D1C"/>
    <w:rsid w:val="007B4DEA"/>
    <w:rsid w:val="007B4FC8"/>
    <w:rsid w:val="007B52D6"/>
    <w:rsid w:val="007B5363"/>
    <w:rsid w:val="007B5481"/>
    <w:rsid w:val="007B56D0"/>
    <w:rsid w:val="007B58FF"/>
    <w:rsid w:val="007B5C6A"/>
    <w:rsid w:val="007B5C70"/>
    <w:rsid w:val="007B5E53"/>
    <w:rsid w:val="007B5E70"/>
    <w:rsid w:val="007B5F9A"/>
    <w:rsid w:val="007B60BB"/>
    <w:rsid w:val="007B62FC"/>
    <w:rsid w:val="007B633E"/>
    <w:rsid w:val="007B6409"/>
    <w:rsid w:val="007B65A9"/>
    <w:rsid w:val="007B65C4"/>
    <w:rsid w:val="007B6845"/>
    <w:rsid w:val="007B6B18"/>
    <w:rsid w:val="007B6BE6"/>
    <w:rsid w:val="007B6DB6"/>
    <w:rsid w:val="007B7018"/>
    <w:rsid w:val="007B706D"/>
    <w:rsid w:val="007B72E3"/>
    <w:rsid w:val="007B7303"/>
    <w:rsid w:val="007B739A"/>
    <w:rsid w:val="007B7404"/>
    <w:rsid w:val="007B74CE"/>
    <w:rsid w:val="007B7679"/>
    <w:rsid w:val="007B7687"/>
    <w:rsid w:val="007B785C"/>
    <w:rsid w:val="007B78C5"/>
    <w:rsid w:val="007B7A67"/>
    <w:rsid w:val="007B7BA4"/>
    <w:rsid w:val="007B7F42"/>
    <w:rsid w:val="007C00BD"/>
    <w:rsid w:val="007C02FC"/>
    <w:rsid w:val="007C03E8"/>
    <w:rsid w:val="007C040D"/>
    <w:rsid w:val="007C0451"/>
    <w:rsid w:val="007C053A"/>
    <w:rsid w:val="007C074E"/>
    <w:rsid w:val="007C0848"/>
    <w:rsid w:val="007C0886"/>
    <w:rsid w:val="007C09D4"/>
    <w:rsid w:val="007C0A9E"/>
    <w:rsid w:val="007C0ABC"/>
    <w:rsid w:val="007C0AC3"/>
    <w:rsid w:val="007C0C6A"/>
    <w:rsid w:val="007C0CFC"/>
    <w:rsid w:val="007C0DE1"/>
    <w:rsid w:val="007C0FC4"/>
    <w:rsid w:val="007C10E8"/>
    <w:rsid w:val="007C113B"/>
    <w:rsid w:val="007C1273"/>
    <w:rsid w:val="007C1B7B"/>
    <w:rsid w:val="007C1B99"/>
    <w:rsid w:val="007C1F85"/>
    <w:rsid w:val="007C21D7"/>
    <w:rsid w:val="007C2466"/>
    <w:rsid w:val="007C25CB"/>
    <w:rsid w:val="007C265F"/>
    <w:rsid w:val="007C272C"/>
    <w:rsid w:val="007C27DE"/>
    <w:rsid w:val="007C2868"/>
    <w:rsid w:val="007C2B14"/>
    <w:rsid w:val="007C2C30"/>
    <w:rsid w:val="007C2D5A"/>
    <w:rsid w:val="007C322F"/>
    <w:rsid w:val="007C32DA"/>
    <w:rsid w:val="007C350C"/>
    <w:rsid w:val="007C37E7"/>
    <w:rsid w:val="007C3827"/>
    <w:rsid w:val="007C39D7"/>
    <w:rsid w:val="007C39E1"/>
    <w:rsid w:val="007C39F4"/>
    <w:rsid w:val="007C3AB3"/>
    <w:rsid w:val="007C3B02"/>
    <w:rsid w:val="007C3EDC"/>
    <w:rsid w:val="007C3FA0"/>
    <w:rsid w:val="007C4386"/>
    <w:rsid w:val="007C4578"/>
    <w:rsid w:val="007C45A5"/>
    <w:rsid w:val="007C468B"/>
    <w:rsid w:val="007C4703"/>
    <w:rsid w:val="007C482B"/>
    <w:rsid w:val="007C49B1"/>
    <w:rsid w:val="007C49D1"/>
    <w:rsid w:val="007C4C0F"/>
    <w:rsid w:val="007C4CBC"/>
    <w:rsid w:val="007C4E43"/>
    <w:rsid w:val="007C50C6"/>
    <w:rsid w:val="007C51BF"/>
    <w:rsid w:val="007C5297"/>
    <w:rsid w:val="007C5370"/>
    <w:rsid w:val="007C5499"/>
    <w:rsid w:val="007C573A"/>
    <w:rsid w:val="007C574A"/>
    <w:rsid w:val="007C57B6"/>
    <w:rsid w:val="007C5932"/>
    <w:rsid w:val="007C5BDE"/>
    <w:rsid w:val="007C5D64"/>
    <w:rsid w:val="007C5DBA"/>
    <w:rsid w:val="007C5F59"/>
    <w:rsid w:val="007C5FE4"/>
    <w:rsid w:val="007C6081"/>
    <w:rsid w:val="007C6351"/>
    <w:rsid w:val="007C639F"/>
    <w:rsid w:val="007C6A4D"/>
    <w:rsid w:val="007C6A75"/>
    <w:rsid w:val="007C6C45"/>
    <w:rsid w:val="007C6C83"/>
    <w:rsid w:val="007C6D04"/>
    <w:rsid w:val="007C6E34"/>
    <w:rsid w:val="007C6E3B"/>
    <w:rsid w:val="007C6F2C"/>
    <w:rsid w:val="007C7297"/>
    <w:rsid w:val="007C7373"/>
    <w:rsid w:val="007C74B9"/>
    <w:rsid w:val="007C7699"/>
    <w:rsid w:val="007C778B"/>
    <w:rsid w:val="007C78E1"/>
    <w:rsid w:val="007C79F9"/>
    <w:rsid w:val="007C7C05"/>
    <w:rsid w:val="007C7D1C"/>
    <w:rsid w:val="007C7E7B"/>
    <w:rsid w:val="007C7F19"/>
    <w:rsid w:val="007C7F54"/>
    <w:rsid w:val="007C7F61"/>
    <w:rsid w:val="007D0133"/>
    <w:rsid w:val="007D031B"/>
    <w:rsid w:val="007D09DB"/>
    <w:rsid w:val="007D0DBB"/>
    <w:rsid w:val="007D17BD"/>
    <w:rsid w:val="007D1928"/>
    <w:rsid w:val="007D1BCD"/>
    <w:rsid w:val="007D1D75"/>
    <w:rsid w:val="007D1F49"/>
    <w:rsid w:val="007D1F58"/>
    <w:rsid w:val="007D2206"/>
    <w:rsid w:val="007D2367"/>
    <w:rsid w:val="007D23E2"/>
    <w:rsid w:val="007D25A5"/>
    <w:rsid w:val="007D2BD9"/>
    <w:rsid w:val="007D2E48"/>
    <w:rsid w:val="007D303D"/>
    <w:rsid w:val="007D31F2"/>
    <w:rsid w:val="007D3265"/>
    <w:rsid w:val="007D3484"/>
    <w:rsid w:val="007D34AE"/>
    <w:rsid w:val="007D3598"/>
    <w:rsid w:val="007D35BA"/>
    <w:rsid w:val="007D39BE"/>
    <w:rsid w:val="007D3D1D"/>
    <w:rsid w:val="007D3DAE"/>
    <w:rsid w:val="007D3DB5"/>
    <w:rsid w:val="007D3E81"/>
    <w:rsid w:val="007D41BD"/>
    <w:rsid w:val="007D4435"/>
    <w:rsid w:val="007D444A"/>
    <w:rsid w:val="007D48BE"/>
    <w:rsid w:val="007D48FD"/>
    <w:rsid w:val="007D4CCB"/>
    <w:rsid w:val="007D4D09"/>
    <w:rsid w:val="007D5210"/>
    <w:rsid w:val="007D523F"/>
    <w:rsid w:val="007D52D5"/>
    <w:rsid w:val="007D5394"/>
    <w:rsid w:val="007D54E1"/>
    <w:rsid w:val="007D5643"/>
    <w:rsid w:val="007D57AA"/>
    <w:rsid w:val="007D5B83"/>
    <w:rsid w:val="007D5B91"/>
    <w:rsid w:val="007D5C80"/>
    <w:rsid w:val="007D5E60"/>
    <w:rsid w:val="007D5EC9"/>
    <w:rsid w:val="007D60AD"/>
    <w:rsid w:val="007D61D5"/>
    <w:rsid w:val="007D64D1"/>
    <w:rsid w:val="007D6550"/>
    <w:rsid w:val="007D659D"/>
    <w:rsid w:val="007D678A"/>
    <w:rsid w:val="007D67F3"/>
    <w:rsid w:val="007D6838"/>
    <w:rsid w:val="007D6886"/>
    <w:rsid w:val="007D6A5F"/>
    <w:rsid w:val="007D6A80"/>
    <w:rsid w:val="007D6AC9"/>
    <w:rsid w:val="007D6DC4"/>
    <w:rsid w:val="007D708E"/>
    <w:rsid w:val="007D75B3"/>
    <w:rsid w:val="007D772C"/>
    <w:rsid w:val="007D7803"/>
    <w:rsid w:val="007D79C7"/>
    <w:rsid w:val="007D7A51"/>
    <w:rsid w:val="007D7A83"/>
    <w:rsid w:val="007E0037"/>
    <w:rsid w:val="007E00EC"/>
    <w:rsid w:val="007E0152"/>
    <w:rsid w:val="007E0259"/>
    <w:rsid w:val="007E0409"/>
    <w:rsid w:val="007E05AC"/>
    <w:rsid w:val="007E06D8"/>
    <w:rsid w:val="007E08BC"/>
    <w:rsid w:val="007E09BB"/>
    <w:rsid w:val="007E09C0"/>
    <w:rsid w:val="007E0CA1"/>
    <w:rsid w:val="007E0D87"/>
    <w:rsid w:val="007E0F58"/>
    <w:rsid w:val="007E101D"/>
    <w:rsid w:val="007E10DA"/>
    <w:rsid w:val="007E10E8"/>
    <w:rsid w:val="007E1260"/>
    <w:rsid w:val="007E1388"/>
    <w:rsid w:val="007E1566"/>
    <w:rsid w:val="007E1734"/>
    <w:rsid w:val="007E18B2"/>
    <w:rsid w:val="007E18B6"/>
    <w:rsid w:val="007E1D80"/>
    <w:rsid w:val="007E1DA7"/>
    <w:rsid w:val="007E1E65"/>
    <w:rsid w:val="007E1FC4"/>
    <w:rsid w:val="007E20D5"/>
    <w:rsid w:val="007E2133"/>
    <w:rsid w:val="007E2290"/>
    <w:rsid w:val="007E22B4"/>
    <w:rsid w:val="007E2362"/>
    <w:rsid w:val="007E2489"/>
    <w:rsid w:val="007E24F8"/>
    <w:rsid w:val="007E2725"/>
    <w:rsid w:val="007E28F4"/>
    <w:rsid w:val="007E2B59"/>
    <w:rsid w:val="007E2B86"/>
    <w:rsid w:val="007E3167"/>
    <w:rsid w:val="007E32B2"/>
    <w:rsid w:val="007E3334"/>
    <w:rsid w:val="007E33B8"/>
    <w:rsid w:val="007E37D3"/>
    <w:rsid w:val="007E3956"/>
    <w:rsid w:val="007E397F"/>
    <w:rsid w:val="007E3B92"/>
    <w:rsid w:val="007E3CAC"/>
    <w:rsid w:val="007E3CC8"/>
    <w:rsid w:val="007E3F64"/>
    <w:rsid w:val="007E4116"/>
    <w:rsid w:val="007E4152"/>
    <w:rsid w:val="007E4257"/>
    <w:rsid w:val="007E4440"/>
    <w:rsid w:val="007E47C7"/>
    <w:rsid w:val="007E4847"/>
    <w:rsid w:val="007E4C64"/>
    <w:rsid w:val="007E4E60"/>
    <w:rsid w:val="007E4FBB"/>
    <w:rsid w:val="007E5030"/>
    <w:rsid w:val="007E505A"/>
    <w:rsid w:val="007E50D9"/>
    <w:rsid w:val="007E5201"/>
    <w:rsid w:val="007E521A"/>
    <w:rsid w:val="007E5588"/>
    <w:rsid w:val="007E5809"/>
    <w:rsid w:val="007E5A4F"/>
    <w:rsid w:val="007E5B1C"/>
    <w:rsid w:val="007E5BD4"/>
    <w:rsid w:val="007E5CE0"/>
    <w:rsid w:val="007E5E38"/>
    <w:rsid w:val="007E5E4D"/>
    <w:rsid w:val="007E5E69"/>
    <w:rsid w:val="007E5EC5"/>
    <w:rsid w:val="007E5EF6"/>
    <w:rsid w:val="007E6BA9"/>
    <w:rsid w:val="007E6BD5"/>
    <w:rsid w:val="007E6C5C"/>
    <w:rsid w:val="007E6EE8"/>
    <w:rsid w:val="007E7026"/>
    <w:rsid w:val="007E7582"/>
    <w:rsid w:val="007E7707"/>
    <w:rsid w:val="007E77AC"/>
    <w:rsid w:val="007E78FF"/>
    <w:rsid w:val="007E7B18"/>
    <w:rsid w:val="007E7B42"/>
    <w:rsid w:val="007E7C6F"/>
    <w:rsid w:val="007E7CDE"/>
    <w:rsid w:val="007F0153"/>
    <w:rsid w:val="007F054F"/>
    <w:rsid w:val="007F07E9"/>
    <w:rsid w:val="007F089F"/>
    <w:rsid w:val="007F0B1E"/>
    <w:rsid w:val="007F0C5D"/>
    <w:rsid w:val="007F111E"/>
    <w:rsid w:val="007F1288"/>
    <w:rsid w:val="007F1476"/>
    <w:rsid w:val="007F16E7"/>
    <w:rsid w:val="007F178F"/>
    <w:rsid w:val="007F183C"/>
    <w:rsid w:val="007F193E"/>
    <w:rsid w:val="007F1A27"/>
    <w:rsid w:val="007F1AD5"/>
    <w:rsid w:val="007F1C03"/>
    <w:rsid w:val="007F1C09"/>
    <w:rsid w:val="007F1F33"/>
    <w:rsid w:val="007F243C"/>
    <w:rsid w:val="007F2463"/>
    <w:rsid w:val="007F2484"/>
    <w:rsid w:val="007F26BD"/>
    <w:rsid w:val="007F29AC"/>
    <w:rsid w:val="007F2A72"/>
    <w:rsid w:val="007F2E6C"/>
    <w:rsid w:val="007F2F61"/>
    <w:rsid w:val="007F3442"/>
    <w:rsid w:val="007F35FE"/>
    <w:rsid w:val="007F3773"/>
    <w:rsid w:val="007F3A18"/>
    <w:rsid w:val="007F3A95"/>
    <w:rsid w:val="007F3BBB"/>
    <w:rsid w:val="007F3D45"/>
    <w:rsid w:val="007F3E0F"/>
    <w:rsid w:val="007F3EF6"/>
    <w:rsid w:val="007F412F"/>
    <w:rsid w:val="007F432F"/>
    <w:rsid w:val="007F44EB"/>
    <w:rsid w:val="007F450D"/>
    <w:rsid w:val="007F4A0A"/>
    <w:rsid w:val="007F4AD3"/>
    <w:rsid w:val="007F4C74"/>
    <w:rsid w:val="007F4C9C"/>
    <w:rsid w:val="007F4CE6"/>
    <w:rsid w:val="007F4EC1"/>
    <w:rsid w:val="007F4FD9"/>
    <w:rsid w:val="007F534A"/>
    <w:rsid w:val="007F54A6"/>
    <w:rsid w:val="007F565F"/>
    <w:rsid w:val="007F5665"/>
    <w:rsid w:val="007F580A"/>
    <w:rsid w:val="007F589F"/>
    <w:rsid w:val="007F58C2"/>
    <w:rsid w:val="007F5AB6"/>
    <w:rsid w:val="007F5EA3"/>
    <w:rsid w:val="007F5EAE"/>
    <w:rsid w:val="007F6088"/>
    <w:rsid w:val="007F6248"/>
    <w:rsid w:val="007F627B"/>
    <w:rsid w:val="007F63AC"/>
    <w:rsid w:val="007F6669"/>
    <w:rsid w:val="007F6C35"/>
    <w:rsid w:val="007F7182"/>
    <w:rsid w:val="007F723C"/>
    <w:rsid w:val="007F73A8"/>
    <w:rsid w:val="007F73E7"/>
    <w:rsid w:val="007F74D2"/>
    <w:rsid w:val="007F7610"/>
    <w:rsid w:val="007F7698"/>
    <w:rsid w:val="007F7B29"/>
    <w:rsid w:val="007F7E98"/>
    <w:rsid w:val="007F7EAD"/>
    <w:rsid w:val="007F7ED1"/>
    <w:rsid w:val="007F7EDB"/>
    <w:rsid w:val="007F7FEA"/>
    <w:rsid w:val="008001F0"/>
    <w:rsid w:val="0080026A"/>
    <w:rsid w:val="0080027E"/>
    <w:rsid w:val="00800334"/>
    <w:rsid w:val="008003DE"/>
    <w:rsid w:val="008005C7"/>
    <w:rsid w:val="008007F2"/>
    <w:rsid w:val="00800941"/>
    <w:rsid w:val="008009D5"/>
    <w:rsid w:val="00800A59"/>
    <w:rsid w:val="00800DC1"/>
    <w:rsid w:val="00800EF2"/>
    <w:rsid w:val="008011BD"/>
    <w:rsid w:val="008011CD"/>
    <w:rsid w:val="008013C6"/>
    <w:rsid w:val="008015BF"/>
    <w:rsid w:val="00801988"/>
    <w:rsid w:val="00801A16"/>
    <w:rsid w:val="00801B5B"/>
    <w:rsid w:val="00801BE8"/>
    <w:rsid w:val="00801D73"/>
    <w:rsid w:val="00801D82"/>
    <w:rsid w:val="00801FA4"/>
    <w:rsid w:val="00802097"/>
    <w:rsid w:val="0080231A"/>
    <w:rsid w:val="00802396"/>
    <w:rsid w:val="00802439"/>
    <w:rsid w:val="00802579"/>
    <w:rsid w:val="0080266D"/>
    <w:rsid w:val="008026F7"/>
    <w:rsid w:val="008027A4"/>
    <w:rsid w:val="008028B4"/>
    <w:rsid w:val="0080290D"/>
    <w:rsid w:val="0080296E"/>
    <w:rsid w:val="008029B2"/>
    <w:rsid w:val="008029FC"/>
    <w:rsid w:val="00802B06"/>
    <w:rsid w:val="00802EC7"/>
    <w:rsid w:val="00802ED8"/>
    <w:rsid w:val="00802FE2"/>
    <w:rsid w:val="00803068"/>
    <w:rsid w:val="008034F8"/>
    <w:rsid w:val="008035A2"/>
    <w:rsid w:val="008036D8"/>
    <w:rsid w:val="008037BD"/>
    <w:rsid w:val="00803844"/>
    <w:rsid w:val="00803A0E"/>
    <w:rsid w:val="00803BED"/>
    <w:rsid w:val="008042AA"/>
    <w:rsid w:val="008042CC"/>
    <w:rsid w:val="008043C2"/>
    <w:rsid w:val="00804677"/>
    <w:rsid w:val="00804679"/>
    <w:rsid w:val="008048BE"/>
    <w:rsid w:val="0080491A"/>
    <w:rsid w:val="00804AB1"/>
    <w:rsid w:val="00804AD4"/>
    <w:rsid w:val="00804D18"/>
    <w:rsid w:val="00804F66"/>
    <w:rsid w:val="0080535B"/>
    <w:rsid w:val="00805391"/>
    <w:rsid w:val="008055A1"/>
    <w:rsid w:val="00805647"/>
    <w:rsid w:val="0080564A"/>
    <w:rsid w:val="00805678"/>
    <w:rsid w:val="008057FF"/>
    <w:rsid w:val="0080580F"/>
    <w:rsid w:val="0080585B"/>
    <w:rsid w:val="0080595B"/>
    <w:rsid w:val="00805FD8"/>
    <w:rsid w:val="0080603F"/>
    <w:rsid w:val="00806258"/>
    <w:rsid w:val="00806561"/>
    <w:rsid w:val="008066A5"/>
    <w:rsid w:val="0080679C"/>
    <w:rsid w:val="008067C6"/>
    <w:rsid w:val="00806820"/>
    <w:rsid w:val="00806A0D"/>
    <w:rsid w:val="00806BC8"/>
    <w:rsid w:val="00806BD4"/>
    <w:rsid w:val="00806D60"/>
    <w:rsid w:val="008070EE"/>
    <w:rsid w:val="00807269"/>
    <w:rsid w:val="008072C1"/>
    <w:rsid w:val="008073EC"/>
    <w:rsid w:val="008075BA"/>
    <w:rsid w:val="0080773C"/>
    <w:rsid w:val="0080778C"/>
    <w:rsid w:val="00807855"/>
    <w:rsid w:val="00807B48"/>
    <w:rsid w:val="00807C59"/>
    <w:rsid w:val="00807E51"/>
    <w:rsid w:val="00807E54"/>
    <w:rsid w:val="00807FD0"/>
    <w:rsid w:val="0081017C"/>
    <w:rsid w:val="008104B0"/>
    <w:rsid w:val="0081065C"/>
    <w:rsid w:val="008106C6"/>
    <w:rsid w:val="00810B76"/>
    <w:rsid w:val="00810B82"/>
    <w:rsid w:val="00810CD1"/>
    <w:rsid w:val="00810D5F"/>
    <w:rsid w:val="00810E8C"/>
    <w:rsid w:val="00810E9B"/>
    <w:rsid w:val="00810EB1"/>
    <w:rsid w:val="00811042"/>
    <w:rsid w:val="008110DE"/>
    <w:rsid w:val="008110F7"/>
    <w:rsid w:val="00811339"/>
    <w:rsid w:val="0081155E"/>
    <w:rsid w:val="00811826"/>
    <w:rsid w:val="00811AE2"/>
    <w:rsid w:val="00812274"/>
    <w:rsid w:val="008122BA"/>
    <w:rsid w:val="008123E8"/>
    <w:rsid w:val="00812419"/>
    <w:rsid w:val="00812549"/>
    <w:rsid w:val="0081270E"/>
    <w:rsid w:val="0081284A"/>
    <w:rsid w:val="008128FA"/>
    <w:rsid w:val="00812969"/>
    <w:rsid w:val="008129E0"/>
    <w:rsid w:val="00812AF9"/>
    <w:rsid w:val="00812B07"/>
    <w:rsid w:val="008130FF"/>
    <w:rsid w:val="00813206"/>
    <w:rsid w:val="00813413"/>
    <w:rsid w:val="0081349F"/>
    <w:rsid w:val="00813578"/>
    <w:rsid w:val="008135B6"/>
    <w:rsid w:val="00813912"/>
    <w:rsid w:val="008139AA"/>
    <w:rsid w:val="00813AED"/>
    <w:rsid w:val="00813BC8"/>
    <w:rsid w:val="00813CF2"/>
    <w:rsid w:val="00813E9B"/>
    <w:rsid w:val="00813EEF"/>
    <w:rsid w:val="00814104"/>
    <w:rsid w:val="008142BA"/>
    <w:rsid w:val="008142EA"/>
    <w:rsid w:val="00814352"/>
    <w:rsid w:val="0081443D"/>
    <w:rsid w:val="0081470C"/>
    <w:rsid w:val="00814A1B"/>
    <w:rsid w:val="00814A29"/>
    <w:rsid w:val="00814C2D"/>
    <w:rsid w:val="00814D94"/>
    <w:rsid w:val="00814F4D"/>
    <w:rsid w:val="00815041"/>
    <w:rsid w:val="0081536F"/>
    <w:rsid w:val="008154AC"/>
    <w:rsid w:val="008154FB"/>
    <w:rsid w:val="0081594D"/>
    <w:rsid w:val="00815C88"/>
    <w:rsid w:val="00815D92"/>
    <w:rsid w:val="00815DF9"/>
    <w:rsid w:val="00815EBC"/>
    <w:rsid w:val="00815F45"/>
    <w:rsid w:val="008160CF"/>
    <w:rsid w:val="008161C0"/>
    <w:rsid w:val="00816463"/>
    <w:rsid w:val="00816713"/>
    <w:rsid w:val="00816799"/>
    <w:rsid w:val="00816A5F"/>
    <w:rsid w:val="00816BA8"/>
    <w:rsid w:val="00816C58"/>
    <w:rsid w:val="00816CD0"/>
    <w:rsid w:val="00816D88"/>
    <w:rsid w:val="008171A7"/>
    <w:rsid w:val="008171F8"/>
    <w:rsid w:val="0081741D"/>
    <w:rsid w:val="008175B8"/>
    <w:rsid w:val="008176A8"/>
    <w:rsid w:val="00817869"/>
    <w:rsid w:val="0081799F"/>
    <w:rsid w:val="00817A71"/>
    <w:rsid w:val="00820040"/>
    <w:rsid w:val="00820043"/>
    <w:rsid w:val="00820187"/>
    <w:rsid w:val="0082027C"/>
    <w:rsid w:val="008202B9"/>
    <w:rsid w:val="00820383"/>
    <w:rsid w:val="00820495"/>
    <w:rsid w:val="008206C4"/>
    <w:rsid w:val="00820981"/>
    <w:rsid w:val="00820F38"/>
    <w:rsid w:val="008211C3"/>
    <w:rsid w:val="00821431"/>
    <w:rsid w:val="0082143E"/>
    <w:rsid w:val="008214B5"/>
    <w:rsid w:val="0082170F"/>
    <w:rsid w:val="00821900"/>
    <w:rsid w:val="0082190F"/>
    <w:rsid w:val="00821957"/>
    <w:rsid w:val="00821993"/>
    <w:rsid w:val="00821DE5"/>
    <w:rsid w:val="00822226"/>
    <w:rsid w:val="00822514"/>
    <w:rsid w:val="0082253A"/>
    <w:rsid w:val="008226B9"/>
    <w:rsid w:val="00822829"/>
    <w:rsid w:val="00822F87"/>
    <w:rsid w:val="008230D9"/>
    <w:rsid w:val="008231E0"/>
    <w:rsid w:val="008231ED"/>
    <w:rsid w:val="0082326C"/>
    <w:rsid w:val="008232D9"/>
    <w:rsid w:val="00823389"/>
    <w:rsid w:val="0082367F"/>
    <w:rsid w:val="00823685"/>
    <w:rsid w:val="008236E4"/>
    <w:rsid w:val="0082371E"/>
    <w:rsid w:val="00823803"/>
    <w:rsid w:val="00823A0E"/>
    <w:rsid w:val="00823A2C"/>
    <w:rsid w:val="00823A32"/>
    <w:rsid w:val="00823F45"/>
    <w:rsid w:val="008240E9"/>
    <w:rsid w:val="008241A2"/>
    <w:rsid w:val="00824647"/>
    <w:rsid w:val="00824888"/>
    <w:rsid w:val="00824920"/>
    <w:rsid w:val="00824E38"/>
    <w:rsid w:val="00824E47"/>
    <w:rsid w:val="00825160"/>
    <w:rsid w:val="00825386"/>
    <w:rsid w:val="0082538D"/>
    <w:rsid w:val="00825744"/>
    <w:rsid w:val="008257B6"/>
    <w:rsid w:val="008259E3"/>
    <w:rsid w:val="00825AFE"/>
    <w:rsid w:val="00825BDF"/>
    <w:rsid w:val="00825CA6"/>
    <w:rsid w:val="00825DD5"/>
    <w:rsid w:val="00826088"/>
    <w:rsid w:val="008260A2"/>
    <w:rsid w:val="008260A9"/>
    <w:rsid w:val="00826168"/>
    <w:rsid w:val="008261A2"/>
    <w:rsid w:val="00826202"/>
    <w:rsid w:val="00826310"/>
    <w:rsid w:val="0082639C"/>
    <w:rsid w:val="0082669C"/>
    <w:rsid w:val="00826880"/>
    <w:rsid w:val="00826982"/>
    <w:rsid w:val="00826AD3"/>
    <w:rsid w:val="00826CAE"/>
    <w:rsid w:val="00826D20"/>
    <w:rsid w:val="00826E83"/>
    <w:rsid w:val="0082706D"/>
    <w:rsid w:val="00827226"/>
    <w:rsid w:val="0082772E"/>
    <w:rsid w:val="008277E1"/>
    <w:rsid w:val="00827C55"/>
    <w:rsid w:val="00827DB4"/>
    <w:rsid w:val="008301BA"/>
    <w:rsid w:val="008303ED"/>
    <w:rsid w:val="00830409"/>
    <w:rsid w:val="00830497"/>
    <w:rsid w:val="0083049E"/>
    <w:rsid w:val="00830541"/>
    <w:rsid w:val="00830741"/>
    <w:rsid w:val="0083081C"/>
    <w:rsid w:val="00830AB4"/>
    <w:rsid w:val="00830BC9"/>
    <w:rsid w:val="00830C5B"/>
    <w:rsid w:val="00830D37"/>
    <w:rsid w:val="00830EAB"/>
    <w:rsid w:val="00830EDE"/>
    <w:rsid w:val="00830F68"/>
    <w:rsid w:val="00831039"/>
    <w:rsid w:val="008311B3"/>
    <w:rsid w:val="00831491"/>
    <w:rsid w:val="00831753"/>
    <w:rsid w:val="00831797"/>
    <w:rsid w:val="008317F6"/>
    <w:rsid w:val="00831C45"/>
    <w:rsid w:val="00831C4D"/>
    <w:rsid w:val="00831CA8"/>
    <w:rsid w:val="00831E74"/>
    <w:rsid w:val="00831EAA"/>
    <w:rsid w:val="00831FB8"/>
    <w:rsid w:val="008323B3"/>
    <w:rsid w:val="00832401"/>
    <w:rsid w:val="00832458"/>
    <w:rsid w:val="00832602"/>
    <w:rsid w:val="00832802"/>
    <w:rsid w:val="00832C9C"/>
    <w:rsid w:val="00832D66"/>
    <w:rsid w:val="00832DB1"/>
    <w:rsid w:val="00832EEC"/>
    <w:rsid w:val="008331E7"/>
    <w:rsid w:val="008332CC"/>
    <w:rsid w:val="008335E5"/>
    <w:rsid w:val="00833697"/>
    <w:rsid w:val="008338E4"/>
    <w:rsid w:val="00833A27"/>
    <w:rsid w:val="00833BFF"/>
    <w:rsid w:val="008340E4"/>
    <w:rsid w:val="008343DB"/>
    <w:rsid w:val="00834471"/>
    <w:rsid w:val="008344A7"/>
    <w:rsid w:val="008344B2"/>
    <w:rsid w:val="00834717"/>
    <w:rsid w:val="00834805"/>
    <w:rsid w:val="008348B1"/>
    <w:rsid w:val="00834A7D"/>
    <w:rsid w:val="00834A9B"/>
    <w:rsid w:val="00834ACF"/>
    <w:rsid w:val="00834ADE"/>
    <w:rsid w:val="00834E1E"/>
    <w:rsid w:val="00834F04"/>
    <w:rsid w:val="008353E7"/>
    <w:rsid w:val="008353F1"/>
    <w:rsid w:val="00835428"/>
    <w:rsid w:val="008354C3"/>
    <w:rsid w:val="00835594"/>
    <w:rsid w:val="00835674"/>
    <w:rsid w:val="008356E6"/>
    <w:rsid w:val="008357AE"/>
    <w:rsid w:val="008357EA"/>
    <w:rsid w:val="0083591C"/>
    <w:rsid w:val="00835D3B"/>
    <w:rsid w:val="008360F6"/>
    <w:rsid w:val="00836252"/>
    <w:rsid w:val="00836317"/>
    <w:rsid w:val="008363C6"/>
    <w:rsid w:val="008363E9"/>
    <w:rsid w:val="008364F7"/>
    <w:rsid w:val="0083676B"/>
    <w:rsid w:val="00836822"/>
    <w:rsid w:val="00836831"/>
    <w:rsid w:val="0083687A"/>
    <w:rsid w:val="0083693E"/>
    <w:rsid w:val="00836C96"/>
    <w:rsid w:val="00836D55"/>
    <w:rsid w:val="00836DFC"/>
    <w:rsid w:val="00836E30"/>
    <w:rsid w:val="00836E88"/>
    <w:rsid w:val="00836EC9"/>
    <w:rsid w:val="00836F59"/>
    <w:rsid w:val="00837219"/>
    <w:rsid w:val="008372B3"/>
    <w:rsid w:val="008373AC"/>
    <w:rsid w:val="00837892"/>
    <w:rsid w:val="008378FF"/>
    <w:rsid w:val="00837958"/>
    <w:rsid w:val="00837962"/>
    <w:rsid w:val="00837AAB"/>
    <w:rsid w:val="00837B31"/>
    <w:rsid w:val="00837DF4"/>
    <w:rsid w:val="00837E75"/>
    <w:rsid w:val="00840073"/>
    <w:rsid w:val="008400B6"/>
    <w:rsid w:val="00840467"/>
    <w:rsid w:val="008404B6"/>
    <w:rsid w:val="00840733"/>
    <w:rsid w:val="00840755"/>
    <w:rsid w:val="00840877"/>
    <w:rsid w:val="00840A09"/>
    <w:rsid w:val="00840B71"/>
    <w:rsid w:val="00840DA7"/>
    <w:rsid w:val="00840FE4"/>
    <w:rsid w:val="00841058"/>
    <w:rsid w:val="008410CC"/>
    <w:rsid w:val="0084130E"/>
    <w:rsid w:val="008414C1"/>
    <w:rsid w:val="008415E6"/>
    <w:rsid w:val="00841601"/>
    <w:rsid w:val="00841779"/>
    <w:rsid w:val="00841AB0"/>
    <w:rsid w:val="00841CAC"/>
    <w:rsid w:val="00841CC6"/>
    <w:rsid w:val="00841D63"/>
    <w:rsid w:val="00841E55"/>
    <w:rsid w:val="00841E78"/>
    <w:rsid w:val="00841EDD"/>
    <w:rsid w:val="00841F81"/>
    <w:rsid w:val="00842000"/>
    <w:rsid w:val="00842087"/>
    <w:rsid w:val="008420D1"/>
    <w:rsid w:val="00842143"/>
    <w:rsid w:val="0084227C"/>
    <w:rsid w:val="008425BD"/>
    <w:rsid w:val="008427F5"/>
    <w:rsid w:val="00842A2F"/>
    <w:rsid w:val="00842EE2"/>
    <w:rsid w:val="00842FF8"/>
    <w:rsid w:val="008435AB"/>
    <w:rsid w:val="008435BB"/>
    <w:rsid w:val="008435D1"/>
    <w:rsid w:val="008435D9"/>
    <w:rsid w:val="0084374A"/>
    <w:rsid w:val="00843930"/>
    <w:rsid w:val="00843949"/>
    <w:rsid w:val="008439AC"/>
    <w:rsid w:val="00843AAB"/>
    <w:rsid w:val="00843B47"/>
    <w:rsid w:val="00843B98"/>
    <w:rsid w:val="00843D78"/>
    <w:rsid w:val="00843DB5"/>
    <w:rsid w:val="00844036"/>
    <w:rsid w:val="008442A2"/>
    <w:rsid w:val="00844331"/>
    <w:rsid w:val="00844448"/>
    <w:rsid w:val="00844473"/>
    <w:rsid w:val="00844806"/>
    <w:rsid w:val="00844872"/>
    <w:rsid w:val="0084488A"/>
    <w:rsid w:val="00844909"/>
    <w:rsid w:val="00844910"/>
    <w:rsid w:val="00844A0F"/>
    <w:rsid w:val="00844A3E"/>
    <w:rsid w:val="00844A6A"/>
    <w:rsid w:val="00844DBF"/>
    <w:rsid w:val="00844E81"/>
    <w:rsid w:val="00844EB8"/>
    <w:rsid w:val="00844FD0"/>
    <w:rsid w:val="00844FE4"/>
    <w:rsid w:val="00845053"/>
    <w:rsid w:val="008450F7"/>
    <w:rsid w:val="00845491"/>
    <w:rsid w:val="008454EB"/>
    <w:rsid w:val="00845735"/>
    <w:rsid w:val="00845B36"/>
    <w:rsid w:val="00845D06"/>
    <w:rsid w:val="00845D18"/>
    <w:rsid w:val="00845D88"/>
    <w:rsid w:val="00845EBD"/>
    <w:rsid w:val="0084627C"/>
    <w:rsid w:val="008462A7"/>
    <w:rsid w:val="0084644A"/>
    <w:rsid w:val="0084656B"/>
    <w:rsid w:val="0084658D"/>
    <w:rsid w:val="00846623"/>
    <w:rsid w:val="008466B8"/>
    <w:rsid w:val="008467F8"/>
    <w:rsid w:val="008467FD"/>
    <w:rsid w:val="008468E1"/>
    <w:rsid w:val="0084691A"/>
    <w:rsid w:val="00846B0B"/>
    <w:rsid w:val="00846B6A"/>
    <w:rsid w:val="00846C4B"/>
    <w:rsid w:val="00846C94"/>
    <w:rsid w:val="00846D26"/>
    <w:rsid w:val="00846FD3"/>
    <w:rsid w:val="008471AA"/>
    <w:rsid w:val="008472B6"/>
    <w:rsid w:val="008474A5"/>
    <w:rsid w:val="0084751D"/>
    <w:rsid w:val="00847737"/>
    <w:rsid w:val="00847832"/>
    <w:rsid w:val="00847972"/>
    <w:rsid w:val="00847AF8"/>
    <w:rsid w:val="00847C42"/>
    <w:rsid w:val="00847EF9"/>
    <w:rsid w:val="00850251"/>
    <w:rsid w:val="008503D0"/>
    <w:rsid w:val="008504EF"/>
    <w:rsid w:val="008505AB"/>
    <w:rsid w:val="00850650"/>
    <w:rsid w:val="008508DE"/>
    <w:rsid w:val="00850A63"/>
    <w:rsid w:val="00850A9E"/>
    <w:rsid w:val="00850B2F"/>
    <w:rsid w:val="00850CE0"/>
    <w:rsid w:val="00850D61"/>
    <w:rsid w:val="00850E50"/>
    <w:rsid w:val="00851111"/>
    <w:rsid w:val="008511AE"/>
    <w:rsid w:val="008512A4"/>
    <w:rsid w:val="008512B4"/>
    <w:rsid w:val="008513D0"/>
    <w:rsid w:val="00851559"/>
    <w:rsid w:val="008517F8"/>
    <w:rsid w:val="00851928"/>
    <w:rsid w:val="00851B1F"/>
    <w:rsid w:val="00851C59"/>
    <w:rsid w:val="00851DA0"/>
    <w:rsid w:val="00852061"/>
    <w:rsid w:val="008521A1"/>
    <w:rsid w:val="008521FF"/>
    <w:rsid w:val="008522AC"/>
    <w:rsid w:val="008522F7"/>
    <w:rsid w:val="00852400"/>
    <w:rsid w:val="0085246C"/>
    <w:rsid w:val="00852691"/>
    <w:rsid w:val="008526E0"/>
    <w:rsid w:val="008526FC"/>
    <w:rsid w:val="0085278B"/>
    <w:rsid w:val="00852A6B"/>
    <w:rsid w:val="00852C44"/>
    <w:rsid w:val="00852F03"/>
    <w:rsid w:val="008530F3"/>
    <w:rsid w:val="008533DA"/>
    <w:rsid w:val="00853663"/>
    <w:rsid w:val="00853B67"/>
    <w:rsid w:val="00853C10"/>
    <w:rsid w:val="00853D68"/>
    <w:rsid w:val="00853DA8"/>
    <w:rsid w:val="00853E02"/>
    <w:rsid w:val="00853E58"/>
    <w:rsid w:val="0085404B"/>
    <w:rsid w:val="00854167"/>
    <w:rsid w:val="008542C4"/>
    <w:rsid w:val="00854560"/>
    <w:rsid w:val="00854702"/>
    <w:rsid w:val="00854768"/>
    <w:rsid w:val="00854812"/>
    <w:rsid w:val="008548D5"/>
    <w:rsid w:val="00854916"/>
    <w:rsid w:val="00854A89"/>
    <w:rsid w:val="00854B05"/>
    <w:rsid w:val="00854C02"/>
    <w:rsid w:val="00854C9D"/>
    <w:rsid w:val="00854E6A"/>
    <w:rsid w:val="00855363"/>
    <w:rsid w:val="008553E4"/>
    <w:rsid w:val="00855400"/>
    <w:rsid w:val="0085543F"/>
    <w:rsid w:val="00855560"/>
    <w:rsid w:val="008557DC"/>
    <w:rsid w:val="0085590A"/>
    <w:rsid w:val="00855998"/>
    <w:rsid w:val="00855CCD"/>
    <w:rsid w:val="00855D60"/>
    <w:rsid w:val="00855DEE"/>
    <w:rsid w:val="00855EA2"/>
    <w:rsid w:val="0085613D"/>
    <w:rsid w:val="00856165"/>
    <w:rsid w:val="008564AE"/>
    <w:rsid w:val="00856605"/>
    <w:rsid w:val="0085679E"/>
    <w:rsid w:val="00856836"/>
    <w:rsid w:val="0085685B"/>
    <w:rsid w:val="00856AFE"/>
    <w:rsid w:val="00856B1C"/>
    <w:rsid w:val="00856BA5"/>
    <w:rsid w:val="00856DC1"/>
    <w:rsid w:val="00856F63"/>
    <w:rsid w:val="00856FFB"/>
    <w:rsid w:val="008570CB"/>
    <w:rsid w:val="00857144"/>
    <w:rsid w:val="008571D9"/>
    <w:rsid w:val="008572AA"/>
    <w:rsid w:val="008574E6"/>
    <w:rsid w:val="00857A16"/>
    <w:rsid w:val="00857B4A"/>
    <w:rsid w:val="00857F61"/>
    <w:rsid w:val="00860029"/>
    <w:rsid w:val="008603A6"/>
    <w:rsid w:val="0086045B"/>
    <w:rsid w:val="008605EF"/>
    <w:rsid w:val="00860797"/>
    <w:rsid w:val="00860C31"/>
    <w:rsid w:val="00860C4A"/>
    <w:rsid w:val="00860D8B"/>
    <w:rsid w:val="00860ED4"/>
    <w:rsid w:val="008610A6"/>
    <w:rsid w:val="0086126A"/>
    <w:rsid w:val="00861372"/>
    <w:rsid w:val="00861545"/>
    <w:rsid w:val="00861561"/>
    <w:rsid w:val="00861689"/>
    <w:rsid w:val="00861740"/>
    <w:rsid w:val="008618D6"/>
    <w:rsid w:val="00861ADB"/>
    <w:rsid w:val="00861BAB"/>
    <w:rsid w:val="00861C32"/>
    <w:rsid w:val="00861E1D"/>
    <w:rsid w:val="00862075"/>
    <w:rsid w:val="00862378"/>
    <w:rsid w:val="0086253E"/>
    <w:rsid w:val="00862A94"/>
    <w:rsid w:val="00862B39"/>
    <w:rsid w:val="00862D6A"/>
    <w:rsid w:val="00862DDA"/>
    <w:rsid w:val="00862EEC"/>
    <w:rsid w:val="00863088"/>
    <w:rsid w:val="00863486"/>
    <w:rsid w:val="008636C3"/>
    <w:rsid w:val="00863A0E"/>
    <w:rsid w:val="00863D0F"/>
    <w:rsid w:val="00863DEA"/>
    <w:rsid w:val="00863F70"/>
    <w:rsid w:val="00863FDC"/>
    <w:rsid w:val="008641A6"/>
    <w:rsid w:val="008641B1"/>
    <w:rsid w:val="008641F6"/>
    <w:rsid w:val="008642B3"/>
    <w:rsid w:val="0086432A"/>
    <w:rsid w:val="008643C0"/>
    <w:rsid w:val="0086454B"/>
    <w:rsid w:val="008647B5"/>
    <w:rsid w:val="00864A41"/>
    <w:rsid w:val="00864AF5"/>
    <w:rsid w:val="00864F1D"/>
    <w:rsid w:val="00864FA3"/>
    <w:rsid w:val="008652B4"/>
    <w:rsid w:val="008652F3"/>
    <w:rsid w:val="00865326"/>
    <w:rsid w:val="0086532C"/>
    <w:rsid w:val="008653BF"/>
    <w:rsid w:val="00865445"/>
    <w:rsid w:val="0086573B"/>
    <w:rsid w:val="0086580D"/>
    <w:rsid w:val="00865BC3"/>
    <w:rsid w:val="00865F8E"/>
    <w:rsid w:val="00865FEB"/>
    <w:rsid w:val="008661CE"/>
    <w:rsid w:val="00866533"/>
    <w:rsid w:val="00866694"/>
    <w:rsid w:val="008667AC"/>
    <w:rsid w:val="0086681C"/>
    <w:rsid w:val="00866B09"/>
    <w:rsid w:val="00866C04"/>
    <w:rsid w:val="00866C36"/>
    <w:rsid w:val="00867346"/>
    <w:rsid w:val="0086749F"/>
    <w:rsid w:val="00867560"/>
    <w:rsid w:val="008675AE"/>
    <w:rsid w:val="0086767E"/>
    <w:rsid w:val="008676B5"/>
    <w:rsid w:val="00867CE6"/>
    <w:rsid w:val="00867D3E"/>
    <w:rsid w:val="00867D6B"/>
    <w:rsid w:val="00867D88"/>
    <w:rsid w:val="00870010"/>
    <w:rsid w:val="00870276"/>
    <w:rsid w:val="008702B4"/>
    <w:rsid w:val="008702C6"/>
    <w:rsid w:val="008704A0"/>
    <w:rsid w:val="008708AE"/>
    <w:rsid w:val="00870B55"/>
    <w:rsid w:val="00870CDC"/>
    <w:rsid w:val="00870CFD"/>
    <w:rsid w:val="00870E7D"/>
    <w:rsid w:val="00871219"/>
    <w:rsid w:val="0087130B"/>
    <w:rsid w:val="00871904"/>
    <w:rsid w:val="00871919"/>
    <w:rsid w:val="00871B44"/>
    <w:rsid w:val="00871BCF"/>
    <w:rsid w:val="00871D43"/>
    <w:rsid w:val="00872085"/>
    <w:rsid w:val="00872210"/>
    <w:rsid w:val="00872349"/>
    <w:rsid w:val="008726DB"/>
    <w:rsid w:val="00872737"/>
    <w:rsid w:val="008728FD"/>
    <w:rsid w:val="00872900"/>
    <w:rsid w:val="00872B1A"/>
    <w:rsid w:val="00872C6B"/>
    <w:rsid w:val="00872F59"/>
    <w:rsid w:val="0087302A"/>
    <w:rsid w:val="0087305D"/>
    <w:rsid w:val="0087305F"/>
    <w:rsid w:val="008731CB"/>
    <w:rsid w:val="00873240"/>
    <w:rsid w:val="0087334C"/>
    <w:rsid w:val="00873366"/>
    <w:rsid w:val="00873467"/>
    <w:rsid w:val="008736BD"/>
    <w:rsid w:val="0087392C"/>
    <w:rsid w:val="0087395F"/>
    <w:rsid w:val="00873C84"/>
    <w:rsid w:val="00873DAB"/>
    <w:rsid w:val="00873DD8"/>
    <w:rsid w:val="00873DFB"/>
    <w:rsid w:val="0087428F"/>
    <w:rsid w:val="008743A2"/>
    <w:rsid w:val="0087465E"/>
    <w:rsid w:val="0087474F"/>
    <w:rsid w:val="00874A54"/>
    <w:rsid w:val="00874AF2"/>
    <w:rsid w:val="00874BB7"/>
    <w:rsid w:val="00874C77"/>
    <w:rsid w:val="00874D25"/>
    <w:rsid w:val="00874DA9"/>
    <w:rsid w:val="008751A1"/>
    <w:rsid w:val="0087526C"/>
    <w:rsid w:val="00875292"/>
    <w:rsid w:val="008752D4"/>
    <w:rsid w:val="008754AE"/>
    <w:rsid w:val="00875504"/>
    <w:rsid w:val="00875872"/>
    <w:rsid w:val="00875959"/>
    <w:rsid w:val="00875AED"/>
    <w:rsid w:val="00875B1A"/>
    <w:rsid w:val="00875D06"/>
    <w:rsid w:val="00875EBC"/>
    <w:rsid w:val="008761B3"/>
    <w:rsid w:val="008764DD"/>
    <w:rsid w:val="00876854"/>
    <w:rsid w:val="008769A7"/>
    <w:rsid w:val="00876B69"/>
    <w:rsid w:val="00876E8C"/>
    <w:rsid w:val="00876FB3"/>
    <w:rsid w:val="00877019"/>
    <w:rsid w:val="008770CD"/>
    <w:rsid w:val="0087714D"/>
    <w:rsid w:val="008771FA"/>
    <w:rsid w:val="00877409"/>
    <w:rsid w:val="0087753F"/>
    <w:rsid w:val="0087779D"/>
    <w:rsid w:val="00877A0B"/>
    <w:rsid w:val="00877A19"/>
    <w:rsid w:val="00877A99"/>
    <w:rsid w:val="00877B83"/>
    <w:rsid w:val="00877C43"/>
    <w:rsid w:val="00877D34"/>
    <w:rsid w:val="00877E9B"/>
    <w:rsid w:val="00877F52"/>
    <w:rsid w:val="0088001A"/>
    <w:rsid w:val="0088003C"/>
    <w:rsid w:val="00880094"/>
    <w:rsid w:val="00880541"/>
    <w:rsid w:val="00880568"/>
    <w:rsid w:val="0088056E"/>
    <w:rsid w:val="008805E1"/>
    <w:rsid w:val="0088073F"/>
    <w:rsid w:val="00880886"/>
    <w:rsid w:val="0088089F"/>
    <w:rsid w:val="008808FB"/>
    <w:rsid w:val="00880B04"/>
    <w:rsid w:val="00880BF7"/>
    <w:rsid w:val="00880CE6"/>
    <w:rsid w:val="00880CFC"/>
    <w:rsid w:val="00881078"/>
    <w:rsid w:val="008812BA"/>
    <w:rsid w:val="008813A0"/>
    <w:rsid w:val="008813BD"/>
    <w:rsid w:val="008814C3"/>
    <w:rsid w:val="008814EB"/>
    <w:rsid w:val="008815CB"/>
    <w:rsid w:val="00881757"/>
    <w:rsid w:val="008817AE"/>
    <w:rsid w:val="00881821"/>
    <w:rsid w:val="0088197B"/>
    <w:rsid w:val="00881DAF"/>
    <w:rsid w:val="00881DB9"/>
    <w:rsid w:val="00881EA2"/>
    <w:rsid w:val="00881F17"/>
    <w:rsid w:val="00881F6F"/>
    <w:rsid w:val="00881FB9"/>
    <w:rsid w:val="008820B1"/>
    <w:rsid w:val="00882126"/>
    <w:rsid w:val="00882139"/>
    <w:rsid w:val="008822A3"/>
    <w:rsid w:val="008823FB"/>
    <w:rsid w:val="0088265B"/>
    <w:rsid w:val="00882718"/>
    <w:rsid w:val="00882934"/>
    <w:rsid w:val="008829C1"/>
    <w:rsid w:val="00882C53"/>
    <w:rsid w:val="00882C56"/>
    <w:rsid w:val="00882CF6"/>
    <w:rsid w:val="00882D58"/>
    <w:rsid w:val="00882D88"/>
    <w:rsid w:val="00882DC5"/>
    <w:rsid w:val="00882DCD"/>
    <w:rsid w:val="00882F15"/>
    <w:rsid w:val="0088302C"/>
    <w:rsid w:val="008830FB"/>
    <w:rsid w:val="00883281"/>
    <w:rsid w:val="0088338E"/>
    <w:rsid w:val="0088375C"/>
    <w:rsid w:val="00883771"/>
    <w:rsid w:val="00883A3C"/>
    <w:rsid w:val="00883C08"/>
    <w:rsid w:val="00883CCC"/>
    <w:rsid w:val="00883F20"/>
    <w:rsid w:val="00883FEB"/>
    <w:rsid w:val="00884077"/>
    <w:rsid w:val="00884171"/>
    <w:rsid w:val="0088418D"/>
    <w:rsid w:val="00884241"/>
    <w:rsid w:val="00884392"/>
    <w:rsid w:val="00884710"/>
    <w:rsid w:val="00884768"/>
    <w:rsid w:val="0088487B"/>
    <w:rsid w:val="00884AA9"/>
    <w:rsid w:val="00884B59"/>
    <w:rsid w:val="00884B5E"/>
    <w:rsid w:val="00884EC0"/>
    <w:rsid w:val="00884EC6"/>
    <w:rsid w:val="00885206"/>
    <w:rsid w:val="0088528A"/>
    <w:rsid w:val="0088530D"/>
    <w:rsid w:val="00885457"/>
    <w:rsid w:val="00885512"/>
    <w:rsid w:val="008856C8"/>
    <w:rsid w:val="00885765"/>
    <w:rsid w:val="00885766"/>
    <w:rsid w:val="008858CE"/>
    <w:rsid w:val="00885A4A"/>
    <w:rsid w:val="00885BAD"/>
    <w:rsid w:val="00885D50"/>
    <w:rsid w:val="00885DBC"/>
    <w:rsid w:val="00885FC1"/>
    <w:rsid w:val="00886108"/>
    <w:rsid w:val="00886273"/>
    <w:rsid w:val="008862B9"/>
    <w:rsid w:val="0088661F"/>
    <w:rsid w:val="008866C0"/>
    <w:rsid w:val="008867A4"/>
    <w:rsid w:val="008868D7"/>
    <w:rsid w:val="008868EF"/>
    <w:rsid w:val="00886969"/>
    <w:rsid w:val="00886A27"/>
    <w:rsid w:val="00886C2F"/>
    <w:rsid w:val="00886CB3"/>
    <w:rsid w:val="00886D6C"/>
    <w:rsid w:val="00886DC6"/>
    <w:rsid w:val="00886E0B"/>
    <w:rsid w:val="008874BC"/>
    <w:rsid w:val="008875E9"/>
    <w:rsid w:val="008877A2"/>
    <w:rsid w:val="008877CA"/>
    <w:rsid w:val="00887924"/>
    <w:rsid w:val="0088793F"/>
    <w:rsid w:val="00887B73"/>
    <w:rsid w:val="00887B82"/>
    <w:rsid w:val="00887F96"/>
    <w:rsid w:val="008900D8"/>
    <w:rsid w:val="00890473"/>
    <w:rsid w:val="00890567"/>
    <w:rsid w:val="008905D5"/>
    <w:rsid w:val="0089077A"/>
    <w:rsid w:val="008907A3"/>
    <w:rsid w:val="008907EC"/>
    <w:rsid w:val="00890BA6"/>
    <w:rsid w:val="00890F56"/>
    <w:rsid w:val="00890F68"/>
    <w:rsid w:val="00891023"/>
    <w:rsid w:val="008910E9"/>
    <w:rsid w:val="0089116B"/>
    <w:rsid w:val="00891179"/>
    <w:rsid w:val="00891477"/>
    <w:rsid w:val="00891521"/>
    <w:rsid w:val="00891883"/>
    <w:rsid w:val="008918AC"/>
    <w:rsid w:val="00891A2E"/>
    <w:rsid w:val="00891B0A"/>
    <w:rsid w:val="00891B37"/>
    <w:rsid w:val="00891BE2"/>
    <w:rsid w:val="00891C57"/>
    <w:rsid w:val="00891EAC"/>
    <w:rsid w:val="00892121"/>
    <w:rsid w:val="0089222A"/>
    <w:rsid w:val="008926A8"/>
    <w:rsid w:val="008926AA"/>
    <w:rsid w:val="00892847"/>
    <w:rsid w:val="00892A31"/>
    <w:rsid w:val="00892A80"/>
    <w:rsid w:val="00892BF5"/>
    <w:rsid w:val="00892C59"/>
    <w:rsid w:val="00892DA3"/>
    <w:rsid w:val="00892EB5"/>
    <w:rsid w:val="00892EE2"/>
    <w:rsid w:val="0089323B"/>
    <w:rsid w:val="008932D0"/>
    <w:rsid w:val="008935C3"/>
    <w:rsid w:val="00893826"/>
    <w:rsid w:val="00893912"/>
    <w:rsid w:val="00893B51"/>
    <w:rsid w:val="00893BA5"/>
    <w:rsid w:val="00893BA6"/>
    <w:rsid w:val="00893D7F"/>
    <w:rsid w:val="00893D94"/>
    <w:rsid w:val="00893E46"/>
    <w:rsid w:val="00893E76"/>
    <w:rsid w:val="00893EF2"/>
    <w:rsid w:val="00894066"/>
    <w:rsid w:val="0089409F"/>
    <w:rsid w:val="008941D8"/>
    <w:rsid w:val="008941E6"/>
    <w:rsid w:val="00894234"/>
    <w:rsid w:val="0089433F"/>
    <w:rsid w:val="0089442F"/>
    <w:rsid w:val="0089460E"/>
    <w:rsid w:val="00894672"/>
    <w:rsid w:val="008948E8"/>
    <w:rsid w:val="00894988"/>
    <w:rsid w:val="008949B3"/>
    <w:rsid w:val="00894B1F"/>
    <w:rsid w:val="00894B25"/>
    <w:rsid w:val="00894EF2"/>
    <w:rsid w:val="0089502E"/>
    <w:rsid w:val="00895159"/>
    <w:rsid w:val="008951BC"/>
    <w:rsid w:val="0089533B"/>
    <w:rsid w:val="00895513"/>
    <w:rsid w:val="008955E2"/>
    <w:rsid w:val="008956F6"/>
    <w:rsid w:val="008956FA"/>
    <w:rsid w:val="00895883"/>
    <w:rsid w:val="00895AD5"/>
    <w:rsid w:val="00895B5D"/>
    <w:rsid w:val="00895CA1"/>
    <w:rsid w:val="00895DFE"/>
    <w:rsid w:val="00895F0D"/>
    <w:rsid w:val="00895FB4"/>
    <w:rsid w:val="008963E7"/>
    <w:rsid w:val="008964B9"/>
    <w:rsid w:val="008966A5"/>
    <w:rsid w:val="0089693C"/>
    <w:rsid w:val="008969B4"/>
    <w:rsid w:val="00896B17"/>
    <w:rsid w:val="00896B87"/>
    <w:rsid w:val="00896E56"/>
    <w:rsid w:val="00896E99"/>
    <w:rsid w:val="008970E7"/>
    <w:rsid w:val="00897696"/>
    <w:rsid w:val="00897A91"/>
    <w:rsid w:val="00897AD2"/>
    <w:rsid w:val="00897D6E"/>
    <w:rsid w:val="00897FDE"/>
    <w:rsid w:val="008A0047"/>
    <w:rsid w:val="008A04B6"/>
    <w:rsid w:val="008A05EA"/>
    <w:rsid w:val="008A08DB"/>
    <w:rsid w:val="008A0D06"/>
    <w:rsid w:val="008A10B8"/>
    <w:rsid w:val="008A12DF"/>
    <w:rsid w:val="008A12E6"/>
    <w:rsid w:val="008A1323"/>
    <w:rsid w:val="008A1493"/>
    <w:rsid w:val="008A165F"/>
    <w:rsid w:val="008A181D"/>
    <w:rsid w:val="008A1947"/>
    <w:rsid w:val="008A1C9A"/>
    <w:rsid w:val="008A1CBB"/>
    <w:rsid w:val="008A1CD5"/>
    <w:rsid w:val="008A1E04"/>
    <w:rsid w:val="008A1E90"/>
    <w:rsid w:val="008A20BF"/>
    <w:rsid w:val="008A2148"/>
    <w:rsid w:val="008A219C"/>
    <w:rsid w:val="008A21D9"/>
    <w:rsid w:val="008A230C"/>
    <w:rsid w:val="008A24F7"/>
    <w:rsid w:val="008A2950"/>
    <w:rsid w:val="008A295C"/>
    <w:rsid w:val="008A2C0C"/>
    <w:rsid w:val="008A2DD3"/>
    <w:rsid w:val="008A2E55"/>
    <w:rsid w:val="008A34A2"/>
    <w:rsid w:val="008A369C"/>
    <w:rsid w:val="008A3743"/>
    <w:rsid w:val="008A3834"/>
    <w:rsid w:val="008A3A6E"/>
    <w:rsid w:val="008A3BA6"/>
    <w:rsid w:val="008A3BCB"/>
    <w:rsid w:val="008A3C4E"/>
    <w:rsid w:val="008A3C53"/>
    <w:rsid w:val="008A416A"/>
    <w:rsid w:val="008A416C"/>
    <w:rsid w:val="008A42C2"/>
    <w:rsid w:val="008A43E6"/>
    <w:rsid w:val="008A442A"/>
    <w:rsid w:val="008A4477"/>
    <w:rsid w:val="008A48E8"/>
    <w:rsid w:val="008A4943"/>
    <w:rsid w:val="008A4B7F"/>
    <w:rsid w:val="008A4BCC"/>
    <w:rsid w:val="008A4D85"/>
    <w:rsid w:val="008A4EAA"/>
    <w:rsid w:val="008A5092"/>
    <w:rsid w:val="008A51A3"/>
    <w:rsid w:val="008A51F8"/>
    <w:rsid w:val="008A5668"/>
    <w:rsid w:val="008A5819"/>
    <w:rsid w:val="008A5931"/>
    <w:rsid w:val="008A5987"/>
    <w:rsid w:val="008A5A60"/>
    <w:rsid w:val="008A5AEF"/>
    <w:rsid w:val="008A5C42"/>
    <w:rsid w:val="008A5D7A"/>
    <w:rsid w:val="008A5D92"/>
    <w:rsid w:val="008A612E"/>
    <w:rsid w:val="008A619A"/>
    <w:rsid w:val="008A622E"/>
    <w:rsid w:val="008A66EF"/>
    <w:rsid w:val="008A6810"/>
    <w:rsid w:val="008A697E"/>
    <w:rsid w:val="008A6B96"/>
    <w:rsid w:val="008A6C03"/>
    <w:rsid w:val="008A6EEB"/>
    <w:rsid w:val="008A705B"/>
    <w:rsid w:val="008A705D"/>
    <w:rsid w:val="008A739D"/>
    <w:rsid w:val="008A747D"/>
    <w:rsid w:val="008A7952"/>
    <w:rsid w:val="008A79BE"/>
    <w:rsid w:val="008A79F8"/>
    <w:rsid w:val="008A7CFA"/>
    <w:rsid w:val="008A7E34"/>
    <w:rsid w:val="008B008C"/>
    <w:rsid w:val="008B009B"/>
    <w:rsid w:val="008B0187"/>
    <w:rsid w:val="008B03FB"/>
    <w:rsid w:val="008B0491"/>
    <w:rsid w:val="008B0BE4"/>
    <w:rsid w:val="008B0C20"/>
    <w:rsid w:val="008B0D14"/>
    <w:rsid w:val="008B0D64"/>
    <w:rsid w:val="008B0F02"/>
    <w:rsid w:val="008B10FB"/>
    <w:rsid w:val="008B1277"/>
    <w:rsid w:val="008B13EA"/>
    <w:rsid w:val="008B1540"/>
    <w:rsid w:val="008B1582"/>
    <w:rsid w:val="008B15E0"/>
    <w:rsid w:val="008B19EF"/>
    <w:rsid w:val="008B1BB8"/>
    <w:rsid w:val="008B1CDB"/>
    <w:rsid w:val="008B1EDE"/>
    <w:rsid w:val="008B20E9"/>
    <w:rsid w:val="008B2672"/>
    <w:rsid w:val="008B28D9"/>
    <w:rsid w:val="008B3065"/>
    <w:rsid w:val="008B307C"/>
    <w:rsid w:val="008B309F"/>
    <w:rsid w:val="008B30A9"/>
    <w:rsid w:val="008B326B"/>
    <w:rsid w:val="008B33FA"/>
    <w:rsid w:val="008B3486"/>
    <w:rsid w:val="008B349C"/>
    <w:rsid w:val="008B3633"/>
    <w:rsid w:val="008B379D"/>
    <w:rsid w:val="008B37ED"/>
    <w:rsid w:val="008B3806"/>
    <w:rsid w:val="008B3886"/>
    <w:rsid w:val="008B3CBD"/>
    <w:rsid w:val="008B3F09"/>
    <w:rsid w:val="008B3F4E"/>
    <w:rsid w:val="008B3F97"/>
    <w:rsid w:val="008B449D"/>
    <w:rsid w:val="008B45EB"/>
    <w:rsid w:val="008B4862"/>
    <w:rsid w:val="008B4901"/>
    <w:rsid w:val="008B4A32"/>
    <w:rsid w:val="008B4C67"/>
    <w:rsid w:val="008B4EEA"/>
    <w:rsid w:val="008B5128"/>
    <w:rsid w:val="008B525D"/>
    <w:rsid w:val="008B54CE"/>
    <w:rsid w:val="008B5521"/>
    <w:rsid w:val="008B5524"/>
    <w:rsid w:val="008B5595"/>
    <w:rsid w:val="008B57FC"/>
    <w:rsid w:val="008B58B3"/>
    <w:rsid w:val="008B5947"/>
    <w:rsid w:val="008B5B0A"/>
    <w:rsid w:val="008B5D60"/>
    <w:rsid w:val="008B5FEC"/>
    <w:rsid w:val="008B6165"/>
    <w:rsid w:val="008B6198"/>
    <w:rsid w:val="008B6209"/>
    <w:rsid w:val="008B63D8"/>
    <w:rsid w:val="008B6608"/>
    <w:rsid w:val="008B677F"/>
    <w:rsid w:val="008B67D4"/>
    <w:rsid w:val="008B6829"/>
    <w:rsid w:val="008B68C3"/>
    <w:rsid w:val="008B68E9"/>
    <w:rsid w:val="008B690E"/>
    <w:rsid w:val="008B6971"/>
    <w:rsid w:val="008B69C2"/>
    <w:rsid w:val="008B6C86"/>
    <w:rsid w:val="008B6CA7"/>
    <w:rsid w:val="008B7092"/>
    <w:rsid w:val="008B72FD"/>
    <w:rsid w:val="008B73DE"/>
    <w:rsid w:val="008B7427"/>
    <w:rsid w:val="008B781F"/>
    <w:rsid w:val="008B788C"/>
    <w:rsid w:val="008B79E8"/>
    <w:rsid w:val="008B7A5C"/>
    <w:rsid w:val="008B7C83"/>
    <w:rsid w:val="008B7E3A"/>
    <w:rsid w:val="008C0143"/>
    <w:rsid w:val="008C0468"/>
    <w:rsid w:val="008C04A1"/>
    <w:rsid w:val="008C0513"/>
    <w:rsid w:val="008C05A9"/>
    <w:rsid w:val="008C0648"/>
    <w:rsid w:val="008C06B9"/>
    <w:rsid w:val="008C0865"/>
    <w:rsid w:val="008C0C4E"/>
    <w:rsid w:val="008C0DAC"/>
    <w:rsid w:val="008C0DCB"/>
    <w:rsid w:val="008C0DF8"/>
    <w:rsid w:val="008C0E49"/>
    <w:rsid w:val="008C0F2F"/>
    <w:rsid w:val="008C101F"/>
    <w:rsid w:val="008C1089"/>
    <w:rsid w:val="008C11C7"/>
    <w:rsid w:val="008C1258"/>
    <w:rsid w:val="008C13A5"/>
    <w:rsid w:val="008C14CD"/>
    <w:rsid w:val="008C15F6"/>
    <w:rsid w:val="008C1654"/>
    <w:rsid w:val="008C1718"/>
    <w:rsid w:val="008C1974"/>
    <w:rsid w:val="008C1B9C"/>
    <w:rsid w:val="008C1C62"/>
    <w:rsid w:val="008C20D4"/>
    <w:rsid w:val="008C21A7"/>
    <w:rsid w:val="008C220D"/>
    <w:rsid w:val="008C25F0"/>
    <w:rsid w:val="008C2869"/>
    <w:rsid w:val="008C2AA3"/>
    <w:rsid w:val="008C2CA3"/>
    <w:rsid w:val="008C2CC0"/>
    <w:rsid w:val="008C2E17"/>
    <w:rsid w:val="008C2EEB"/>
    <w:rsid w:val="008C3014"/>
    <w:rsid w:val="008C306B"/>
    <w:rsid w:val="008C325C"/>
    <w:rsid w:val="008C33C9"/>
    <w:rsid w:val="008C34AB"/>
    <w:rsid w:val="008C3835"/>
    <w:rsid w:val="008C3A0B"/>
    <w:rsid w:val="008C3A13"/>
    <w:rsid w:val="008C3A45"/>
    <w:rsid w:val="008C3ACE"/>
    <w:rsid w:val="008C3B4E"/>
    <w:rsid w:val="008C3D36"/>
    <w:rsid w:val="008C3E0D"/>
    <w:rsid w:val="008C3F3E"/>
    <w:rsid w:val="008C453A"/>
    <w:rsid w:val="008C457C"/>
    <w:rsid w:val="008C466B"/>
    <w:rsid w:val="008C4959"/>
    <w:rsid w:val="008C4B4D"/>
    <w:rsid w:val="008C4C78"/>
    <w:rsid w:val="008C4CA9"/>
    <w:rsid w:val="008C4E12"/>
    <w:rsid w:val="008C4F05"/>
    <w:rsid w:val="008C5447"/>
    <w:rsid w:val="008C5689"/>
    <w:rsid w:val="008C582F"/>
    <w:rsid w:val="008C5934"/>
    <w:rsid w:val="008C5982"/>
    <w:rsid w:val="008C59E0"/>
    <w:rsid w:val="008C5A3D"/>
    <w:rsid w:val="008C5D3E"/>
    <w:rsid w:val="008C5D66"/>
    <w:rsid w:val="008C5DA8"/>
    <w:rsid w:val="008C60BA"/>
    <w:rsid w:val="008C60D2"/>
    <w:rsid w:val="008C61CD"/>
    <w:rsid w:val="008C61D9"/>
    <w:rsid w:val="008C627E"/>
    <w:rsid w:val="008C6457"/>
    <w:rsid w:val="008C6478"/>
    <w:rsid w:val="008C6B45"/>
    <w:rsid w:val="008C6D8B"/>
    <w:rsid w:val="008C6E84"/>
    <w:rsid w:val="008C7000"/>
    <w:rsid w:val="008C706E"/>
    <w:rsid w:val="008C716C"/>
    <w:rsid w:val="008C71E8"/>
    <w:rsid w:val="008C7287"/>
    <w:rsid w:val="008C7814"/>
    <w:rsid w:val="008C7879"/>
    <w:rsid w:val="008C78F5"/>
    <w:rsid w:val="008C7FE8"/>
    <w:rsid w:val="008D00EA"/>
    <w:rsid w:val="008D04D1"/>
    <w:rsid w:val="008D07A7"/>
    <w:rsid w:val="008D0C8B"/>
    <w:rsid w:val="008D0D89"/>
    <w:rsid w:val="008D0F98"/>
    <w:rsid w:val="008D10CA"/>
    <w:rsid w:val="008D11B8"/>
    <w:rsid w:val="008D139D"/>
    <w:rsid w:val="008D181F"/>
    <w:rsid w:val="008D1866"/>
    <w:rsid w:val="008D19AD"/>
    <w:rsid w:val="008D1B08"/>
    <w:rsid w:val="008D1BB3"/>
    <w:rsid w:val="008D1F2A"/>
    <w:rsid w:val="008D1F2D"/>
    <w:rsid w:val="008D252B"/>
    <w:rsid w:val="008D2A41"/>
    <w:rsid w:val="008D2AB0"/>
    <w:rsid w:val="008D2B51"/>
    <w:rsid w:val="008D2D52"/>
    <w:rsid w:val="008D2D56"/>
    <w:rsid w:val="008D2FB1"/>
    <w:rsid w:val="008D30A1"/>
    <w:rsid w:val="008D30E4"/>
    <w:rsid w:val="008D338B"/>
    <w:rsid w:val="008D3415"/>
    <w:rsid w:val="008D3520"/>
    <w:rsid w:val="008D35D8"/>
    <w:rsid w:val="008D3763"/>
    <w:rsid w:val="008D397A"/>
    <w:rsid w:val="008D3CDE"/>
    <w:rsid w:val="008D3D10"/>
    <w:rsid w:val="008D3D6A"/>
    <w:rsid w:val="008D3F7B"/>
    <w:rsid w:val="008D423C"/>
    <w:rsid w:val="008D425E"/>
    <w:rsid w:val="008D42AD"/>
    <w:rsid w:val="008D4450"/>
    <w:rsid w:val="008D4574"/>
    <w:rsid w:val="008D45D3"/>
    <w:rsid w:val="008D4688"/>
    <w:rsid w:val="008D476A"/>
    <w:rsid w:val="008D47CC"/>
    <w:rsid w:val="008D4894"/>
    <w:rsid w:val="008D4965"/>
    <w:rsid w:val="008D4AB3"/>
    <w:rsid w:val="008D4B7A"/>
    <w:rsid w:val="008D4E91"/>
    <w:rsid w:val="008D4EFF"/>
    <w:rsid w:val="008D4F4A"/>
    <w:rsid w:val="008D5549"/>
    <w:rsid w:val="008D57CB"/>
    <w:rsid w:val="008D57F9"/>
    <w:rsid w:val="008D584D"/>
    <w:rsid w:val="008D58FC"/>
    <w:rsid w:val="008D5982"/>
    <w:rsid w:val="008D59DE"/>
    <w:rsid w:val="008D5AA1"/>
    <w:rsid w:val="008D5C2C"/>
    <w:rsid w:val="008D6096"/>
    <w:rsid w:val="008D61CF"/>
    <w:rsid w:val="008D61F7"/>
    <w:rsid w:val="008D67E3"/>
    <w:rsid w:val="008D6930"/>
    <w:rsid w:val="008D6A8A"/>
    <w:rsid w:val="008D6C7D"/>
    <w:rsid w:val="008D6E3A"/>
    <w:rsid w:val="008D72A2"/>
    <w:rsid w:val="008D7324"/>
    <w:rsid w:val="008D74E7"/>
    <w:rsid w:val="008D7528"/>
    <w:rsid w:val="008D758C"/>
    <w:rsid w:val="008D76BE"/>
    <w:rsid w:val="008D7889"/>
    <w:rsid w:val="008D78FB"/>
    <w:rsid w:val="008D79AE"/>
    <w:rsid w:val="008D79B9"/>
    <w:rsid w:val="008D79DF"/>
    <w:rsid w:val="008D7DE9"/>
    <w:rsid w:val="008D7E12"/>
    <w:rsid w:val="008D7EAB"/>
    <w:rsid w:val="008E0376"/>
    <w:rsid w:val="008E0436"/>
    <w:rsid w:val="008E064D"/>
    <w:rsid w:val="008E08F8"/>
    <w:rsid w:val="008E0958"/>
    <w:rsid w:val="008E09D7"/>
    <w:rsid w:val="008E0B6F"/>
    <w:rsid w:val="008E0CBF"/>
    <w:rsid w:val="008E0D98"/>
    <w:rsid w:val="008E0E74"/>
    <w:rsid w:val="008E0F32"/>
    <w:rsid w:val="008E13F8"/>
    <w:rsid w:val="008E142C"/>
    <w:rsid w:val="008E1461"/>
    <w:rsid w:val="008E187F"/>
    <w:rsid w:val="008E19DC"/>
    <w:rsid w:val="008E1A30"/>
    <w:rsid w:val="008E1BAF"/>
    <w:rsid w:val="008E1C77"/>
    <w:rsid w:val="008E201B"/>
    <w:rsid w:val="008E208C"/>
    <w:rsid w:val="008E21FC"/>
    <w:rsid w:val="008E22DC"/>
    <w:rsid w:val="008E2491"/>
    <w:rsid w:val="008E26B8"/>
    <w:rsid w:val="008E2939"/>
    <w:rsid w:val="008E2D86"/>
    <w:rsid w:val="008E2DB1"/>
    <w:rsid w:val="008E2E18"/>
    <w:rsid w:val="008E31D9"/>
    <w:rsid w:val="008E31FF"/>
    <w:rsid w:val="008E333C"/>
    <w:rsid w:val="008E3356"/>
    <w:rsid w:val="008E33A1"/>
    <w:rsid w:val="008E33B6"/>
    <w:rsid w:val="008E34E0"/>
    <w:rsid w:val="008E3596"/>
    <w:rsid w:val="008E38D1"/>
    <w:rsid w:val="008E391E"/>
    <w:rsid w:val="008E394A"/>
    <w:rsid w:val="008E39CF"/>
    <w:rsid w:val="008E3B0A"/>
    <w:rsid w:val="008E3B6E"/>
    <w:rsid w:val="008E3D17"/>
    <w:rsid w:val="008E3D40"/>
    <w:rsid w:val="008E3F4C"/>
    <w:rsid w:val="008E405B"/>
    <w:rsid w:val="008E40EE"/>
    <w:rsid w:val="008E41E3"/>
    <w:rsid w:val="008E4372"/>
    <w:rsid w:val="008E4481"/>
    <w:rsid w:val="008E4514"/>
    <w:rsid w:val="008E4542"/>
    <w:rsid w:val="008E4607"/>
    <w:rsid w:val="008E4769"/>
    <w:rsid w:val="008E4826"/>
    <w:rsid w:val="008E4903"/>
    <w:rsid w:val="008E4B5A"/>
    <w:rsid w:val="008E4BE6"/>
    <w:rsid w:val="008E4CAA"/>
    <w:rsid w:val="008E5072"/>
    <w:rsid w:val="008E5393"/>
    <w:rsid w:val="008E53B5"/>
    <w:rsid w:val="008E5728"/>
    <w:rsid w:val="008E578B"/>
    <w:rsid w:val="008E59AF"/>
    <w:rsid w:val="008E5AAC"/>
    <w:rsid w:val="008E5B2B"/>
    <w:rsid w:val="008E5FB9"/>
    <w:rsid w:val="008E62A3"/>
    <w:rsid w:val="008E638E"/>
    <w:rsid w:val="008E640C"/>
    <w:rsid w:val="008E6621"/>
    <w:rsid w:val="008E6667"/>
    <w:rsid w:val="008E6748"/>
    <w:rsid w:val="008E6773"/>
    <w:rsid w:val="008E6787"/>
    <w:rsid w:val="008E68A3"/>
    <w:rsid w:val="008E697A"/>
    <w:rsid w:val="008E698F"/>
    <w:rsid w:val="008E6E82"/>
    <w:rsid w:val="008E6F33"/>
    <w:rsid w:val="008E70F0"/>
    <w:rsid w:val="008E720D"/>
    <w:rsid w:val="008E7259"/>
    <w:rsid w:val="008E743C"/>
    <w:rsid w:val="008E777A"/>
    <w:rsid w:val="008E7800"/>
    <w:rsid w:val="008E79B4"/>
    <w:rsid w:val="008E79DC"/>
    <w:rsid w:val="008E79F5"/>
    <w:rsid w:val="008E7A4A"/>
    <w:rsid w:val="008E7B26"/>
    <w:rsid w:val="008E7B36"/>
    <w:rsid w:val="008E7BE0"/>
    <w:rsid w:val="008E7C61"/>
    <w:rsid w:val="008E7CEB"/>
    <w:rsid w:val="008E7DCC"/>
    <w:rsid w:val="008E7DD1"/>
    <w:rsid w:val="008E7FB4"/>
    <w:rsid w:val="008F02B8"/>
    <w:rsid w:val="008F044A"/>
    <w:rsid w:val="008F04A5"/>
    <w:rsid w:val="008F0539"/>
    <w:rsid w:val="008F056F"/>
    <w:rsid w:val="008F0726"/>
    <w:rsid w:val="008F073A"/>
    <w:rsid w:val="008F09E0"/>
    <w:rsid w:val="008F0C57"/>
    <w:rsid w:val="008F0EE8"/>
    <w:rsid w:val="008F10DA"/>
    <w:rsid w:val="008F11F1"/>
    <w:rsid w:val="008F1205"/>
    <w:rsid w:val="008F13F0"/>
    <w:rsid w:val="008F147A"/>
    <w:rsid w:val="008F148F"/>
    <w:rsid w:val="008F14C0"/>
    <w:rsid w:val="008F16FD"/>
    <w:rsid w:val="008F180F"/>
    <w:rsid w:val="008F1A09"/>
    <w:rsid w:val="008F1B8A"/>
    <w:rsid w:val="008F1C0C"/>
    <w:rsid w:val="008F1D05"/>
    <w:rsid w:val="008F204E"/>
    <w:rsid w:val="008F2639"/>
    <w:rsid w:val="008F28AA"/>
    <w:rsid w:val="008F2BB9"/>
    <w:rsid w:val="008F2BF3"/>
    <w:rsid w:val="008F2D3E"/>
    <w:rsid w:val="008F2EF8"/>
    <w:rsid w:val="008F2FDB"/>
    <w:rsid w:val="008F30A0"/>
    <w:rsid w:val="008F30D8"/>
    <w:rsid w:val="008F314B"/>
    <w:rsid w:val="008F326D"/>
    <w:rsid w:val="008F340F"/>
    <w:rsid w:val="008F342A"/>
    <w:rsid w:val="008F3457"/>
    <w:rsid w:val="008F36B4"/>
    <w:rsid w:val="008F3A55"/>
    <w:rsid w:val="008F3BEE"/>
    <w:rsid w:val="008F3E96"/>
    <w:rsid w:val="008F42E5"/>
    <w:rsid w:val="008F463C"/>
    <w:rsid w:val="008F4666"/>
    <w:rsid w:val="008F46F0"/>
    <w:rsid w:val="008F4799"/>
    <w:rsid w:val="008F47B2"/>
    <w:rsid w:val="008F49C4"/>
    <w:rsid w:val="008F4D9F"/>
    <w:rsid w:val="008F4DCD"/>
    <w:rsid w:val="008F4E6D"/>
    <w:rsid w:val="008F4E73"/>
    <w:rsid w:val="008F5067"/>
    <w:rsid w:val="008F51AE"/>
    <w:rsid w:val="008F5247"/>
    <w:rsid w:val="008F5329"/>
    <w:rsid w:val="008F548F"/>
    <w:rsid w:val="008F564B"/>
    <w:rsid w:val="008F5657"/>
    <w:rsid w:val="008F58E3"/>
    <w:rsid w:val="008F59E9"/>
    <w:rsid w:val="008F5A0F"/>
    <w:rsid w:val="008F5C85"/>
    <w:rsid w:val="008F5C9A"/>
    <w:rsid w:val="008F5EE8"/>
    <w:rsid w:val="008F5F8F"/>
    <w:rsid w:val="008F6317"/>
    <w:rsid w:val="008F6B52"/>
    <w:rsid w:val="008F6C30"/>
    <w:rsid w:val="008F6C32"/>
    <w:rsid w:val="008F6C49"/>
    <w:rsid w:val="008F6CB6"/>
    <w:rsid w:val="008F6D45"/>
    <w:rsid w:val="008F6EB2"/>
    <w:rsid w:val="008F7074"/>
    <w:rsid w:val="008F7591"/>
    <w:rsid w:val="008F766E"/>
    <w:rsid w:val="008F76E8"/>
    <w:rsid w:val="008F7835"/>
    <w:rsid w:val="008F7B68"/>
    <w:rsid w:val="008F7BD6"/>
    <w:rsid w:val="008F7F05"/>
    <w:rsid w:val="008F7F59"/>
    <w:rsid w:val="008F7FFB"/>
    <w:rsid w:val="009001FA"/>
    <w:rsid w:val="009003D9"/>
    <w:rsid w:val="009004FB"/>
    <w:rsid w:val="0090060F"/>
    <w:rsid w:val="00900650"/>
    <w:rsid w:val="00900664"/>
    <w:rsid w:val="0090076D"/>
    <w:rsid w:val="00900772"/>
    <w:rsid w:val="00900813"/>
    <w:rsid w:val="00900838"/>
    <w:rsid w:val="00900929"/>
    <w:rsid w:val="00900B28"/>
    <w:rsid w:val="00900E3F"/>
    <w:rsid w:val="00900F84"/>
    <w:rsid w:val="0090128B"/>
    <w:rsid w:val="009015D9"/>
    <w:rsid w:val="00901683"/>
    <w:rsid w:val="0090183C"/>
    <w:rsid w:val="0090185D"/>
    <w:rsid w:val="009019AD"/>
    <w:rsid w:val="00901B36"/>
    <w:rsid w:val="00901B67"/>
    <w:rsid w:val="00901C1E"/>
    <w:rsid w:val="00902080"/>
    <w:rsid w:val="00902486"/>
    <w:rsid w:val="009026E9"/>
    <w:rsid w:val="00902728"/>
    <w:rsid w:val="009029C7"/>
    <w:rsid w:val="00902B48"/>
    <w:rsid w:val="00902BF1"/>
    <w:rsid w:val="00902E7D"/>
    <w:rsid w:val="009031B7"/>
    <w:rsid w:val="009031C4"/>
    <w:rsid w:val="009032D5"/>
    <w:rsid w:val="009033E5"/>
    <w:rsid w:val="009035CC"/>
    <w:rsid w:val="009035F2"/>
    <w:rsid w:val="009036F5"/>
    <w:rsid w:val="009037B9"/>
    <w:rsid w:val="00903A33"/>
    <w:rsid w:val="00903AE9"/>
    <w:rsid w:val="00903AF3"/>
    <w:rsid w:val="00903B01"/>
    <w:rsid w:val="00903B88"/>
    <w:rsid w:val="00903DDD"/>
    <w:rsid w:val="00903EE5"/>
    <w:rsid w:val="00903FBB"/>
    <w:rsid w:val="0090405A"/>
    <w:rsid w:val="00904121"/>
    <w:rsid w:val="009043A3"/>
    <w:rsid w:val="0090444B"/>
    <w:rsid w:val="0090462E"/>
    <w:rsid w:val="00904665"/>
    <w:rsid w:val="009046D7"/>
    <w:rsid w:val="009047F4"/>
    <w:rsid w:val="009049BC"/>
    <w:rsid w:val="009049D8"/>
    <w:rsid w:val="00904A54"/>
    <w:rsid w:val="00904B51"/>
    <w:rsid w:val="00904B76"/>
    <w:rsid w:val="00904BCB"/>
    <w:rsid w:val="00904D85"/>
    <w:rsid w:val="00904E34"/>
    <w:rsid w:val="00904E56"/>
    <w:rsid w:val="00904E5D"/>
    <w:rsid w:val="00904EFC"/>
    <w:rsid w:val="00904F44"/>
    <w:rsid w:val="0090534D"/>
    <w:rsid w:val="0090536E"/>
    <w:rsid w:val="0090552C"/>
    <w:rsid w:val="009059E5"/>
    <w:rsid w:val="00905A93"/>
    <w:rsid w:val="00905AA8"/>
    <w:rsid w:val="00905EA2"/>
    <w:rsid w:val="00905EA4"/>
    <w:rsid w:val="0090605F"/>
    <w:rsid w:val="00906299"/>
    <w:rsid w:val="0090636C"/>
    <w:rsid w:val="009063B4"/>
    <w:rsid w:val="00906522"/>
    <w:rsid w:val="00906651"/>
    <w:rsid w:val="009067F9"/>
    <w:rsid w:val="00906876"/>
    <w:rsid w:val="00906C1C"/>
    <w:rsid w:val="00906EDA"/>
    <w:rsid w:val="0090706E"/>
    <w:rsid w:val="00907086"/>
    <w:rsid w:val="00907287"/>
    <w:rsid w:val="009073AA"/>
    <w:rsid w:val="00907431"/>
    <w:rsid w:val="00907534"/>
    <w:rsid w:val="0090774F"/>
    <w:rsid w:val="0090788D"/>
    <w:rsid w:val="0090795F"/>
    <w:rsid w:val="00907B0F"/>
    <w:rsid w:val="00910010"/>
    <w:rsid w:val="009103A9"/>
    <w:rsid w:val="0091043B"/>
    <w:rsid w:val="00910482"/>
    <w:rsid w:val="0091077A"/>
    <w:rsid w:val="009107CE"/>
    <w:rsid w:val="009108BC"/>
    <w:rsid w:val="00910A91"/>
    <w:rsid w:val="00910D25"/>
    <w:rsid w:val="00911238"/>
    <w:rsid w:val="0091151A"/>
    <w:rsid w:val="00911930"/>
    <w:rsid w:val="00911B7B"/>
    <w:rsid w:val="00911F22"/>
    <w:rsid w:val="0091207A"/>
    <w:rsid w:val="0091236A"/>
    <w:rsid w:val="00912625"/>
    <w:rsid w:val="009127D7"/>
    <w:rsid w:val="009129AB"/>
    <w:rsid w:val="00912B52"/>
    <w:rsid w:val="00912BBE"/>
    <w:rsid w:val="00913195"/>
    <w:rsid w:val="00913268"/>
    <w:rsid w:val="00913281"/>
    <w:rsid w:val="00913392"/>
    <w:rsid w:val="009133F7"/>
    <w:rsid w:val="00913567"/>
    <w:rsid w:val="009135CC"/>
    <w:rsid w:val="00913602"/>
    <w:rsid w:val="0091392F"/>
    <w:rsid w:val="00913950"/>
    <w:rsid w:val="00913AA5"/>
    <w:rsid w:val="00913BC3"/>
    <w:rsid w:val="00914019"/>
    <w:rsid w:val="009140A9"/>
    <w:rsid w:val="009146E1"/>
    <w:rsid w:val="00914819"/>
    <w:rsid w:val="0091488D"/>
    <w:rsid w:val="0091495B"/>
    <w:rsid w:val="00914A80"/>
    <w:rsid w:val="00914A82"/>
    <w:rsid w:val="00914AFB"/>
    <w:rsid w:val="00914BB3"/>
    <w:rsid w:val="00914BF2"/>
    <w:rsid w:val="009150E1"/>
    <w:rsid w:val="00915209"/>
    <w:rsid w:val="00915375"/>
    <w:rsid w:val="00915492"/>
    <w:rsid w:val="00915498"/>
    <w:rsid w:val="009155F7"/>
    <w:rsid w:val="009156A3"/>
    <w:rsid w:val="00915740"/>
    <w:rsid w:val="00915B1C"/>
    <w:rsid w:val="00915BCA"/>
    <w:rsid w:val="00915BCC"/>
    <w:rsid w:val="00915D25"/>
    <w:rsid w:val="00915DD7"/>
    <w:rsid w:val="00915EB9"/>
    <w:rsid w:val="00916256"/>
    <w:rsid w:val="00916433"/>
    <w:rsid w:val="009166D0"/>
    <w:rsid w:val="009167A7"/>
    <w:rsid w:val="00916929"/>
    <w:rsid w:val="009169FE"/>
    <w:rsid w:val="00916A4D"/>
    <w:rsid w:val="00916B55"/>
    <w:rsid w:val="00916B7A"/>
    <w:rsid w:val="00916C2E"/>
    <w:rsid w:val="00916CCE"/>
    <w:rsid w:val="00916F09"/>
    <w:rsid w:val="00917248"/>
    <w:rsid w:val="009172D1"/>
    <w:rsid w:val="00917409"/>
    <w:rsid w:val="00917593"/>
    <w:rsid w:val="00917753"/>
    <w:rsid w:val="00917771"/>
    <w:rsid w:val="00917BA3"/>
    <w:rsid w:val="00917BBB"/>
    <w:rsid w:val="00917D84"/>
    <w:rsid w:val="00917ED2"/>
    <w:rsid w:val="009202AD"/>
    <w:rsid w:val="00920364"/>
    <w:rsid w:val="009203C1"/>
    <w:rsid w:val="009204A2"/>
    <w:rsid w:val="009204B5"/>
    <w:rsid w:val="009207CD"/>
    <w:rsid w:val="00920A39"/>
    <w:rsid w:val="00920CC4"/>
    <w:rsid w:val="00920CFC"/>
    <w:rsid w:val="00920E60"/>
    <w:rsid w:val="00920F59"/>
    <w:rsid w:val="00920F5F"/>
    <w:rsid w:val="0092114A"/>
    <w:rsid w:val="009211FB"/>
    <w:rsid w:val="00921835"/>
    <w:rsid w:val="00921986"/>
    <w:rsid w:val="00921988"/>
    <w:rsid w:val="00921D3B"/>
    <w:rsid w:val="00921EA6"/>
    <w:rsid w:val="00922047"/>
    <w:rsid w:val="009222BD"/>
    <w:rsid w:val="009222CF"/>
    <w:rsid w:val="009224FA"/>
    <w:rsid w:val="009225F1"/>
    <w:rsid w:val="009226BD"/>
    <w:rsid w:val="0092273C"/>
    <w:rsid w:val="009228EE"/>
    <w:rsid w:val="009229D1"/>
    <w:rsid w:val="00922A7D"/>
    <w:rsid w:val="00922A81"/>
    <w:rsid w:val="00922B25"/>
    <w:rsid w:val="00922B90"/>
    <w:rsid w:val="00922CE0"/>
    <w:rsid w:val="00922DDA"/>
    <w:rsid w:val="00922E7A"/>
    <w:rsid w:val="00922E8B"/>
    <w:rsid w:val="00923044"/>
    <w:rsid w:val="009230DE"/>
    <w:rsid w:val="009230E2"/>
    <w:rsid w:val="0092321B"/>
    <w:rsid w:val="0092324C"/>
    <w:rsid w:val="00923576"/>
    <w:rsid w:val="0092381B"/>
    <w:rsid w:val="009239EF"/>
    <w:rsid w:val="00923AFE"/>
    <w:rsid w:val="00923CF7"/>
    <w:rsid w:val="00923D00"/>
    <w:rsid w:val="00923DDF"/>
    <w:rsid w:val="00923E09"/>
    <w:rsid w:val="009241DB"/>
    <w:rsid w:val="0092434F"/>
    <w:rsid w:val="0092446E"/>
    <w:rsid w:val="009245E8"/>
    <w:rsid w:val="00924726"/>
    <w:rsid w:val="00924891"/>
    <w:rsid w:val="009248C3"/>
    <w:rsid w:val="009257C2"/>
    <w:rsid w:val="00925A27"/>
    <w:rsid w:val="00925EAA"/>
    <w:rsid w:val="00925EF0"/>
    <w:rsid w:val="00925F80"/>
    <w:rsid w:val="00926056"/>
    <w:rsid w:val="009260DD"/>
    <w:rsid w:val="0092626E"/>
    <w:rsid w:val="0092678A"/>
    <w:rsid w:val="009267A2"/>
    <w:rsid w:val="00926880"/>
    <w:rsid w:val="00926A5B"/>
    <w:rsid w:val="00926D01"/>
    <w:rsid w:val="00926DE3"/>
    <w:rsid w:val="00926DF9"/>
    <w:rsid w:val="00927027"/>
    <w:rsid w:val="009273A6"/>
    <w:rsid w:val="009274CF"/>
    <w:rsid w:val="009274FB"/>
    <w:rsid w:val="00927606"/>
    <w:rsid w:val="009277F8"/>
    <w:rsid w:val="00927D57"/>
    <w:rsid w:val="00927E07"/>
    <w:rsid w:val="00927EE1"/>
    <w:rsid w:val="00930052"/>
    <w:rsid w:val="00930288"/>
    <w:rsid w:val="009302EE"/>
    <w:rsid w:val="0093043F"/>
    <w:rsid w:val="00930510"/>
    <w:rsid w:val="009306C2"/>
    <w:rsid w:val="009306E8"/>
    <w:rsid w:val="00930C1D"/>
    <w:rsid w:val="00930D64"/>
    <w:rsid w:val="00930E47"/>
    <w:rsid w:val="00930EEB"/>
    <w:rsid w:val="00930F01"/>
    <w:rsid w:val="00930F93"/>
    <w:rsid w:val="00930F97"/>
    <w:rsid w:val="0093104E"/>
    <w:rsid w:val="0093105B"/>
    <w:rsid w:val="009310F2"/>
    <w:rsid w:val="009313F3"/>
    <w:rsid w:val="00931488"/>
    <w:rsid w:val="00931490"/>
    <w:rsid w:val="00931501"/>
    <w:rsid w:val="0093151C"/>
    <w:rsid w:val="009317F9"/>
    <w:rsid w:val="00931B6C"/>
    <w:rsid w:val="00931E0F"/>
    <w:rsid w:val="00931FEB"/>
    <w:rsid w:val="0093211E"/>
    <w:rsid w:val="009321AF"/>
    <w:rsid w:val="009322BE"/>
    <w:rsid w:val="0093235B"/>
    <w:rsid w:val="00932608"/>
    <w:rsid w:val="00932702"/>
    <w:rsid w:val="009329BA"/>
    <w:rsid w:val="009329D8"/>
    <w:rsid w:val="00932BA4"/>
    <w:rsid w:val="00932C11"/>
    <w:rsid w:val="00932C19"/>
    <w:rsid w:val="00932CA4"/>
    <w:rsid w:val="00932D5A"/>
    <w:rsid w:val="009330A8"/>
    <w:rsid w:val="009330E8"/>
    <w:rsid w:val="00933549"/>
    <w:rsid w:val="00933556"/>
    <w:rsid w:val="009335DD"/>
    <w:rsid w:val="00933CB0"/>
    <w:rsid w:val="00934063"/>
    <w:rsid w:val="0093426F"/>
    <w:rsid w:val="00934291"/>
    <w:rsid w:val="009342B1"/>
    <w:rsid w:val="0093432B"/>
    <w:rsid w:val="00934384"/>
    <w:rsid w:val="00934508"/>
    <w:rsid w:val="00934545"/>
    <w:rsid w:val="009347E8"/>
    <w:rsid w:val="0093480D"/>
    <w:rsid w:val="00934867"/>
    <w:rsid w:val="009348F3"/>
    <w:rsid w:val="00934D34"/>
    <w:rsid w:val="009351F6"/>
    <w:rsid w:val="009352B7"/>
    <w:rsid w:val="00935389"/>
    <w:rsid w:val="009354BC"/>
    <w:rsid w:val="00935965"/>
    <w:rsid w:val="00935C33"/>
    <w:rsid w:val="00936176"/>
    <w:rsid w:val="009364D3"/>
    <w:rsid w:val="0093650D"/>
    <w:rsid w:val="00936971"/>
    <w:rsid w:val="00936AC6"/>
    <w:rsid w:val="00936B79"/>
    <w:rsid w:val="00936C03"/>
    <w:rsid w:val="00936DA6"/>
    <w:rsid w:val="009370E5"/>
    <w:rsid w:val="00937138"/>
    <w:rsid w:val="0093719A"/>
    <w:rsid w:val="009372A4"/>
    <w:rsid w:val="00937349"/>
    <w:rsid w:val="0093742F"/>
    <w:rsid w:val="00937445"/>
    <w:rsid w:val="00937571"/>
    <w:rsid w:val="0093783D"/>
    <w:rsid w:val="00937D5F"/>
    <w:rsid w:val="00937F63"/>
    <w:rsid w:val="0094022A"/>
    <w:rsid w:val="00940462"/>
    <w:rsid w:val="00940502"/>
    <w:rsid w:val="009406FA"/>
    <w:rsid w:val="009409A0"/>
    <w:rsid w:val="00940A01"/>
    <w:rsid w:val="00940A1F"/>
    <w:rsid w:val="00940B45"/>
    <w:rsid w:val="00940DA6"/>
    <w:rsid w:val="00940E7E"/>
    <w:rsid w:val="00940FC0"/>
    <w:rsid w:val="0094112C"/>
    <w:rsid w:val="00941216"/>
    <w:rsid w:val="00941244"/>
    <w:rsid w:val="009413E1"/>
    <w:rsid w:val="00941418"/>
    <w:rsid w:val="00941441"/>
    <w:rsid w:val="009414BB"/>
    <w:rsid w:val="009417D8"/>
    <w:rsid w:val="009418EC"/>
    <w:rsid w:val="00941940"/>
    <w:rsid w:val="00941956"/>
    <w:rsid w:val="00941D83"/>
    <w:rsid w:val="00941E6B"/>
    <w:rsid w:val="00941FB2"/>
    <w:rsid w:val="0094201E"/>
    <w:rsid w:val="00942052"/>
    <w:rsid w:val="00942124"/>
    <w:rsid w:val="009421EC"/>
    <w:rsid w:val="009422D5"/>
    <w:rsid w:val="0094235B"/>
    <w:rsid w:val="009424ED"/>
    <w:rsid w:val="009428BC"/>
    <w:rsid w:val="009429BC"/>
    <w:rsid w:val="00942AC4"/>
    <w:rsid w:val="00942AE8"/>
    <w:rsid w:val="00942C2B"/>
    <w:rsid w:val="0094305C"/>
    <w:rsid w:val="00943128"/>
    <w:rsid w:val="00943147"/>
    <w:rsid w:val="009432D2"/>
    <w:rsid w:val="0094332E"/>
    <w:rsid w:val="00943423"/>
    <w:rsid w:val="00943442"/>
    <w:rsid w:val="009434FD"/>
    <w:rsid w:val="00943602"/>
    <w:rsid w:val="00943865"/>
    <w:rsid w:val="009439CF"/>
    <w:rsid w:val="00943D71"/>
    <w:rsid w:val="00943E35"/>
    <w:rsid w:val="00943E44"/>
    <w:rsid w:val="00943F20"/>
    <w:rsid w:val="009440BE"/>
    <w:rsid w:val="009441F0"/>
    <w:rsid w:val="00944400"/>
    <w:rsid w:val="009444C6"/>
    <w:rsid w:val="00944544"/>
    <w:rsid w:val="00944585"/>
    <w:rsid w:val="00944B13"/>
    <w:rsid w:val="00944BFB"/>
    <w:rsid w:val="00944CDB"/>
    <w:rsid w:val="00944DC6"/>
    <w:rsid w:val="00944FA5"/>
    <w:rsid w:val="009452F4"/>
    <w:rsid w:val="009454FA"/>
    <w:rsid w:val="00945515"/>
    <w:rsid w:val="00945521"/>
    <w:rsid w:val="009456E9"/>
    <w:rsid w:val="009456F9"/>
    <w:rsid w:val="00945BCF"/>
    <w:rsid w:val="00945C2F"/>
    <w:rsid w:val="00945D98"/>
    <w:rsid w:val="00945E1C"/>
    <w:rsid w:val="0094614B"/>
    <w:rsid w:val="009461A6"/>
    <w:rsid w:val="00946421"/>
    <w:rsid w:val="00946586"/>
    <w:rsid w:val="00946777"/>
    <w:rsid w:val="0094688B"/>
    <w:rsid w:val="00946A21"/>
    <w:rsid w:val="00946AF3"/>
    <w:rsid w:val="00946B83"/>
    <w:rsid w:val="00946CEB"/>
    <w:rsid w:val="00946D16"/>
    <w:rsid w:val="00946F74"/>
    <w:rsid w:val="00946F86"/>
    <w:rsid w:val="009470DA"/>
    <w:rsid w:val="009470EA"/>
    <w:rsid w:val="0094726D"/>
    <w:rsid w:val="0094730E"/>
    <w:rsid w:val="00947346"/>
    <w:rsid w:val="00947386"/>
    <w:rsid w:val="009473AD"/>
    <w:rsid w:val="009473BC"/>
    <w:rsid w:val="009478A4"/>
    <w:rsid w:val="00947A0D"/>
    <w:rsid w:val="00947A1A"/>
    <w:rsid w:val="00947B77"/>
    <w:rsid w:val="00947C25"/>
    <w:rsid w:val="00947D24"/>
    <w:rsid w:val="00947ED1"/>
    <w:rsid w:val="009501E7"/>
    <w:rsid w:val="0095022D"/>
    <w:rsid w:val="0095027D"/>
    <w:rsid w:val="009502CA"/>
    <w:rsid w:val="009502E8"/>
    <w:rsid w:val="009503F3"/>
    <w:rsid w:val="0095081E"/>
    <w:rsid w:val="0095097A"/>
    <w:rsid w:val="009509B1"/>
    <w:rsid w:val="009509CC"/>
    <w:rsid w:val="00950A46"/>
    <w:rsid w:val="00950AE4"/>
    <w:rsid w:val="00950D0A"/>
    <w:rsid w:val="00951002"/>
    <w:rsid w:val="009511EE"/>
    <w:rsid w:val="00951630"/>
    <w:rsid w:val="00951631"/>
    <w:rsid w:val="00951766"/>
    <w:rsid w:val="0095178D"/>
    <w:rsid w:val="009518A1"/>
    <w:rsid w:val="00951C13"/>
    <w:rsid w:val="00951D32"/>
    <w:rsid w:val="00951DC2"/>
    <w:rsid w:val="00951DF5"/>
    <w:rsid w:val="00952067"/>
    <w:rsid w:val="00952160"/>
    <w:rsid w:val="00952298"/>
    <w:rsid w:val="00952386"/>
    <w:rsid w:val="0095238C"/>
    <w:rsid w:val="009524A5"/>
    <w:rsid w:val="00952506"/>
    <w:rsid w:val="0095255A"/>
    <w:rsid w:val="00952612"/>
    <w:rsid w:val="0095262E"/>
    <w:rsid w:val="0095280A"/>
    <w:rsid w:val="00952821"/>
    <w:rsid w:val="00952C66"/>
    <w:rsid w:val="00952C7C"/>
    <w:rsid w:val="00952C86"/>
    <w:rsid w:val="00952EAA"/>
    <w:rsid w:val="00952F71"/>
    <w:rsid w:val="0095306B"/>
    <w:rsid w:val="009530BD"/>
    <w:rsid w:val="009534D2"/>
    <w:rsid w:val="009538DA"/>
    <w:rsid w:val="00953C40"/>
    <w:rsid w:val="009541B0"/>
    <w:rsid w:val="009543A1"/>
    <w:rsid w:val="00954412"/>
    <w:rsid w:val="00954883"/>
    <w:rsid w:val="00954D9A"/>
    <w:rsid w:val="00954E6A"/>
    <w:rsid w:val="0095512F"/>
    <w:rsid w:val="00955147"/>
    <w:rsid w:val="009554E1"/>
    <w:rsid w:val="009556A3"/>
    <w:rsid w:val="009556CA"/>
    <w:rsid w:val="00955C11"/>
    <w:rsid w:val="00955E7C"/>
    <w:rsid w:val="00955EAB"/>
    <w:rsid w:val="00955F32"/>
    <w:rsid w:val="00956184"/>
    <w:rsid w:val="009563FD"/>
    <w:rsid w:val="00956473"/>
    <w:rsid w:val="009565B9"/>
    <w:rsid w:val="009566C2"/>
    <w:rsid w:val="0095674D"/>
    <w:rsid w:val="00956970"/>
    <w:rsid w:val="009569DE"/>
    <w:rsid w:val="00956D98"/>
    <w:rsid w:val="009570D0"/>
    <w:rsid w:val="009571FF"/>
    <w:rsid w:val="00957211"/>
    <w:rsid w:val="0095724E"/>
    <w:rsid w:val="00957315"/>
    <w:rsid w:val="00957415"/>
    <w:rsid w:val="009574FB"/>
    <w:rsid w:val="00957618"/>
    <w:rsid w:val="00957720"/>
    <w:rsid w:val="009578F3"/>
    <w:rsid w:val="00957922"/>
    <w:rsid w:val="009579DC"/>
    <w:rsid w:val="00957A30"/>
    <w:rsid w:val="00957C2A"/>
    <w:rsid w:val="00957C92"/>
    <w:rsid w:val="00957D6E"/>
    <w:rsid w:val="00957DE3"/>
    <w:rsid w:val="00957EEF"/>
    <w:rsid w:val="009600A2"/>
    <w:rsid w:val="009601FE"/>
    <w:rsid w:val="0096026E"/>
    <w:rsid w:val="009602A5"/>
    <w:rsid w:val="00960350"/>
    <w:rsid w:val="00960641"/>
    <w:rsid w:val="009609ED"/>
    <w:rsid w:val="00960DDE"/>
    <w:rsid w:val="00960F41"/>
    <w:rsid w:val="00960FE9"/>
    <w:rsid w:val="009610B2"/>
    <w:rsid w:val="009611CB"/>
    <w:rsid w:val="009611FA"/>
    <w:rsid w:val="00961349"/>
    <w:rsid w:val="009615A9"/>
    <w:rsid w:val="00961667"/>
    <w:rsid w:val="00961796"/>
    <w:rsid w:val="009617FC"/>
    <w:rsid w:val="009618C7"/>
    <w:rsid w:val="00961932"/>
    <w:rsid w:val="009619B4"/>
    <w:rsid w:val="009619BE"/>
    <w:rsid w:val="00961BBB"/>
    <w:rsid w:val="00961CF0"/>
    <w:rsid w:val="00961D28"/>
    <w:rsid w:val="00961EDB"/>
    <w:rsid w:val="00961F97"/>
    <w:rsid w:val="009620EC"/>
    <w:rsid w:val="00962660"/>
    <w:rsid w:val="009628C8"/>
    <w:rsid w:val="009628EF"/>
    <w:rsid w:val="00962976"/>
    <w:rsid w:val="00962DE9"/>
    <w:rsid w:val="00962ED1"/>
    <w:rsid w:val="00963061"/>
    <w:rsid w:val="0096338B"/>
    <w:rsid w:val="0096374D"/>
    <w:rsid w:val="00963874"/>
    <w:rsid w:val="009638F8"/>
    <w:rsid w:val="00963A48"/>
    <w:rsid w:val="009641D7"/>
    <w:rsid w:val="00964451"/>
    <w:rsid w:val="00964524"/>
    <w:rsid w:val="00964664"/>
    <w:rsid w:val="00964738"/>
    <w:rsid w:val="00964A48"/>
    <w:rsid w:val="00964CB6"/>
    <w:rsid w:val="00964F47"/>
    <w:rsid w:val="00964F90"/>
    <w:rsid w:val="00965137"/>
    <w:rsid w:val="009653AC"/>
    <w:rsid w:val="009653C7"/>
    <w:rsid w:val="00965456"/>
    <w:rsid w:val="009654B5"/>
    <w:rsid w:val="00965B4B"/>
    <w:rsid w:val="00965CF9"/>
    <w:rsid w:val="009660BC"/>
    <w:rsid w:val="00966121"/>
    <w:rsid w:val="0096637B"/>
    <w:rsid w:val="009663C3"/>
    <w:rsid w:val="00966713"/>
    <w:rsid w:val="00966772"/>
    <w:rsid w:val="00966AC1"/>
    <w:rsid w:val="00966C8B"/>
    <w:rsid w:val="0096717F"/>
    <w:rsid w:val="00967367"/>
    <w:rsid w:val="00967495"/>
    <w:rsid w:val="009675C1"/>
    <w:rsid w:val="009676A2"/>
    <w:rsid w:val="00967B08"/>
    <w:rsid w:val="00967C09"/>
    <w:rsid w:val="00967D39"/>
    <w:rsid w:val="00967F6D"/>
    <w:rsid w:val="00967FBC"/>
    <w:rsid w:val="009706E4"/>
    <w:rsid w:val="009706E6"/>
    <w:rsid w:val="00970720"/>
    <w:rsid w:val="0097077E"/>
    <w:rsid w:val="0097089D"/>
    <w:rsid w:val="00970B22"/>
    <w:rsid w:val="00970C12"/>
    <w:rsid w:val="00970D14"/>
    <w:rsid w:val="00970D97"/>
    <w:rsid w:val="00970EA7"/>
    <w:rsid w:val="00970F0A"/>
    <w:rsid w:val="00970F8A"/>
    <w:rsid w:val="0097107B"/>
    <w:rsid w:val="0097120F"/>
    <w:rsid w:val="0097134F"/>
    <w:rsid w:val="00971539"/>
    <w:rsid w:val="0097155D"/>
    <w:rsid w:val="009715D7"/>
    <w:rsid w:val="0097170F"/>
    <w:rsid w:val="00971A3D"/>
    <w:rsid w:val="00971B48"/>
    <w:rsid w:val="00971B50"/>
    <w:rsid w:val="00971B9A"/>
    <w:rsid w:val="00972120"/>
    <w:rsid w:val="0097229D"/>
    <w:rsid w:val="00972428"/>
    <w:rsid w:val="00972463"/>
    <w:rsid w:val="0097250B"/>
    <w:rsid w:val="009725E0"/>
    <w:rsid w:val="0097265A"/>
    <w:rsid w:val="009727BD"/>
    <w:rsid w:val="00972F59"/>
    <w:rsid w:val="009731B1"/>
    <w:rsid w:val="00973321"/>
    <w:rsid w:val="009736A4"/>
    <w:rsid w:val="00973705"/>
    <w:rsid w:val="00973771"/>
    <w:rsid w:val="00973AA0"/>
    <w:rsid w:val="00973C50"/>
    <w:rsid w:val="00973CC0"/>
    <w:rsid w:val="00973D83"/>
    <w:rsid w:val="00973E4E"/>
    <w:rsid w:val="00973FD8"/>
    <w:rsid w:val="00973FF4"/>
    <w:rsid w:val="00974150"/>
    <w:rsid w:val="00974291"/>
    <w:rsid w:val="009745E4"/>
    <w:rsid w:val="00974622"/>
    <w:rsid w:val="00974840"/>
    <w:rsid w:val="009748E8"/>
    <w:rsid w:val="00974947"/>
    <w:rsid w:val="00974AE9"/>
    <w:rsid w:val="00974BA4"/>
    <w:rsid w:val="00974C16"/>
    <w:rsid w:val="00974CD5"/>
    <w:rsid w:val="0097507F"/>
    <w:rsid w:val="009751C6"/>
    <w:rsid w:val="0097522A"/>
    <w:rsid w:val="00975235"/>
    <w:rsid w:val="00975250"/>
    <w:rsid w:val="00975295"/>
    <w:rsid w:val="009754CE"/>
    <w:rsid w:val="0097565D"/>
    <w:rsid w:val="009759E5"/>
    <w:rsid w:val="00975AF0"/>
    <w:rsid w:val="00975B17"/>
    <w:rsid w:val="00975DFD"/>
    <w:rsid w:val="00975E7D"/>
    <w:rsid w:val="00975E84"/>
    <w:rsid w:val="00975EE1"/>
    <w:rsid w:val="00975F0E"/>
    <w:rsid w:val="009760C3"/>
    <w:rsid w:val="009765C0"/>
    <w:rsid w:val="009765F6"/>
    <w:rsid w:val="0097670B"/>
    <w:rsid w:val="00976729"/>
    <w:rsid w:val="0097677C"/>
    <w:rsid w:val="0097677E"/>
    <w:rsid w:val="009769A4"/>
    <w:rsid w:val="009769E9"/>
    <w:rsid w:val="00976A1F"/>
    <w:rsid w:val="00976B65"/>
    <w:rsid w:val="00976BC4"/>
    <w:rsid w:val="00976DB1"/>
    <w:rsid w:val="00976E64"/>
    <w:rsid w:val="00976EA8"/>
    <w:rsid w:val="00977090"/>
    <w:rsid w:val="0097736C"/>
    <w:rsid w:val="009773AD"/>
    <w:rsid w:val="009773DB"/>
    <w:rsid w:val="00977439"/>
    <w:rsid w:val="00977501"/>
    <w:rsid w:val="0097769A"/>
    <w:rsid w:val="00977706"/>
    <w:rsid w:val="009778B6"/>
    <w:rsid w:val="00977996"/>
    <w:rsid w:val="0097799B"/>
    <w:rsid w:val="00977A4B"/>
    <w:rsid w:val="00977C3C"/>
    <w:rsid w:val="00977FC5"/>
    <w:rsid w:val="0098040E"/>
    <w:rsid w:val="009804F8"/>
    <w:rsid w:val="00980565"/>
    <w:rsid w:val="009806B9"/>
    <w:rsid w:val="00980717"/>
    <w:rsid w:val="009809C3"/>
    <w:rsid w:val="00980B3D"/>
    <w:rsid w:val="00980E1E"/>
    <w:rsid w:val="00980EF4"/>
    <w:rsid w:val="00980FFA"/>
    <w:rsid w:val="009813A3"/>
    <w:rsid w:val="00981402"/>
    <w:rsid w:val="00981430"/>
    <w:rsid w:val="00981484"/>
    <w:rsid w:val="009817BC"/>
    <w:rsid w:val="009819F0"/>
    <w:rsid w:val="00981CEF"/>
    <w:rsid w:val="00982164"/>
    <w:rsid w:val="009822FC"/>
    <w:rsid w:val="00982303"/>
    <w:rsid w:val="00982349"/>
    <w:rsid w:val="009824E9"/>
    <w:rsid w:val="00982578"/>
    <w:rsid w:val="009825A1"/>
    <w:rsid w:val="009825EE"/>
    <w:rsid w:val="00982723"/>
    <w:rsid w:val="00982A02"/>
    <w:rsid w:val="00982A4C"/>
    <w:rsid w:val="00982CC6"/>
    <w:rsid w:val="00982EF8"/>
    <w:rsid w:val="009830E6"/>
    <w:rsid w:val="00983623"/>
    <w:rsid w:val="00983624"/>
    <w:rsid w:val="00983775"/>
    <w:rsid w:val="00983937"/>
    <w:rsid w:val="00983955"/>
    <w:rsid w:val="009839AD"/>
    <w:rsid w:val="009839E2"/>
    <w:rsid w:val="00983A1D"/>
    <w:rsid w:val="00983AF2"/>
    <w:rsid w:val="00983C27"/>
    <w:rsid w:val="00983C68"/>
    <w:rsid w:val="00983D18"/>
    <w:rsid w:val="00983E02"/>
    <w:rsid w:val="00983E09"/>
    <w:rsid w:val="00983E12"/>
    <w:rsid w:val="00984074"/>
    <w:rsid w:val="00984302"/>
    <w:rsid w:val="009848DD"/>
    <w:rsid w:val="009848FE"/>
    <w:rsid w:val="0098498E"/>
    <w:rsid w:val="00984D80"/>
    <w:rsid w:val="00985252"/>
    <w:rsid w:val="00985442"/>
    <w:rsid w:val="009855EF"/>
    <w:rsid w:val="009856B2"/>
    <w:rsid w:val="00985735"/>
    <w:rsid w:val="009858A6"/>
    <w:rsid w:val="00985907"/>
    <w:rsid w:val="00985998"/>
    <w:rsid w:val="00985A37"/>
    <w:rsid w:val="00985A96"/>
    <w:rsid w:val="00985B3F"/>
    <w:rsid w:val="00985B64"/>
    <w:rsid w:val="00985DC0"/>
    <w:rsid w:val="00985EE8"/>
    <w:rsid w:val="00985EEF"/>
    <w:rsid w:val="00986509"/>
    <w:rsid w:val="00986659"/>
    <w:rsid w:val="00986870"/>
    <w:rsid w:val="00986C21"/>
    <w:rsid w:val="00987368"/>
    <w:rsid w:val="00987527"/>
    <w:rsid w:val="0098780B"/>
    <w:rsid w:val="0098785C"/>
    <w:rsid w:val="009879E7"/>
    <w:rsid w:val="00987A1B"/>
    <w:rsid w:val="00987D30"/>
    <w:rsid w:val="00987E18"/>
    <w:rsid w:val="00987EC9"/>
    <w:rsid w:val="00987F01"/>
    <w:rsid w:val="00987F54"/>
    <w:rsid w:val="009902FB"/>
    <w:rsid w:val="00990398"/>
    <w:rsid w:val="00990644"/>
    <w:rsid w:val="009906FE"/>
    <w:rsid w:val="0099070A"/>
    <w:rsid w:val="00990884"/>
    <w:rsid w:val="0099093E"/>
    <w:rsid w:val="009909E3"/>
    <w:rsid w:val="00990C22"/>
    <w:rsid w:val="00990C3A"/>
    <w:rsid w:val="00990E45"/>
    <w:rsid w:val="00990F32"/>
    <w:rsid w:val="00990FDE"/>
    <w:rsid w:val="009912D3"/>
    <w:rsid w:val="00991378"/>
    <w:rsid w:val="00991390"/>
    <w:rsid w:val="009914FA"/>
    <w:rsid w:val="00991C20"/>
    <w:rsid w:val="00991E11"/>
    <w:rsid w:val="00991F42"/>
    <w:rsid w:val="00992146"/>
    <w:rsid w:val="00992210"/>
    <w:rsid w:val="009923E2"/>
    <w:rsid w:val="0099245F"/>
    <w:rsid w:val="00992521"/>
    <w:rsid w:val="0099255D"/>
    <w:rsid w:val="0099285D"/>
    <w:rsid w:val="00992C2C"/>
    <w:rsid w:val="00992DE4"/>
    <w:rsid w:val="00992EE0"/>
    <w:rsid w:val="00993086"/>
    <w:rsid w:val="009930E3"/>
    <w:rsid w:val="0099330D"/>
    <w:rsid w:val="00993BC3"/>
    <w:rsid w:val="00993F28"/>
    <w:rsid w:val="00994011"/>
    <w:rsid w:val="0099433B"/>
    <w:rsid w:val="009945D0"/>
    <w:rsid w:val="00994728"/>
    <w:rsid w:val="0099484C"/>
    <w:rsid w:val="009948C1"/>
    <w:rsid w:val="00994A54"/>
    <w:rsid w:val="00994A9D"/>
    <w:rsid w:val="00994D8C"/>
    <w:rsid w:val="0099504A"/>
    <w:rsid w:val="0099508B"/>
    <w:rsid w:val="009950E0"/>
    <w:rsid w:val="00995409"/>
    <w:rsid w:val="0099546E"/>
    <w:rsid w:val="00995E79"/>
    <w:rsid w:val="009960A2"/>
    <w:rsid w:val="0099627F"/>
    <w:rsid w:val="00996424"/>
    <w:rsid w:val="0099666F"/>
    <w:rsid w:val="009966A4"/>
    <w:rsid w:val="0099679B"/>
    <w:rsid w:val="009968ED"/>
    <w:rsid w:val="00996A31"/>
    <w:rsid w:val="00996D27"/>
    <w:rsid w:val="00996E56"/>
    <w:rsid w:val="00996F4E"/>
    <w:rsid w:val="00997023"/>
    <w:rsid w:val="009970BA"/>
    <w:rsid w:val="0099714A"/>
    <w:rsid w:val="009972BA"/>
    <w:rsid w:val="009974C9"/>
    <w:rsid w:val="0099799B"/>
    <w:rsid w:val="00997A11"/>
    <w:rsid w:val="00997B21"/>
    <w:rsid w:val="00997CFA"/>
    <w:rsid w:val="00997EE2"/>
    <w:rsid w:val="009A0251"/>
    <w:rsid w:val="009A053A"/>
    <w:rsid w:val="009A0610"/>
    <w:rsid w:val="009A0817"/>
    <w:rsid w:val="009A0BF8"/>
    <w:rsid w:val="009A0C6C"/>
    <w:rsid w:val="009A0E8A"/>
    <w:rsid w:val="009A0FF7"/>
    <w:rsid w:val="009A1258"/>
    <w:rsid w:val="009A1564"/>
    <w:rsid w:val="009A158A"/>
    <w:rsid w:val="009A1707"/>
    <w:rsid w:val="009A1776"/>
    <w:rsid w:val="009A1905"/>
    <w:rsid w:val="009A1A14"/>
    <w:rsid w:val="009A1B3B"/>
    <w:rsid w:val="009A1C14"/>
    <w:rsid w:val="009A1C26"/>
    <w:rsid w:val="009A1CC6"/>
    <w:rsid w:val="009A1CD7"/>
    <w:rsid w:val="009A1D18"/>
    <w:rsid w:val="009A1E3C"/>
    <w:rsid w:val="009A21B6"/>
    <w:rsid w:val="009A2212"/>
    <w:rsid w:val="009A22FE"/>
    <w:rsid w:val="009A2378"/>
    <w:rsid w:val="009A2402"/>
    <w:rsid w:val="009A256B"/>
    <w:rsid w:val="009A2574"/>
    <w:rsid w:val="009A2739"/>
    <w:rsid w:val="009A2B74"/>
    <w:rsid w:val="009A2BA5"/>
    <w:rsid w:val="009A2D1A"/>
    <w:rsid w:val="009A2F47"/>
    <w:rsid w:val="009A34FB"/>
    <w:rsid w:val="009A3529"/>
    <w:rsid w:val="009A36E7"/>
    <w:rsid w:val="009A3739"/>
    <w:rsid w:val="009A374A"/>
    <w:rsid w:val="009A3A41"/>
    <w:rsid w:val="009A3D88"/>
    <w:rsid w:val="009A3DF1"/>
    <w:rsid w:val="009A3E8B"/>
    <w:rsid w:val="009A3FFB"/>
    <w:rsid w:val="009A3FFC"/>
    <w:rsid w:val="009A404A"/>
    <w:rsid w:val="009A408D"/>
    <w:rsid w:val="009A437C"/>
    <w:rsid w:val="009A450E"/>
    <w:rsid w:val="009A48A4"/>
    <w:rsid w:val="009A4D1A"/>
    <w:rsid w:val="009A4D6E"/>
    <w:rsid w:val="009A4E4D"/>
    <w:rsid w:val="009A4F76"/>
    <w:rsid w:val="009A50C3"/>
    <w:rsid w:val="009A51CE"/>
    <w:rsid w:val="009A523E"/>
    <w:rsid w:val="009A57CE"/>
    <w:rsid w:val="009A5A79"/>
    <w:rsid w:val="009A5AB4"/>
    <w:rsid w:val="009A5B39"/>
    <w:rsid w:val="009A5BB3"/>
    <w:rsid w:val="009A5C7F"/>
    <w:rsid w:val="009A5DA0"/>
    <w:rsid w:val="009A6048"/>
    <w:rsid w:val="009A6488"/>
    <w:rsid w:val="009A6542"/>
    <w:rsid w:val="009A677C"/>
    <w:rsid w:val="009A6B7C"/>
    <w:rsid w:val="009A6C9A"/>
    <w:rsid w:val="009A6ED1"/>
    <w:rsid w:val="009A73D3"/>
    <w:rsid w:val="009A74D0"/>
    <w:rsid w:val="009A768C"/>
    <w:rsid w:val="009A7855"/>
    <w:rsid w:val="009A785A"/>
    <w:rsid w:val="009A7B3D"/>
    <w:rsid w:val="009A7CC8"/>
    <w:rsid w:val="009B0263"/>
    <w:rsid w:val="009B03CA"/>
    <w:rsid w:val="009B0448"/>
    <w:rsid w:val="009B09D4"/>
    <w:rsid w:val="009B09F3"/>
    <w:rsid w:val="009B0A3D"/>
    <w:rsid w:val="009B0BF4"/>
    <w:rsid w:val="009B0D01"/>
    <w:rsid w:val="009B0D1C"/>
    <w:rsid w:val="009B133B"/>
    <w:rsid w:val="009B1375"/>
    <w:rsid w:val="009B168D"/>
    <w:rsid w:val="009B17D9"/>
    <w:rsid w:val="009B1814"/>
    <w:rsid w:val="009B183A"/>
    <w:rsid w:val="009B1901"/>
    <w:rsid w:val="009B1927"/>
    <w:rsid w:val="009B1D3C"/>
    <w:rsid w:val="009B224D"/>
    <w:rsid w:val="009B2438"/>
    <w:rsid w:val="009B2730"/>
    <w:rsid w:val="009B2750"/>
    <w:rsid w:val="009B28B0"/>
    <w:rsid w:val="009B28D8"/>
    <w:rsid w:val="009B2AFC"/>
    <w:rsid w:val="009B2B8F"/>
    <w:rsid w:val="009B2C01"/>
    <w:rsid w:val="009B2CE0"/>
    <w:rsid w:val="009B2F01"/>
    <w:rsid w:val="009B2F35"/>
    <w:rsid w:val="009B2F95"/>
    <w:rsid w:val="009B305B"/>
    <w:rsid w:val="009B309B"/>
    <w:rsid w:val="009B31DC"/>
    <w:rsid w:val="009B32D8"/>
    <w:rsid w:val="009B339E"/>
    <w:rsid w:val="009B3AE2"/>
    <w:rsid w:val="009B3D8C"/>
    <w:rsid w:val="009B3E19"/>
    <w:rsid w:val="009B3E77"/>
    <w:rsid w:val="009B3EFF"/>
    <w:rsid w:val="009B4189"/>
    <w:rsid w:val="009B4399"/>
    <w:rsid w:val="009B4430"/>
    <w:rsid w:val="009B44AC"/>
    <w:rsid w:val="009B453B"/>
    <w:rsid w:val="009B4669"/>
    <w:rsid w:val="009B488C"/>
    <w:rsid w:val="009B48F0"/>
    <w:rsid w:val="009B4A18"/>
    <w:rsid w:val="009B4D00"/>
    <w:rsid w:val="009B4DEF"/>
    <w:rsid w:val="009B4E7A"/>
    <w:rsid w:val="009B4EDD"/>
    <w:rsid w:val="009B5428"/>
    <w:rsid w:val="009B54EA"/>
    <w:rsid w:val="009B56A9"/>
    <w:rsid w:val="009B56BE"/>
    <w:rsid w:val="009B56D0"/>
    <w:rsid w:val="009B57C6"/>
    <w:rsid w:val="009B58FD"/>
    <w:rsid w:val="009B5920"/>
    <w:rsid w:val="009B5CD7"/>
    <w:rsid w:val="009B5F7C"/>
    <w:rsid w:val="009B6018"/>
    <w:rsid w:val="009B61BE"/>
    <w:rsid w:val="009B6215"/>
    <w:rsid w:val="009B64DC"/>
    <w:rsid w:val="009B66CA"/>
    <w:rsid w:val="009B6905"/>
    <w:rsid w:val="009B6A43"/>
    <w:rsid w:val="009B6AB5"/>
    <w:rsid w:val="009B6AB6"/>
    <w:rsid w:val="009B6ADE"/>
    <w:rsid w:val="009B6FCD"/>
    <w:rsid w:val="009B71F4"/>
    <w:rsid w:val="009B722B"/>
    <w:rsid w:val="009B7355"/>
    <w:rsid w:val="009B7509"/>
    <w:rsid w:val="009B75AC"/>
    <w:rsid w:val="009B75B3"/>
    <w:rsid w:val="009B775B"/>
    <w:rsid w:val="009B77A3"/>
    <w:rsid w:val="009B77B8"/>
    <w:rsid w:val="009B781D"/>
    <w:rsid w:val="009B7A45"/>
    <w:rsid w:val="009B7DC4"/>
    <w:rsid w:val="009B7F47"/>
    <w:rsid w:val="009C0124"/>
    <w:rsid w:val="009C0300"/>
    <w:rsid w:val="009C0560"/>
    <w:rsid w:val="009C058D"/>
    <w:rsid w:val="009C0633"/>
    <w:rsid w:val="009C068C"/>
    <w:rsid w:val="009C06A7"/>
    <w:rsid w:val="009C06BC"/>
    <w:rsid w:val="009C0825"/>
    <w:rsid w:val="009C0835"/>
    <w:rsid w:val="009C08B2"/>
    <w:rsid w:val="009C0B66"/>
    <w:rsid w:val="009C0B80"/>
    <w:rsid w:val="009C0DFD"/>
    <w:rsid w:val="009C1071"/>
    <w:rsid w:val="009C11C6"/>
    <w:rsid w:val="009C131B"/>
    <w:rsid w:val="009C131C"/>
    <w:rsid w:val="009C136F"/>
    <w:rsid w:val="009C158A"/>
    <w:rsid w:val="009C187D"/>
    <w:rsid w:val="009C190C"/>
    <w:rsid w:val="009C1A19"/>
    <w:rsid w:val="009C1F9A"/>
    <w:rsid w:val="009C2119"/>
    <w:rsid w:val="009C2886"/>
    <w:rsid w:val="009C2997"/>
    <w:rsid w:val="009C2A66"/>
    <w:rsid w:val="009C2D04"/>
    <w:rsid w:val="009C2D1D"/>
    <w:rsid w:val="009C2E82"/>
    <w:rsid w:val="009C2EB8"/>
    <w:rsid w:val="009C30DF"/>
    <w:rsid w:val="009C32CB"/>
    <w:rsid w:val="009C36C3"/>
    <w:rsid w:val="009C36DC"/>
    <w:rsid w:val="009C3783"/>
    <w:rsid w:val="009C37A8"/>
    <w:rsid w:val="009C37B6"/>
    <w:rsid w:val="009C3AA6"/>
    <w:rsid w:val="009C3C14"/>
    <w:rsid w:val="009C3CBF"/>
    <w:rsid w:val="009C3DF4"/>
    <w:rsid w:val="009C3F4B"/>
    <w:rsid w:val="009C3FAE"/>
    <w:rsid w:val="009C40BF"/>
    <w:rsid w:val="009C411D"/>
    <w:rsid w:val="009C4243"/>
    <w:rsid w:val="009C4464"/>
    <w:rsid w:val="009C4481"/>
    <w:rsid w:val="009C4645"/>
    <w:rsid w:val="009C46EA"/>
    <w:rsid w:val="009C47FB"/>
    <w:rsid w:val="009C4819"/>
    <w:rsid w:val="009C4854"/>
    <w:rsid w:val="009C4A96"/>
    <w:rsid w:val="009C4BE7"/>
    <w:rsid w:val="009C4D29"/>
    <w:rsid w:val="009C4FFA"/>
    <w:rsid w:val="009C5054"/>
    <w:rsid w:val="009C50AA"/>
    <w:rsid w:val="009C53D7"/>
    <w:rsid w:val="009C5705"/>
    <w:rsid w:val="009C5A2E"/>
    <w:rsid w:val="009C5AB9"/>
    <w:rsid w:val="009C5ACC"/>
    <w:rsid w:val="009C5B19"/>
    <w:rsid w:val="009C5D64"/>
    <w:rsid w:val="009C5EC5"/>
    <w:rsid w:val="009C6052"/>
    <w:rsid w:val="009C6797"/>
    <w:rsid w:val="009C68BA"/>
    <w:rsid w:val="009C6926"/>
    <w:rsid w:val="009C69BF"/>
    <w:rsid w:val="009C6A14"/>
    <w:rsid w:val="009C6A58"/>
    <w:rsid w:val="009C6A6F"/>
    <w:rsid w:val="009C6AB7"/>
    <w:rsid w:val="009C6B75"/>
    <w:rsid w:val="009C6C13"/>
    <w:rsid w:val="009C7069"/>
    <w:rsid w:val="009C71A6"/>
    <w:rsid w:val="009C71A7"/>
    <w:rsid w:val="009C725D"/>
    <w:rsid w:val="009C74AC"/>
    <w:rsid w:val="009C7640"/>
    <w:rsid w:val="009C79E9"/>
    <w:rsid w:val="009C7A41"/>
    <w:rsid w:val="009C7C10"/>
    <w:rsid w:val="009C7C84"/>
    <w:rsid w:val="009C7D26"/>
    <w:rsid w:val="009D0343"/>
    <w:rsid w:val="009D0378"/>
    <w:rsid w:val="009D0388"/>
    <w:rsid w:val="009D0483"/>
    <w:rsid w:val="009D0630"/>
    <w:rsid w:val="009D06ED"/>
    <w:rsid w:val="009D0746"/>
    <w:rsid w:val="009D0A0B"/>
    <w:rsid w:val="009D0AD5"/>
    <w:rsid w:val="009D0FBB"/>
    <w:rsid w:val="009D13F5"/>
    <w:rsid w:val="009D1786"/>
    <w:rsid w:val="009D1956"/>
    <w:rsid w:val="009D19AA"/>
    <w:rsid w:val="009D1B70"/>
    <w:rsid w:val="009D1E5C"/>
    <w:rsid w:val="009D2074"/>
    <w:rsid w:val="009D23FC"/>
    <w:rsid w:val="009D27C9"/>
    <w:rsid w:val="009D2A0A"/>
    <w:rsid w:val="009D2B55"/>
    <w:rsid w:val="009D2D05"/>
    <w:rsid w:val="009D2DE1"/>
    <w:rsid w:val="009D2E85"/>
    <w:rsid w:val="009D2F17"/>
    <w:rsid w:val="009D2F49"/>
    <w:rsid w:val="009D3121"/>
    <w:rsid w:val="009D3191"/>
    <w:rsid w:val="009D31F0"/>
    <w:rsid w:val="009D3275"/>
    <w:rsid w:val="009D37F0"/>
    <w:rsid w:val="009D39AB"/>
    <w:rsid w:val="009D3C2B"/>
    <w:rsid w:val="009D3D00"/>
    <w:rsid w:val="009D3E7A"/>
    <w:rsid w:val="009D3E8F"/>
    <w:rsid w:val="009D3FA0"/>
    <w:rsid w:val="009D42E3"/>
    <w:rsid w:val="009D4344"/>
    <w:rsid w:val="009D43DD"/>
    <w:rsid w:val="009D440E"/>
    <w:rsid w:val="009D446E"/>
    <w:rsid w:val="009D465B"/>
    <w:rsid w:val="009D4BFA"/>
    <w:rsid w:val="009D4E4D"/>
    <w:rsid w:val="009D4EB6"/>
    <w:rsid w:val="009D5128"/>
    <w:rsid w:val="009D5659"/>
    <w:rsid w:val="009D5692"/>
    <w:rsid w:val="009D5701"/>
    <w:rsid w:val="009D5887"/>
    <w:rsid w:val="009D5977"/>
    <w:rsid w:val="009D5ADC"/>
    <w:rsid w:val="009D5E2A"/>
    <w:rsid w:val="009D5EA6"/>
    <w:rsid w:val="009D5EB8"/>
    <w:rsid w:val="009D5ED2"/>
    <w:rsid w:val="009D62FC"/>
    <w:rsid w:val="009D6324"/>
    <w:rsid w:val="009D6550"/>
    <w:rsid w:val="009D692E"/>
    <w:rsid w:val="009D695F"/>
    <w:rsid w:val="009D696E"/>
    <w:rsid w:val="009D6BCA"/>
    <w:rsid w:val="009D6C5C"/>
    <w:rsid w:val="009D6F5B"/>
    <w:rsid w:val="009D6FA5"/>
    <w:rsid w:val="009D6FE6"/>
    <w:rsid w:val="009D7204"/>
    <w:rsid w:val="009D7211"/>
    <w:rsid w:val="009D7317"/>
    <w:rsid w:val="009D7420"/>
    <w:rsid w:val="009D74AC"/>
    <w:rsid w:val="009D7C99"/>
    <w:rsid w:val="009D7ECC"/>
    <w:rsid w:val="009D7F88"/>
    <w:rsid w:val="009D7FD2"/>
    <w:rsid w:val="009E0171"/>
    <w:rsid w:val="009E031E"/>
    <w:rsid w:val="009E0563"/>
    <w:rsid w:val="009E0626"/>
    <w:rsid w:val="009E06CF"/>
    <w:rsid w:val="009E07D8"/>
    <w:rsid w:val="009E09A8"/>
    <w:rsid w:val="009E09C8"/>
    <w:rsid w:val="009E09CD"/>
    <w:rsid w:val="009E0BE6"/>
    <w:rsid w:val="009E0C21"/>
    <w:rsid w:val="009E0F13"/>
    <w:rsid w:val="009E1024"/>
    <w:rsid w:val="009E11FA"/>
    <w:rsid w:val="009E12F5"/>
    <w:rsid w:val="009E1321"/>
    <w:rsid w:val="009E13D1"/>
    <w:rsid w:val="009E1849"/>
    <w:rsid w:val="009E1894"/>
    <w:rsid w:val="009E19C5"/>
    <w:rsid w:val="009E1C88"/>
    <w:rsid w:val="009E2008"/>
    <w:rsid w:val="009E216A"/>
    <w:rsid w:val="009E22D2"/>
    <w:rsid w:val="009E25E4"/>
    <w:rsid w:val="009E2610"/>
    <w:rsid w:val="009E2640"/>
    <w:rsid w:val="009E2831"/>
    <w:rsid w:val="009E2955"/>
    <w:rsid w:val="009E29D6"/>
    <w:rsid w:val="009E2D47"/>
    <w:rsid w:val="009E2EA5"/>
    <w:rsid w:val="009E31D4"/>
    <w:rsid w:val="009E327D"/>
    <w:rsid w:val="009E334E"/>
    <w:rsid w:val="009E337D"/>
    <w:rsid w:val="009E3486"/>
    <w:rsid w:val="009E38B5"/>
    <w:rsid w:val="009E38D9"/>
    <w:rsid w:val="009E396D"/>
    <w:rsid w:val="009E3A21"/>
    <w:rsid w:val="009E3D04"/>
    <w:rsid w:val="009E3E5F"/>
    <w:rsid w:val="009E401D"/>
    <w:rsid w:val="009E419A"/>
    <w:rsid w:val="009E43AB"/>
    <w:rsid w:val="009E450C"/>
    <w:rsid w:val="009E456D"/>
    <w:rsid w:val="009E47D2"/>
    <w:rsid w:val="009E4958"/>
    <w:rsid w:val="009E4E50"/>
    <w:rsid w:val="009E4FD0"/>
    <w:rsid w:val="009E5189"/>
    <w:rsid w:val="009E528E"/>
    <w:rsid w:val="009E5461"/>
    <w:rsid w:val="009E5555"/>
    <w:rsid w:val="009E55B2"/>
    <w:rsid w:val="009E560E"/>
    <w:rsid w:val="009E56AD"/>
    <w:rsid w:val="009E57C6"/>
    <w:rsid w:val="009E5815"/>
    <w:rsid w:val="009E592D"/>
    <w:rsid w:val="009E5B47"/>
    <w:rsid w:val="009E5B4E"/>
    <w:rsid w:val="009E5BA3"/>
    <w:rsid w:val="009E5DBF"/>
    <w:rsid w:val="009E5DC6"/>
    <w:rsid w:val="009E5ECA"/>
    <w:rsid w:val="009E6000"/>
    <w:rsid w:val="009E6024"/>
    <w:rsid w:val="009E6332"/>
    <w:rsid w:val="009E6336"/>
    <w:rsid w:val="009E6820"/>
    <w:rsid w:val="009E6A40"/>
    <w:rsid w:val="009E6A77"/>
    <w:rsid w:val="009E6A7C"/>
    <w:rsid w:val="009E6AE2"/>
    <w:rsid w:val="009E6D70"/>
    <w:rsid w:val="009E6EF3"/>
    <w:rsid w:val="009E702A"/>
    <w:rsid w:val="009E7182"/>
    <w:rsid w:val="009E7690"/>
    <w:rsid w:val="009E7A44"/>
    <w:rsid w:val="009E7B99"/>
    <w:rsid w:val="009E7F18"/>
    <w:rsid w:val="009F044A"/>
    <w:rsid w:val="009F058E"/>
    <w:rsid w:val="009F08E5"/>
    <w:rsid w:val="009F0967"/>
    <w:rsid w:val="009F0D65"/>
    <w:rsid w:val="009F0DF1"/>
    <w:rsid w:val="009F0E21"/>
    <w:rsid w:val="009F1298"/>
    <w:rsid w:val="009F129C"/>
    <w:rsid w:val="009F140C"/>
    <w:rsid w:val="009F1437"/>
    <w:rsid w:val="009F154D"/>
    <w:rsid w:val="009F159F"/>
    <w:rsid w:val="009F181E"/>
    <w:rsid w:val="009F1EEE"/>
    <w:rsid w:val="009F21CF"/>
    <w:rsid w:val="009F263A"/>
    <w:rsid w:val="009F2A49"/>
    <w:rsid w:val="009F2ADD"/>
    <w:rsid w:val="009F2BCB"/>
    <w:rsid w:val="009F2C7B"/>
    <w:rsid w:val="009F2D07"/>
    <w:rsid w:val="009F2DE9"/>
    <w:rsid w:val="009F2FA3"/>
    <w:rsid w:val="009F2FD5"/>
    <w:rsid w:val="009F3066"/>
    <w:rsid w:val="009F3161"/>
    <w:rsid w:val="009F31EB"/>
    <w:rsid w:val="009F321A"/>
    <w:rsid w:val="009F3501"/>
    <w:rsid w:val="009F3953"/>
    <w:rsid w:val="009F3984"/>
    <w:rsid w:val="009F39AE"/>
    <w:rsid w:val="009F3C74"/>
    <w:rsid w:val="009F3C77"/>
    <w:rsid w:val="009F3CB8"/>
    <w:rsid w:val="009F3EF8"/>
    <w:rsid w:val="009F40DC"/>
    <w:rsid w:val="009F41E6"/>
    <w:rsid w:val="009F43F6"/>
    <w:rsid w:val="009F44DA"/>
    <w:rsid w:val="009F4574"/>
    <w:rsid w:val="009F45E1"/>
    <w:rsid w:val="009F45F1"/>
    <w:rsid w:val="009F4757"/>
    <w:rsid w:val="009F4786"/>
    <w:rsid w:val="009F47C8"/>
    <w:rsid w:val="009F48E9"/>
    <w:rsid w:val="009F4B52"/>
    <w:rsid w:val="009F4CB3"/>
    <w:rsid w:val="009F4D7F"/>
    <w:rsid w:val="009F4E2E"/>
    <w:rsid w:val="009F505C"/>
    <w:rsid w:val="009F50AF"/>
    <w:rsid w:val="009F50D2"/>
    <w:rsid w:val="009F50D6"/>
    <w:rsid w:val="009F50FD"/>
    <w:rsid w:val="009F526F"/>
    <w:rsid w:val="009F52CC"/>
    <w:rsid w:val="009F568D"/>
    <w:rsid w:val="009F56A1"/>
    <w:rsid w:val="009F57A8"/>
    <w:rsid w:val="009F594E"/>
    <w:rsid w:val="009F5989"/>
    <w:rsid w:val="009F5997"/>
    <w:rsid w:val="009F5D6B"/>
    <w:rsid w:val="009F6A56"/>
    <w:rsid w:val="009F6C3C"/>
    <w:rsid w:val="009F6D39"/>
    <w:rsid w:val="009F6E61"/>
    <w:rsid w:val="009F6E81"/>
    <w:rsid w:val="009F7116"/>
    <w:rsid w:val="009F7188"/>
    <w:rsid w:val="009F7597"/>
    <w:rsid w:val="009F787F"/>
    <w:rsid w:val="009F79DD"/>
    <w:rsid w:val="009F7AC3"/>
    <w:rsid w:val="009F7C2C"/>
    <w:rsid w:val="009F7D50"/>
    <w:rsid w:val="009F7E0F"/>
    <w:rsid w:val="009F7EC7"/>
    <w:rsid w:val="009F7EEF"/>
    <w:rsid w:val="00A0053D"/>
    <w:rsid w:val="00A006DF"/>
    <w:rsid w:val="00A0077D"/>
    <w:rsid w:val="00A0078D"/>
    <w:rsid w:val="00A00857"/>
    <w:rsid w:val="00A0091C"/>
    <w:rsid w:val="00A00B92"/>
    <w:rsid w:val="00A00BF6"/>
    <w:rsid w:val="00A00F0E"/>
    <w:rsid w:val="00A010A0"/>
    <w:rsid w:val="00A014E2"/>
    <w:rsid w:val="00A01611"/>
    <w:rsid w:val="00A01695"/>
    <w:rsid w:val="00A016AF"/>
    <w:rsid w:val="00A016C9"/>
    <w:rsid w:val="00A018A4"/>
    <w:rsid w:val="00A01B62"/>
    <w:rsid w:val="00A020E1"/>
    <w:rsid w:val="00A02182"/>
    <w:rsid w:val="00A021D8"/>
    <w:rsid w:val="00A022CC"/>
    <w:rsid w:val="00A02470"/>
    <w:rsid w:val="00A02561"/>
    <w:rsid w:val="00A02896"/>
    <w:rsid w:val="00A02A45"/>
    <w:rsid w:val="00A02AC7"/>
    <w:rsid w:val="00A02EEC"/>
    <w:rsid w:val="00A032B3"/>
    <w:rsid w:val="00A0373C"/>
    <w:rsid w:val="00A0394C"/>
    <w:rsid w:val="00A0399B"/>
    <w:rsid w:val="00A03A48"/>
    <w:rsid w:val="00A03B99"/>
    <w:rsid w:val="00A04019"/>
    <w:rsid w:val="00A04320"/>
    <w:rsid w:val="00A0450A"/>
    <w:rsid w:val="00A04622"/>
    <w:rsid w:val="00A046B9"/>
    <w:rsid w:val="00A04715"/>
    <w:rsid w:val="00A048B0"/>
    <w:rsid w:val="00A04B8B"/>
    <w:rsid w:val="00A04BB9"/>
    <w:rsid w:val="00A04E25"/>
    <w:rsid w:val="00A04ECA"/>
    <w:rsid w:val="00A0520A"/>
    <w:rsid w:val="00A05389"/>
    <w:rsid w:val="00A054D4"/>
    <w:rsid w:val="00A0573A"/>
    <w:rsid w:val="00A057A0"/>
    <w:rsid w:val="00A058C9"/>
    <w:rsid w:val="00A05C5C"/>
    <w:rsid w:val="00A05F5A"/>
    <w:rsid w:val="00A06113"/>
    <w:rsid w:val="00A0629C"/>
    <w:rsid w:val="00A06316"/>
    <w:rsid w:val="00A063EE"/>
    <w:rsid w:val="00A06607"/>
    <w:rsid w:val="00A067B8"/>
    <w:rsid w:val="00A06A13"/>
    <w:rsid w:val="00A06AA9"/>
    <w:rsid w:val="00A06BCF"/>
    <w:rsid w:val="00A06CD8"/>
    <w:rsid w:val="00A06CFE"/>
    <w:rsid w:val="00A06E30"/>
    <w:rsid w:val="00A06ED5"/>
    <w:rsid w:val="00A070FC"/>
    <w:rsid w:val="00A07219"/>
    <w:rsid w:val="00A072F1"/>
    <w:rsid w:val="00A073F2"/>
    <w:rsid w:val="00A07602"/>
    <w:rsid w:val="00A077D3"/>
    <w:rsid w:val="00A078AC"/>
    <w:rsid w:val="00A07CBF"/>
    <w:rsid w:val="00A07F76"/>
    <w:rsid w:val="00A07FF1"/>
    <w:rsid w:val="00A1014F"/>
    <w:rsid w:val="00A102DF"/>
    <w:rsid w:val="00A103A1"/>
    <w:rsid w:val="00A10448"/>
    <w:rsid w:val="00A105E5"/>
    <w:rsid w:val="00A10A87"/>
    <w:rsid w:val="00A10AE3"/>
    <w:rsid w:val="00A10C09"/>
    <w:rsid w:val="00A114A2"/>
    <w:rsid w:val="00A11A31"/>
    <w:rsid w:val="00A11C1E"/>
    <w:rsid w:val="00A11D75"/>
    <w:rsid w:val="00A11EC2"/>
    <w:rsid w:val="00A11F42"/>
    <w:rsid w:val="00A12003"/>
    <w:rsid w:val="00A1214B"/>
    <w:rsid w:val="00A12179"/>
    <w:rsid w:val="00A121FC"/>
    <w:rsid w:val="00A1228C"/>
    <w:rsid w:val="00A12353"/>
    <w:rsid w:val="00A123B7"/>
    <w:rsid w:val="00A123E5"/>
    <w:rsid w:val="00A124CB"/>
    <w:rsid w:val="00A12582"/>
    <w:rsid w:val="00A1263D"/>
    <w:rsid w:val="00A1268F"/>
    <w:rsid w:val="00A1269B"/>
    <w:rsid w:val="00A1275F"/>
    <w:rsid w:val="00A127E2"/>
    <w:rsid w:val="00A12955"/>
    <w:rsid w:val="00A12A68"/>
    <w:rsid w:val="00A12BE8"/>
    <w:rsid w:val="00A12ECE"/>
    <w:rsid w:val="00A1307F"/>
    <w:rsid w:val="00A134D7"/>
    <w:rsid w:val="00A136D5"/>
    <w:rsid w:val="00A1373E"/>
    <w:rsid w:val="00A13837"/>
    <w:rsid w:val="00A13858"/>
    <w:rsid w:val="00A13941"/>
    <w:rsid w:val="00A13A70"/>
    <w:rsid w:val="00A13D70"/>
    <w:rsid w:val="00A13E88"/>
    <w:rsid w:val="00A13F36"/>
    <w:rsid w:val="00A13FC9"/>
    <w:rsid w:val="00A1416A"/>
    <w:rsid w:val="00A14579"/>
    <w:rsid w:val="00A14629"/>
    <w:rsid w:val="00A1464F"/>
    <w:rsid w:val="00A1490C"/>
    <w:rsid w:val="00A14BA3"/>
    <w:rsid w:val="00A14DF9"/>
    <w:rsid w:val="00A14F22"/>
    <w:rsid w:val="00A151E0"/>
    <w:rsid w:val="00A152F6"/>
    <w:rsid w:val="00A152FA"/>
    <w:rsid w:val="00A153AC"/>
    <w:rsid w:val="00A1552C"/>
    <w:rsid w:val="00A15627"/>
    <w:rsid w:val="00A15750"/>
    <w:rsid w:val="00A15793"/>
    <w:rsid w:val="00A1581A"/>
    <w:rsid w:val="00A15B43"/>
    <w:rsid w:val="00A15D6E"/>
    <w:rsid w:val="00A15E8C"/>
    <w:rsid w:val="00A15FD6"/>
    <w:rsid w:val="00A1607A"/>
    <w:rsid w:val="00A160EE"/>
    <w:rsid w:val="00A1668B"/>
    <w:rsid w:val="00A16835"/>
    <w:rsid w:val="00A16954"/>
    <w:rsid w:val="00A16CF9"/>
    <w:rsid w:val="00A16D51"/>
    <w:rsid w:val="00A1715A"/>
    <w:rsid w:val="00A173C4"/>
    <w:rsid w:val="00A175DC"/>
    <w:rsid w:val="00A176F8"/>
    <w:rsid w:val="00A179F9"/>
    <w:rsid w:val="00A17A0D"/>
    <w:rsid w:val="00A17B87"/>
    <w:rsid w:val="00A17F83"/>
    <w:rsid w:val="00A17F89"/>
    <w:rsid w:val="00A20256"/>
    <w:rsid w:val="00A203D1"/>
    <w:rsid w:val="00A20634"/>
    <w:rsid w:val="00A20761"/>
    <w:rsid w:val="00A20768"/>
    <w:rsid w:val="00A207BF"/>
    <w:rsid w:val="00A2092B"/>
    <w:rsid w:val="00A209E8"/>
    <w:rsid w:val="00A20B29"/>
    <w:rsid w:val="00A20B44"/>
    <w:rsid w:val="00A20D4F"/>
    <w:rsid w:val="00A20DBA"/>
    <w:rsid w:val="00A20F6C"/>
    <w:rsid w:val="00A211AA"/>
    <w:rsid w:val="00A21207"/>
    <w:rsid w:val="00A213C1"/>
    <w:rsid w:val="00A2152A"/>
    <w:rsid w:val="00A21963"/>
    <w:rsid w:val="00A21A21"/>
    <w:rsid w:val="00A21B93"/>
    <w:rsid w:val="00A21E06"/>
    <w:rsid w:val="00A21E9C"/>
    <w:rsid w:val="00A21EB9"/>
    <w:rsid w:val="00A223B7"/>
    <w:rsid w:val="00A22495"/>
    <w:rsid w:val="00A22503"/>
    <w:rsid w:val="00A2295B"/>
    <w:rsid w:val="00A22B34"/>
    <w:rsid w:val="00A22C28"/>
    <w:rsid w:val="00A22CB6"/>
    <w:rsid w:val="00A22E09"/>
    <w:rsid w:val="00A22F90"/>
    <w:rsid w:val="00A23054"/>
    <w:rsid w:val="00A23076"/>
    <w:rsid w:val="00A235EE"/>
    <w:rsid w:val="00A23784"/>
    <w:rsid w:val="00A23959"/>
    <w:rsid w:val="00A23B42"/>
    <w:rsid w:val="00A23C4A"/>
    <w:rsid w:val="00A23C63"/>
    <w:rsid w:val="00A23C66"/>
    <w:rsid w:val="00A23C69"/>
    <w:rsid w:val="00A23C84"/>
    <w:rsid w:val="00A23FB8"/>
    <w:rsid w:val="00A24149"/>
    <w:rsid w:val="00A2418A"/>
    <w:rsid w:val="00A241F8"/>
    <w:rsid w:val="00A24432"/>
    <w:rsid w:val="00A2453E"/>
    <w:rsid w:val="00A2460A"/>
    <w:rsid w:val="00A2479B"/>
    <w:rsid w:val="00A24A2C"/>
    <w:rsid w:val="00A24A31"/>
    <w:rsid w:val="00A24A55"/>
    <w:rsid w:val="00A24B8F"/>
    <w:rsid w:val="00A24CC7"/>
    <w:rsid w:val="00A24DBB"/>
    <w:rsid w:val="00A24FC2"/>
    <w:rsid w:val="00A25287"/>
    <w:rsid w:val="00A253C3"/>
    <w:rsid w:val="00A25715"/>
    <w:rsid w:val="00A25769"/>
    <w:rsid w:val="00A25A19"/>
    <w:rsid w:val="00A25B50"/>
    <w:rsid w:val="00A25B64"/>
    <w:rsid w:val="00A25BFC"/>
    <w:rsid w:val="00A25C91"/>
    <w:rsid w:val="00A25D52"/>
    <w:rsid w:val="00A26013"/>
    <w:rsid w:val="00A260A3"/>
    <w:rsid w:val="00A26161"/>
    <w:rsid w:val="00A2661F"/>
    <w:rsid w:val="00A26946"/>
    <w:rsid w:val="00A26DFA"/>
    <w:rsid w:val="00A26E4D"/>
    <w:rsid w:val="00A27290"/>
    <w:rsid w:val="00A2760C"/>
    <w:rsid w:val="00A276D1"/>
    <w:rsid w:val="00A276D5"/>
    <w:rsid w:val="00A277F2"/>
    <w:rsid w:val="00A27B56"/>
    <w:rsid w:val="00A27CED"/>
    <w:rsid w:val="00A27D93"/>
    <w:rsid w:val="00A27E7D"/>
    <w:rsid w:val="00A27F46"/>
    <w:rsid w:val="00A300AF"/>
    <w:rsid w:val="00A301AE"/>
    <w:rsid w:val="00A3029E"/>
    <w:rsid w:val="00A3038B"/>
    <w:rsid w:val="00A3041B"/>
    <w:rsid w:val="00A30577"/>
    <w:rsid w:val="00A305CD"/>
    <w:rsid w:val="00A30628"/>
    <w:rsid w:val="00A30682"/>
    <w:rsid w:val="00A3092C"/>
    <w:rsid w:val="00A30A91"/>
    <w:rsid w:val="00A30AD1"/>
    <w:rsid w:val="00A30BC8"/>
    <w:rsid w:val="00A30C61"/>
    <w:rsid w:val="00A30EF7"/>
    <w:rsid w:val="00A3110A"/>
    <w:rsid w:val="00A31117"/>
    <w:rsid w:val="00A31308"/>
    <w:rsid w:val="00A3138C"/>
    <w:rsid w:val="00A31396"/>
    <w:rsid w:val="00A313A1"/>
    <w:rsid w:val="00A313F1"/>
    <w:rsid w:val="00A3150A"/>
    <w:rsid w:val="00A31646"/>
    <w:rsid w:val="00A31B60"/>
    <w:rsid w:val="00A31C7D"/>
    <w:rsid w:val="00A31DC9"/>
    <w:rsid w:val="00A321D1"/>
    <w:rsid w:val="00A3220D"/>
    <w:rsid w:val="00A3241C"/>
    <w:rsid w:val="00A325DA"/>
    <w:rsid w:val="00A32863"/>
    <w:rsid w:val="00A3288E"/>
    <w:rsid w:val="00A32979"/>
    <w:rsid w:val="00A32A8E"/>
    <w:rsid w:val="00A32B4F"/>
    <w:rsid w:val="00A32D48"/>
    <w:rsid w:val="00A32EBD"/>
    <w:rsid w:val="00A32ED3"/>
    <w:rsid w:val="00A330F8"/>
    <w:rsid w:val="00A331B6"/>
    <w:rsid w:val="00A332C3"/>
    <w:rsid w:val="00A3339E"/>
    <w:rsid w:val="00A336C6"/>
    <w:rsid w:val="00A336CB"/>
    <w:rsid w:val="00A33766"/>
    <w:rsid w:val="00A337CD"/>
    <w:rsid w:val="00A33871"/>
    <w:rsid w:val="00A338A7"/>
    <w:rsid w:val="00A33962"/>
    <w:rsid w:val="00A339B2"/>
    <w:rsid w:val="00A33EEE"/>
    <w:rsid w:val="00A34284"/>
    <w:rsid w:val="00A34296"/>
    <w:rsid w:val="00A345DA"/>
    <w:rsid w:val="00A349CF"/>
    <w:rsid w:val="00A34F6C"/>
    <w:rsid w:val="00A3508B"/>
    <w:rsid w:val="00A35119"/>
    <w:rsid w:val="00A353F3"/>
    <w:rsid w:val="00A3540E"/>
    <w:rsid w:val="00A35526"/>
    <w:rsid w:val="00A35A32"/>
    <w:rsid w:val="00A35BE0"/>
    <w:rsid w:val="00A35F8E"/>
    <w:rsid w:val="00A3604C"/>
    <w:rsid w:val="00A3616F"/>
    <w:rsid w:val="00A361AE"/>
    <w:rsid w:val="00A361D4"/>
    <w:rsid w:val="00A362CA"/>
    <w:rsid w:val="00A3647D"/>
    <w:rsid w:val="00A36543"/>
    <w:rsid w:val="00A366BB"/>
    <w:rsid w:val="00A368DE"/>
    <w:rsid w:val="00A36958"/>
    <w:rsid w:val="00A36DCF"/>
    <w:rsid w:val="00A36E6C"/>
    <w:rsid w:val="00A3727A"/>
    <w:rsid w:val="00A3738D"/>
    <w:rsid w:val="00A37600"/>
    <w:rsid w:val="00A376D5"/>
    <w:rsid w:val="00A37AB0"/>
    <w:rsid w:val="00A37C9B"/>
    <w:rsid w:val="00A37D58"/>
    <w:rsid w:val="00A37DDA"/>
    <w:rsid w:val="00A37F62"/>
    <w:rsid w:val="00A40059"/>
    <w:rsid w:val="00A402DD"/>
    <w:rsid w:val="00A40636"/>
    <w:rsid w:val="00A4071D"/>
    <w:rsid w:val="00A40752"/>
    <w:rsid w:val="00A40887"/>
    <w:rsid w:val="00A40A6E"/>
    <w:rsid w:val="00A40CF2"/>
    <w:rsid w:val="00A40D7D"/>
    <w:rsid w:val="00A40E8A"/>
    <w:rsid w:val="00A40FEA"/>
    <w:rsid w:val="00A4109F"/>
    <w:rsid w:val="00A41265"/>
    <w:rsid w:val="00A413E5"/>
    <w:rsid w:val="00A415B3"/>
    <w:rsid w:val="00A415BC"/>
    <w:rsid w:val="00A417FF"/>
    <w:rsid w:val="00A41832"/>
    <w:rsid w:val="00A41B12"/>
    <w:rsid w:val="00A41D08"/>
    <w:rsid w:val="00A41DA1"/>
    <w:rsid w:val="00A41F31"/>
    <w:rsid w:val="00A41FBF"/>
    <w:rsid w:val="00A42424"/>
    <w:rsid w:val="00A425C3"/>
    <w:rsid w:val="00A42734"/>
    <w:rsid w:val="00A428F5"/>
    <w:rsid w:val="00A42903"/>
    <w:rsid w:val="00A4292C"/>
    <w:rsid w:val="00A42AA1"/>
    <w:rsid w:val="00A42AE5"/>
    <w:rsid w:val="00A42C0A"/>
    <w:rsid w:val="00A42CEF"/>
    <w:rsid w:val="00A42D0A"/>
    <w:rsid w:val="00A42E12"/>
    <w:rsid w:val="00A42E57"/>
    <w:rsid w:val="00A430D2"/>
    <w:rsid w:val="00A43408"/>
    <w:rsid w:val="00A434AA"/>
    <w:rsid w:val="00A43776"/>
    <w:rsid w:val="00A43804"/>
    <w:rsid w:val="00A439B2"/>
    <w:rsid w:val="00A43B7F"/>
    <w:rsid w:val="00A4415A"/>
    <w:rsid w:val="00A442D0"/>
    <w:rsid w:val="00A443D3"/>
    <w:rsid w:val="00A4445E"/>
    <w:rsid w:val="00A446CE"/>
    <w:rsid w:val="00A44A5C"/>
    <w:rsid w:val="00A44B9F"/>
    <w:rsid w:val="00A44C0A"/>
    <w:rsid w:val="00A452B8"/>
    <w:rsid w:val="00A452FE"/>
    <w:rsid w:val="00A45322"/>
    <w:rsid w:val="00A45402"/>
    <w:rsid w:val="00A455F3"/>
    <w:rsid w:val="00A45706"/>
    <w:rsid w:val="00A45770"/>
    <w:rsid w:val="00A457A0"/>
    <w:rsid w:val="00A4584C"/>
    <w:rsid w:val="00A459C8"/>
    <w:rsid w:val="00A45A93"/>
    <w:rsid w:val="00A45BAD"/>
    <w:rsid w:val="00A45C49"/>
    <w:rsid w:val="00A45D4E"/>
    <w:rsid w:val="00A45EBE"/>
    <w:rsid w:val="00A45F0C"/>
    <w:rsid w:val="00A460FA"/>
    <w:rsid w:val="00A46209"/>
    <w:rsid w:val="00A46627"/>
    <w:rsid w:val="00A466A8"/>
    <w:rsid w:val="00A46CC8"/>
    <w:rsid w:val="00A47111"/>
    <w:rsid w:val="00A473F6"/>
    <w:rsid w:val="00A47666"/>
    <w:rsid w:val="00A4766B"/>
    <w:rsid w:val="00A47A58"/>
    <w:rsid w:val="00A47AE4"/>
    <w:rsid w:val="00A47AEA"/>
    <w:rsid w:val="00A47B51"/>
    <w:rsid w:val="00A47D2F"/>
    <w:rsid w:val="00A47F92"/>
    <w:rsid w:val="00A50400"/>
    <w:rsid w:val="00A508A6"/>
    <w:rsid w:val="00A50942"/>
    <w:rsid w:val="00A50BB9"/>
    <w:rsid w:val="00A50C4E"/>
    <w:rsid w:val="00A50D15"/>
    <w:rsid w:val="00A50E6E"/>
    <w:rsid w:val="00A50F24"/>
    <w:rsid w:val="00A50F88"/>
    <w:rsid w:val="00A50FC2"/>
    <w:rsid w:val="00A51039"/>
    <w:rsid w:val="00A5104E"/>
    <w:rsid w:val="00A51260"/>
    <w:rsid w:val="00A51378"/>
    <w:rsid w:val="00A514B1"/>
    <w:rsid w:val="00A515FD"/>
    <w:rsid w:val="00A51672"/>
    <w:rsid w:val="00A51745"/>
    <w:rsid w:val="00A51822"/>
    <w:rsid w:val="00A51938"/>
    <w:rsid w:val="00A51956"/>
    <w:rsid w:val="00A51BD1"/>
    <w:rsid w:val="00A51D40"/>
    <w:rsid w:val="00A51DD6"/>
    <w:rsid w:val="00A51E7D"/>
    <w:rsid w:val="00A520B7"/>
    <w:rsid w:val="00A5214C"/>
    <w:rsid w:val="00A5221D"/>
    <w:rsid w:val="00A52273"/>
    <w:rsid w:val="00A52374"/>
    <w:rsid w:val="00A5239D"/>
    <w:rsid w:val="00A523F3"/>
    <w:rsid w:val="00A5256A"/>
    <w:rsid w:val="00A5278D"/>
    <w:rsid w:val="00A5282B"/>
    <w:rsid w:val="00A528F2"/>
    <w:rsid w:val="00A5295A"/>
    <w:rsid w:val="00A52CF7"/>
    <w:rsid w:val="00A52D63"/>
    <w:rsid w:val="00A52DE2"/>
    <w:rsid w:val="00A53105"/>
    <w:rsid w:val="00A537E2"/>
    <w:rsid w:val="00A538BF"/>
    <w:rsid w:val="00A538C4"/>
    <w:rsid w:val="00A53ADB"/>
    <w:rsid w:val="00A53B7F"/>
    <w:rsid w:val="00A53CE7"/>
    <w:rsid w:val="00A53DCC"/>
    <w:rsid w:val="00A54152"/>
    <w:rsid w:val="00A544B5"/>
    <w:rsid w:val="00A5455B"/>
    <w:rsid w:val="00A54955"/>
    <w:rsid w:val="00A549BB"/>
    <w:rsid w:val="00A54B46"/>
    <w:rsid w:val="00A550D2"/>
    <w:rsid w:val="00A55354"/>
    <w:rsid w:val="00A5581A"/>
    <w:rsid w:val="00A55A60"/>
    <w:rsid w:val="00A55B5E"/>
    <w:rsid w:val="00A55C41"/>
    <w:rsid w:val="00A55E0B"/>
    <w:rsid w:val="00A55FA0"/>
    <w:rsid w:val="00A56071"/>
    <w:rsid w:val="00A5612F"/>
    <w:rsid w:val="00A56281"/>
    <w:rsid w:val="00A564F4"/>
    <w:rsid w:val="00A56922"/>
    <w:rsid w:val="00A56B6B"/>
    <w:rsid w:val="00A56CD2"/>
    <w:rsid w:val="00A56E41"/>
    <w:rsid w:val="00A56EE4"/>
    <w:rsid w:val="00A57097"/>
    <w:rsid w:val="00A5734E"/>
    <w:rsid w:val="00A573C9"/>
    <w:rsid w:val="00A57562"/>
    <w:rsid w:val="00A576C3"/>
    <w:rsid w:val="00A57890"/>
    <w:rsid w:val="00A5799C"/>
    <w:rsid w:val="00A579EF"/>
    <w:rsid w:val="00A57FC1"/>
    <w:rsid w:val="00A57FDF"/>
    <w:rsid w:val="00A600FD"/>
    <w:rsid w:val="00A60164"/>
    <w:rsid w:val="00A60480"/>
    <w:rsid w:val="00A60615"/>
    <w:rsid w:val="00A606D6"/>
    <w:rsid w:val="00A60A4D"/>
    <w:rsid w:val="00A60A78"/>
    <w:rsid w:val="00A60AD5"/>
    <w:rsid w:val="00A60B21"/>
    <w:rsid w:val="00A60C91"/>
    <w:rsid w:val="00A60E5C"/>
    <w:rsid w:val="00A610BD"/>
    <w:rsid w:val="00A610C8"/>
    <w:rsid w:val="00A610D9"/>
    <w:rsid w:val="00A61117"/>
    <w:rsid w:val="00A6176B"/>
    <w:rsid w:val="00A618BB"/>
    <w:rsid w:val="00A61DC9"/>
    <w:rsid w:val="00A61E53"/>
    <w:rsid w:val="00A61F87"/>
    <w:rsid w:val="00A62160"/>
    <w:rsid w:val="00A62244"/>
    <w:rsid w:val="00A62478"/>
    <w:rsid w:val="00A625C5"/>
    <w:rsid w:val="00A62701"/>
    <w:rsid w:val="00A627B6"/>
    <w:rsid w:val="00A62851"/>
    <w:rsid w:val="00A629DB"/>
    <w:rsid w:val="00A62BCB"/>
    <w:rsid w:val="00A62C14"/>
    <w:rsid w:val="00A62C9E"/>
    <w:rsid w:val="00A62EBA"/>
    <w:rsid w:val="00A62FC7"/>
    <w:rsid w:val="00A63134"/>
    <w:rsid w:val="00A636EE"/>
    <w:rsid w:val="00A63728"/>
    <w:rsid w:val="00A63B27"/>
    <w:rsid w:val="00A63B8B"/>
    <w:rsid w:val="00A63D4C"/>
    <w:rsid w:val="00A63F35"/>
    <w:rsid w:val="00A64047"/>
    <w:rsid w:val="00A64160"/>
    <w:rsid w:val="00A643CE"/>
    <w:rsid w:val="00A643F9"/>
    <w:rsid w:val="00A647F9"/>
    <w:rsid w:val="00A64890"/>
    <w:rsid w:val="00A64B38"/>
    <w:rsid w:val="00A64B3A"/>
    <w:rsid w:val="00A64D6D"/>
    <w:rsid w:val="00A64DEF"/>
    <w:rsid w:val="00A64F85"/>
    <w:rsid w:val="00A650E6"/>
    <w:rsid w:val="00A65106"/>
    <w:rsid w:val="00A65154"/>
    <w:rsid w:val="00A651BA"/>
    <w:rsid w:val="00A65751"/>
    <w:rsid w:val="00A65928"/>
    <w:rsid w:val="00A65B65"/>
    <w:rsid w:val="00A65B89"/>
    <w:rsid w:val="00A65BA4"/>
    <w:rsid w:val="00A65C17"/>
    <w:rsid w:val="00A65C92"/>
    <w:rsid w:val="00A65D3B"/>
    <w:rsid w:val="00A65DBA"/>
    <w:rsid w:val="00A65F0F"/>
    <w:rsid w:val="00A66516"/>
    <w:rsid w:val="00A66759"/>
    <w:rsid w:val="00A667F6"/>
    <w:rsid w:val="00A67115"/>
    <w:rsid w:val="00A67264"/>
    <w:rsid w:val="00A67276"/>
    <w:rsid w:val="00A6730E"/>
    <w:rsid w:val="00A67472"/>
    <w:rsid w:val="00A674CD"/>
    <w:rsid w:val="00A674E8"/>
    <w:rsid w:val="00A67590"/>
    <w:rsid w:val="00A67597"/>
    <w:rsid w:val="00A67642"/>
    <w:rsid w:val="00A67A3F"/>
    <w:rsid w:val="00A67A81"/>
    <w:rsid w:val="00A67A85"/>
    <w:rsid w:val="00A67AB9"/>
    <w:rsid w:val="00A67D07"/>
    <w:rsid w:val="00A67E45"/>
    <w:rsid w:val="00A67E53"/>
    <w:rsid w:val="00A67ED6"/>
    <w:rsid w:val="00A7025D"/>
    <w:rsid w:val="00A7041C"/>
    <w:rsid w:val="00A70494"/>
    <w:rsid w:val="00A70495"/>
    <w:rsid w:val="00A704BD"/>
    <w:rsid w:val="00A70A89"/>
    <w:rsid w:val="00A70D1B"/>
    <w:rsid w:val="00A70EFA"/>
    <w:rsid w:val="00A710E6"/>
    <w:rsid w:val="00A7129B"/>
    <w:rsid w:val="00A713D3"/>
    <w:rsid w:val="00A714C9"/>
    <w:rsid w:val="00A71586"/>
    <w:rsid w:val="00A715A0"/>
    <w:rsid w:val="00A71679"/>
    <w:rsid w:val="00A717B0"/>
    <w:rsid w:val="00A7185F"/>
    <w:rsid w:val="00A71A9B"/>
    <w:rsid w:val="00A71DF3"/>
    <w:rsid w:val="00A71E75"/>
    <w:rsid w:val="00A720BD"/>
    <w:rsid w:val="00A7230F"/>
    <w:rsid w:val="00A7256E"/>
    <w:rsid w:val="00A7269E"/>
    <w:rsid w:val="00A72743"/>
    <w:rsid w:val="00A727AF"/>
    <w:rsid w:val="00A72833"/>
    <w:rsid w:val="00A72A8A"/>
    <w:rsid w:val="00A72AB1"/>
    <w:rsid w:val="00A72C0C"/>
    <w:rsid w:val="00A72DA8"/>
    <w:rsid w:val="00A730CC"/>
    <w:rsid w:val="00A730D1"/>
    <w:rsid w:val="00A73365"/>
    <w:rsid w:val="00A736BE"/>
    <w:rsid w:val="00A73840"/>
    <w:rsid w:val="00A739BB"/>
    <w:rsid w:val="00A73ABB"/>
    <w:rsid w:val="00A73D69"/>
    <w:rsid w:val="00A74109"/>
    <w:rsid w:val="00A7412D"/>
    <w:rsid w:val="00A7423C"/>
    <w:rsid w:val="00A746BA"/>
    <w:rsid w:val="00A747C2"/>
    <w:rsid w:val="00A74A4A"/>
    <w:rsid w:val="00A74C9C"/>
    <w:rsid w:val="00A74F05"/>
    <w:rsid w:val="00A74F58"/>
    <w:rsid w:val="00A75060"/>
    <w:rsid w:val="00A750F5"/>
    <w:rsid w:val="00A75390"/>
    <w:rsid w:val="00A753D0"/>
    <w:rsid w:val="00A75500"/>
    <w:rsid w:val="00A7591B"/>
    <w:rsid w:val="00A75B11"/>
    <w:rsid w:val="00A75C1F"/>
    <w:rsid w:val="00A75DA7"/>
    <w:rsid w:val="00A75F9A"/>
    <w:rsid w:val="00A760DB"/>
    <w:rsid w:val="00A76268"/>
    <w:rsid w:val="00A7637B"/>
    <w:rsid w:val="00A763EB"/>
    <w:rsid w:val="00A7640F"/>
    <w:rsid w:val="00A767F2"/>
    <w:rsid w:val="00A76973"/>
    <w:rsid w:val="00A76BE6"/>
    <w:rsid w:val="00A76C26"/>
    <w:rsid w:val="00A76C37"/>
    <w:rsid w:val="00A76DF7"/>
    <w:rsid w:val="00A76E28"/>
    <w:rsid w:val="00A76F41"/>
    <w:rsid w:val="00A7720D"/>
    <w:rsid w:val="00A77237"/>
    <w:rsid w:val="00A77399"/>
    <w:rsid w:val="00A7745F"/>
    <w:rsid w:val="00A77504"/>
    <w:rsid w:val="00A776FE"/>
    <w:rsid w:val="00A77741"/>
    <w:rsid w:val="00A77A4A"/>
    <w:rsid w:val="00A77B0B"/>
    <w:rsid w:val="00A77B22"/>
    <w:rsid w:val="00A77D05"/>
    <w:rsid w:val="00A77DD3"/>
    <w:rsid w:val="00A77E3F"/>
    <w:rsid w:val="00A8003A"/>
    <w:rsid w:val="00A800C0"/>
    <w:rsid w:val="00A802C8"/>
    <w:rsid w:val="00A8033B"/>
    <w:rsid w:val="00A803CD"/>
    <w:rsid w:val="00A803D9"/>
    <w:rsid w:val="00A80430"/>
    <w:rsid w:val="00A80476"/>
    <w:rsid w:val="00A80847"/>
    <w:rsid w:val="00A80ADC"/>
    <w:rsid w:val="00A80D0D"/>
    <w:rsid w:val="00A80DE0"/>
    <w:rsid w:val="00A8124D"/>
    <w:rsid w:val="00A81374"/>
    <w:rsid w:val="00A81381"/>
    <w:rsid w:val="00A813F9"/>
    <w:rsid w:val="00A815E4"/>
    <w:rsid w:val="00A816C5"/>
    <w:rsid w:val="00A81701"/>
    <w:rsid w:val="00A81B81"/>
    <w:rsid w:val="00A81E84"/>
    <w:rsid w:val="00A81F22"/>
    <w:rsid w:val="00A81F48"/>
    <w:rsid w:val="00A82129"/>
    <w:rsid w:val="00A821FB"/>
    <w:rsid w:val="00A822AB"/>
    <w:rsid w:val="00A82367"/>
    <w:rsid w:val="00A8242D"/>
    <w:rsid w:val="00A82694"/>
    <w:rsid w:val="00A8273E"/>
    <w:rsid w:val="00A827A9"/>
    <w:rsid w:val="00A827D5"/>
    <w:rsid w:val="00A82881"/>
    <w:rsid w:val="00A8298B"/>
    <w:rsid w:val="00A82C4C"/>
    <w:rsid w:val="00A82C9E"/>
    <w:rsid w:val="00A82D3E"/>
    <w:rsid w:val="00A82F57"/>
    <w:rsid w:val="00A830EA"/>
    <w:rsid w:val="00A831AA"/>
    <w:rsid w:val="00A835EC"/>
    <w:rsid w:val="00A83BEA"/>
    <w:rsid w:val="00A83CB9"/>
    <w:rsid w:val="00A83EC3"/>
    <w:rsid w:val="00A8402E"/>
    <w:rsid w:val="00A840E8"/>
    <w:rsid w:val="00A8450A"/>
    <w:rsid w:val="00A84628"/>
    <w:rsid w:val="00A84C5C"/>
    <w:rsid w:val="00A84CCC"/>
    <w:rsid w:val="00A84CF4"/>
    <w:rsid w:val="00A84D8C"/>
    <w:rsid w:val="00A852F4"/>
    <w:rsid w:val="00A8544E"/>
    <w:rsid w:val="00A856CA"/>
    <w:rsid w:val="00A85924"/>
    <w:rsid w:val="00A85B64"/>
    <w:rsid w:val="00A85C4F"/>
    <w:rsid w:val="00A85DD4"/>
    <w:rsid w:val="00A85DF9"/>
    <w:rsid w:val="00A85DFF"/>
    <w:rsid w:val="00A85E8E"/>
    <w:rsid w:val="00A85FF0"/>
    <w:rsid w:val="00A86035"/>
    <w:rsid w:val="00A86121"/>
    <w:rsid w:val="00A863C1"/>
    <w:rsid w:val="00A86B62"/>
    <w:rsid w:val="00A86BAD"/>
    <w:rsid w:val="00A86DB4"/>
    <w:rsid w:val="00A86FB0"/>
    <w:rsid w:val="00A871C9"/>
    <w:rsid w:val="00A873C4"/>
    <w:rsid w:val="00A87582"/>
    <w:rsid w:val="00A875FD"/>
    <w:rsid w:val="00A876CC"/>
    <w:rsid w:val="00A87724"/>
    <w:rsid w:val="00A87814"/>
    <w:rsid w:val="00A8782B"/>
    <w:rsid w:val="00A87933"/>
    <w:rsid w:val="00A87AEA"/>
    <w:rsid w:val="00A87BE4"/>
    <w:rsid w:val="00A87D27"/>
    <w:rsid w:val="00A87D4B"/>
    <w:rsid w:val="00A87DE1"/>
    <w:rsid w:val="00A87EC1"/>
    <w:rsid w:val="00A87F10"/>
    <w:rsid w:val="00A901B8"/>
    <w:rsid w:val="00A901EA"/>
    <w:rsid w:val="00A90320"/>
    <w:rsid w:val="00A9052A"/>
    <w:rsid w:val="00A905AD"/>
    <w:rsid w:val="00A905D8"/>
    <w:rsid w:val="00A906FC"/>
    <w:rsid w:val="00A90881"/>
    <w:rsid w:val="00A90BDD"/>
    <w:rsid w:val="00A90F26"/>
    <w:rsid w:val="00A90FE9"/>
    <w:rsid w:val="00A91237"/>
    <w:rsid w:val="00A912A3"/>
    <w:rsid w:val="00A91339"/>
    <w:rsid w:val="00A915DA"/>
    <w:rsid w:val="00A91730"/>
    <w:rsid w:val="00A917BA"/>
    <w:rsid w:val="00A91854"/>
    <w:rsid w:val="00A9190D"/>
    <w:rsid w:val="00A91C3B"/>
    <w:rsid w:val="00A91CE5"/>
    <w:rsid w:val="00A91D85"/>
    <w:rsid w:val="00A91E4B"/>
    <w:rsid w:val="00A920B5"/>
    <w:rsid w:val="00A9233D"/>
    <w:rsid w:val="00A92433"/>
    <w:rsid w:val="00A925B2"/>
    <w:rsid w:val="00A925D9"/>
    <w:rsid w:val="00A926BB"/>
    <w:rsid w:val="00A9283D"/>
    <w:rsid w:val="00A92C48"/>
    <w:rsid w:val="00A92EB0"/>
    <w:rsid w:val="00A93180"/>
    <w:rsid w:val="00A931F6"/>
    <w:rsid w:val="00A93250"/>
    <w:rsid w:val="00A9348A"/>
    <w:rsid w:val="00A93564"/>
    <w:rsid w:val="00A93651"/>
    <w:rsid w:val="00A93839"/>
    <w:rsid w:val="00A939EA"/>
    <w:rsid w:val="00A93AC4"/>
    <w:rsid w:val="00A93B28"/>
    <w:rsid w:val="00A93B99"/>
    <w:rsid w:val="00A93C59"/>
    <w:rsid w:val="00A93DAF"/>
    <w:rsid w:val="00A93DFD"/>
    <w:rsid w:val="00A93F83"/>
    <w:rsid w:val="00A94219"/>
    <w:rsid w:val="00A94899"/>
    <w:rsid w:val="00A94A28"/>
    <w:rsid w:val="00A94A4E"/>
    <w:rsid w:val="00A94C2E"/>
    <w:rsid w:val="00A94CA5"/>
    <w:rsid w:val="00A94D46"/>
    <w:rsid w:val="00A94E35"/>
    <w:rsid w:val="00A94F43"/>
    <w:rsid w:val="00A9526A"/>
    <w:rsid w:val="00A9526F"/>
    <w:rsid w:val="00A952BE"/>
    <w:rsid w:val="00A952C4"/>
    <w:rsid w:val="00A9531B"/>
    <w:rsid w:val="00A9531F"/>
    <w:rsid w:val="00A956C6"/>
    <w:rsid w:val="00A95702"/>
    <w:rsid w:val="00A958A5"/>
    <w:rsid w:val="00A95B23"/>
    <w:rsid w:val="00A95B2E"/>
    <w:rsid w:val="00A95E4C"/>
    <w:rsid w:val="00A96321"/>
    <w:rsid w:val="00A964A4"/>
    <w:rsid w:val="00A96942"/>
    <w:rsid w:val="00A969B1"/>
    <w:rsid w:val="00A96AAF"/>
    <w:rsid w:val="00A96AE0"/>
    <w:rsid w:val="00A96B20"/>
    <w:rsid w:val="00A96C14"/>
    <w:rsid w:val="00A96CD1"/>
    <w:rsid w:val="00A96D60"/>
    <w:rsid w:val="00A96EB8"/>
    <w:rsid w:val="00A97138"/>
    <w:rsid w:val="00A97182"/>
    <w:rsid w:val="00A9729F"/>
    <w:rsid w:val="00A976AF"/>
    <w:rsid w:val="00A976BE"/>
    <w:rsid w:val="00A97732"/>
    <w:rsid w:val="00A97A7D"/>
    <w:rsid w:val="00A97D7A"/>
    <w:rsid w:val="00AA002C"/>
    <w:rsid w:val="00AA0175"/>
    <w:rsid w:val="00AA02A8"/>
    <w:rsid w:val="00AA02B7"/>
    <w:rsid w:val="00AA03A9"/>
    <w:rsid w:val="00AA07DF"/>
    <w:rsid w:val="00AA07E0"/>
    <w:rsid w:val="00AA08A2"/>
    <w:rsid w:val="00AA09E5"/>
    <w:rsid w:val="00AA0A23"/>
    <w:rsid w:val="00AA0B1D"/>
    <w:rsid w:val="00AA0CC3"/>
    <w:rsid w:val="00AA0CF6"/>
    <w:rsid w:val="00AA0DDD"/>
    <w:rsid w:val="00AA0DE9"/>
    <w:rsid w:val="00AA0FF6"/>
    <w:rsid w:val="00AA1267"/>
    <w:rsid w:val="00AA14F3"/>
    <w:rsid w:val="00AA1589"/>
    <w:rsid w:val="00AA16B7"/>
    <w:rsid w:val="00AA18DF"/>
    <w:rsid w:val="00AA193C"/>
    <w:rsid w:val="00AA1F14"/>
    <w:rsid w:val="00AA1F1B"/>
    <w:rsid w:val="00AA2182"/>
    <w:rsid w:val="00AA219B"/>
    <w:rsid w:val="00AA26B8"/>
    <w:rsid w:val="00AA2794"/>
    <w:rsid w:val="00AA27C5"/>
    <w:rsid w:val="00AA2969"/>
    <w:rsid w:val="00AA2DD4"/>
    <w:rsid w:val="00AA2E7B"/>
    <w:rsid w:val="00AA2FFE"/>
    <w:rsid w:val="00AA3031"/>
    <w:rsid w:val="00AA30F3"/>
    <w:rsid w:val="00AA35A3"/>
    <w:rsid w:val="00AA36C9"/>
    <w:rsid w:val="00AA36E1"/>
    <w:rsid w:val="00AA3866"/>
    <w:rsid w:val="00AA38E4"/>
    <w:rsid w:val="00AA39CE"/>
    <w:rsid w:val="00AA39FB"/>
    <w:rsid w:val="00AA3AB9"/>
    <w:rsid w:val="00AA40DB"/>
    <w:rsid w:val="00AA4525"/>
    <w:rsid w:val="00AA45BA"/>
    <w:rsid w:val="00AA4A25"/>
    <w:rsid w:val="00AA4AFC"/>
    <w:rsid w:val="00AA4BD9"/>
    <w:rsid w:val="00AA4C18"/>
    <w:rsid w:val="00AA4C60"/>
    <w:rsid w:val="00AA4F27"/>
    <w:rsid w:val="00AA4F33"/>
    <w:rsid w:val="00AA543B"/>
    <w:rsid w:val="00AA5776"/>
    <w:rsid w:val="00AA5BC8"/>
    <w:rsid w:val="00AA5C46"/>
    <w:rsid w:val="00AA5E66"/>
    <w:rsid w:val="00AA61D4"/>
    <w:rsid w:val="00AA629B"/>
    <w:rsid w:val="00AA62E5"/>
    <w:rsid w:val="00AA62FC"/>
    <w:rsid w:val="00AA6420"/>
    <w:rsid w:val="00AA645A"/>
    <w:rsid w:val="00AA6497"/>
    <w:rsid w:val="00AA64B5"/>
    <w:rsid w:val="00AA663D"/>
    <w:rsid w:val="00AA68DF"/>
    <w:rsid w:val="00AA68E3"/>
    <w:rsid w:val="00AA69D4"/>
    <w:rsid w:val="00AA6B51"/>
    <w:rsid w:val="00AA6B8B"/>
    <w:rsid w:val="00AA6D23"/>
    <w:rsid w:val="00AA6E0A"/>
    <w:rsid w:val="00AA70E5"/>
    <w:rsid w:val="00AA7441"/>
    <w:rsid w:val="00AA74B2"/>
    <w:rsid w:val="00AA7527"/>
    <w:rsid w:val="00AA78E0"/>
    <w:rsid w:val="00AA7C8E"/>
    <w:rsid w:val="00AA7E6E"/>
    <w:rsid w:val="00AA7FB2"/>
    <w:rsid w:val="00AB0096"/>
    <w:rsid w:val="00AB0272"/>
    <w:rsid w:val="00AB032B"/>
    <w:rsid w:val="00AB0489"/>
    <w:rsid w:val="00AB048C"/>
    <w:rsid w:val="00AB0669"/>
    <w:rsid w:val="00AB06E5"/>
    <w:rsid w:val="00AB0C66"/>
    <w:rsid w:val="00AB0D08"/>
    <w:rsid w:val="00AB102E"/>
    <w:rsid w:val="00AB1194"/>
    <w:rsid w:val="00AB11D3"/>
    <w:rsid w:val="00AB11E2"/>
    <w:rsid w:val="00AB1461"/>
    <w:rsid w:val="00AB1500"/>
    <w:rsid w:val="00AB159F"/>
    <w:rsid w:val="00AB1665"/>
    <w:rsid w:val="00AB1734"/>
    <w:rsid w:val="00AB19E9"/>
    <w:rsid w:val="00AB1AE1"/>
    <w:rsid w:val="00AB1B6E"/>
    <w:rsid w:val="00AB1B77"/>
    <w:rsid w:val="00AB1CF3"/>
    <w:rsid w:val="00AB1EFB"/>
    <w:rsid w:val="00AB1F06"/>
    <w:rsid w:val="00AB1F81"/>
    <w:rsid w:val="00AB2094"/>
    <w:rsid w:val="00AB2172"/>
    <w:rsid w:val="00AB25C7"/>
    <w:rsid w:val="00AB26A1"/>
    <w:rsid w:val="00AB26C3"/>
    <w:rsid w:val="00AB27A9"/>
    <w:rsid w:val="00AB27DE"/>
    <w:rsid w:val="00AB290E"/>
    <w:rsid w:val="00AB2CF0"/>
    <w:rsid w:val="00AB2D12"/>
    <w:rsid w:val="00AB3053"/>
    <w:rsid w:val="00AB3174"/>
    <w:rsid w:val="00AB330F"/>
    <w:rsid w:val="00AB3342"/>
    <w:rsid w:val="00AB33F2"/>
    <w:rsid w:val="00AB343F"/>
    <w:rsid w:val="00AB351D"/>
    <w:rsid w:val="00AB35DA"/>
    <w:rsid w:val="00AB3701"/>
    <w:rsid w:val="00AB3799"/>
    <w:rsid w:val="00AB39EC"/>
    <w:rsid w:val="00AB3A8D"/>
    <w:rsid w:val="00AB3B13"/>
    <w:rsid w:val="00AB3C27"/>
    <w:rsid w:val="00AB3CE1"/>
    <w:rsid w:val="00AB3DE4"/>
    <w:rsid w:val="00AB4033"/>
    <w:rsid w:val="00AB446B"/>
    <w:rsid w:val="00AB4542"/>
    <w:rsid w:val="00AB456E"/>
    <w:rsid w:val="00AB45D3"/>
    <w:rsid w:val="00AB4645"/>
    <w:rsid w:val="00AB479F"/>
    <w:rsid w:val="00AB47B9"/>
    <w:rsid w:val="00AB4AD0"/>
    <w:rsid w:val="00AB4BF2"/>
    <w:rsid w:val="00AB4BFF"/>
    <w:rsid w:val="00AB4EB7"/>
    <w:rsid w:val="00AB4EF7"/>
    <w:rsid w:val="00AB4F75"/>
    <w:rsid w:val="00AB4F78"/>
    <w:rsid w:val="00AB4FD4"/>
    <w:rsid w:val="00AB555E"/>
    <w:rsid w:val="00AB556E"/>
    <w:rsid w:val="00AB55FB"/>
    <w:rsid w:val="00AB5690"/>
    <w:rsid w:val="00AB56F5"/>
    <w:rsid w:val="00AB5703"/>
    <w:rsid w:val="00AB5711"/>
    <w:rsid w:val="00AB57D3"/>
    <w:rsid w:val="00AB57FB"/>
    <w:rsid w:val="00AB5884"/>
    <w:rsid w:val="00AB59D8"/>
    <w:rsid w:val="00AB5B86"/>
    <w:rsid w:val="00AB5CC0"/>
    <w:rsid w:val="00AB5D2D"/>
    <w:rsid w:val="00AB5F21"/>
    <w:rsid w:val="00AB5FC3"/>
    <w:rsid w:val="00AB6315"/>
    <w:rsid w:val="00AB63AA"/>
    <w:rsid w:val="00AB6425"/>
    <w:rsid w:val="00AB6524"/>
    <w:rsid w:val="00AB6813"/>
    <w:rsid w:val="00AB6F2A"/>
    <w:rsid w:val="00AB6FD5"/>
    <w:rsid w:val="00AB7081"/>
    <w:rsid w:val="00AB7132"/>
    <w:rsid w:val="00AB725B"/>
    <w:rsid w:val="00AB72A2"/>
    <w:rsid w:val="00AB72B2"/>
    <w:rsid w:val="00AB7307"/>
    <w:rsid w:val="00AB734D"/>
    <w:rsid w:val="00AB74E6"/>
    <w:rsid w:val="00AB7895"/>
    <w:rsid w:val="00AB7DC2"/>
    <w:rsid w:val="00AB7E5B"/>
    <w:rsid w:val="00AB7E6B"/>
    <w:rsid w:val="00AB7EF5"/>
    <w:rsid w:val="00AC002A"/>
    <w:rsid w:val="00AC0327"/>
    <w:rsid w:val="00AC0427"/>
    <w:rsid w:val="00AC0595"/>
    <w:rsid w:val="00AC05F8"/>
    <w:rsid w:val="00AC0D4E"/>
    <w:rsid w:val="00AC0E09"/>
    <w:rsid w:val="00AC0ECF"/>
    <w:rsid w:val="00AC0ED3"/>
    <w:rsid w:val="00AC104D"/>
    <w:rsid w:val="00AC10CB"/>
    <w:rsid w:val="00AC10D9"/>
    <w:rsid w:val="00AC11CD"/>
    <w:rsid w:val="00AC11D8"/>
    <w:rsid w:val="00AC143B"/>
    <w:rsid w:val="00AC169B"/>
    <w:rsid w:val="00AC16A8"/>
    <w:rsid w:val="00AC17CB"/>
    <w:rsid w:val="00AC184F"/>
    <w:rsid w:val="00AC1A7A"/>
    <w:rsid w:val="00AC1B10"/>
    <w:rsid w:val="00AC1B13"/>
    <w:rsid w:val="00AC1C55"/>
    <w:rsid w:val="00AC2030"/>
    <w:rsid w:val="00AC20E6"/>
    <w:rsid w:val="00AC224D"/>
    <w:rsid w:val="00AC239B"/>
    <w:rsid w:val="00AC28F1"/>
    <w:rsid w:val="00AC2932"/>
    <w:rsid w:val="00AC2983"/>
    <w:rsid w:val="00AC2B2A"/>
    <w:rsid w:val="00AC2B62"/>
    <w:rsid w:val="00AC2C3F"/>
    <w:rsid w:val="00AC2CA7"/>
    <w:rsid w:val="00AC2D53"/>
    <w:rsid w:val="00AC2E27"/>
    <w:rsid w:val="00AC2F22"/>
    <w:rsid w:val="00AC3038"/>
    <w:rsid w:val="00AC3050"/>
    <w:rsid w:val="00AC3151"/>
    <w:rsid w:val="00AC31FB"/>
    <w:rsid w:val="00AC324E"/>
    <w:rsid w:val="00AC3302"/>
    <w:rsid w:val="00AC34C0"/>
    <w:rsid w:val="00AC37C1"/>
    <w:rsid w:val="00AC37E8"/>
    <w:rsid w:val="00AC3927"/>
    <w:rsid w:val="00AC3B48"/>
    <w:rsid w:val="00AC3C75"/>
    <w:rsid w:val="00AC3CFC"/>
    <w:rsid w:val="00AC4076"/>
    <w:rsid w:val="00AC408D"/>
    <w:rsid w:val="00AC450E"/>
    <w:rsid w:val="00AC456F"/>
    <w:rsid w:val="00AC460C"/>
    <w:rsid w:val="00AC4827"/>
    <w:rsid w:val="00AC4A29"/>
    <w:rsid w:val="00AC4A58"/>
    <w:rsid w:val="00AC4C63"/>
    <w:rsid w:val="00AC4E57"/>
    <w:rsid w:val="00AC4F62"/>
    <w:rsid w:val="00AC52D2"/>
    <w:rsid w:val="00AC5365"/>
    <w:rsid w:val="00AC5558"/>
    <w:rsid w:val="00AC572E"/>
    <w:rsid w:val="00AC575A"/>
    <w:rsid w:val="00AC5C18"/>
    <w:rsid w:val="00AC5FEE"/>
    <w:rsid w:val="00AC62B9"/>
    <w:rsid w:val="00AC633C"/>
    <w:rsid w:val="00AC6340"/>
    <w:rsid w:val="00AC6391"/>
    <w:rsid w:val="00AC64D8"/>
    <w:rsid w:val="00AC64F3"/>
    <w:rsid w:val="00AC65C4"/>
    <w:rsid w:val="00AC6717"/>
    <w:rsid w:val="00AC687F"/>
    <w:rsid w:val="00AC6964"/>
    <w:rsid w:val="00AC697E"/>
    <w:rsid w:val="00AC6C13"/>
    <w:rsid w:val="00AC6C98"/>
    <w:rsid w:val="00AC6DCE"/>
    <w:rsid w:val="00AC71D0"/>
    <w:rsid w:val="00AC71DA"/>
    <w:rsid w:val="00AC735B"/>
    <w:rsid w:val="00AC74E1"/>
    <w:rsid w:val="00AC7672"/>
    <w:rsid w:val="00AC7754"/>
    <w:rsid w:val="00AC7890"/>
    <w:rsid w:val="00AC78F9"/>
    <w:rsid w:val="00AC7A08"/>
    <w:rsid w:val="00AC7B6E"/>
    <w:rsid w:val="00AC7BD2"/>
    <w:rsid w:val="00AC7C30"/>
    <w:rsid w:val="00AC7DB1"/>
    <w:rsid w:val="00AC7DE8"/>
    <w:rsid w:val="00AD003D"/>
    <w:rsid w:val="00AD01ED"/>
    <w:rsid w:val="00AD03DF"/>
    <w:rsid w:val="00AD05B9"/>
    <w:rsid w:val="00AD0662"/>
    <w:rsid w:val="00AD0764"/>
    <w:rsid w:val="00AD08DB"/>
    <w:rsid w:val="00AD0D8D"/>
    <w:rsid w:val="00AD0E10"/>
    <w:rsid w:val="00AD0FA8"/>
    <w:rsid w:val="00AD1024"/>
    <w:rsid w:val="00AD11A6"/>
    <w:rsid w:val="00AD121D"/>
    <w:rsid w:val="00AD1478"/>
    <w:rsid w:val="00AD157D"/>
    <w:rsid w:val="00AD17C6"/>
    <w:rsid w:val="00AD1818"/>
    <w:rsid w:val="00AD19A0"/>
    <w:rsid w:val="00AD1E43"/>
    <w:rsid w:val="00AD1F2A"/>
    <w:rsid w:val="00AD1F74"/>
    <w:rsid w:val="00AD1FCE"/>
    <w:rsid w:val="00AD20B7"/>
    <w:rsid w:val="00AD24C7"/>
    <w:rsid w:val="00AD2E18"/>
    <w:rsid w:val="00AD3155"/>
    <w:rsid w:val="00AD33B5"/>
    <w:rsid w:val="00AD3425"/>
    <w:rsid w:val="00AD3682"/>
    <w:rsid w:val="00AD37F5"/>
    <w:rsid w:val="00AD3A18"/>
    <w:rsid w:val="00AD3E27"/>
    <w:rsid w:val="00AD41C9"/>
    <w:rsid w:val="00AD4545"/>
    <w:rsid w:val="00AD45F2"/>
    <w:rsid w:val="00AD477D"/>
    <w:rsid w:val="00AD49C8"/>
    <w:rsid w:val="00AD4ACC"/>
    <w:rsid w:val="00AD4B65"/>
    <w:rsid w:val="00AD4C9F"/>
    <w:rsid w:val="00AD4E24"/>
    <w:rsid w:val="00AD50AE"/>
    <w:rsid w:val="00AD5282"/>
    <w:rsid w:val="00AD53D6"/>
    <w:rsid w:val="00AD55FC"/>
    <w:rsid w:val="00AD5686"/>
    <w:rsid w:val="00AD57DB"/>
    <w:rsid w:val="00AD59B6"/>
    <w:rsid w:val="00AD5A22"/>
    <w:rsid w:val="00AD5AFA"/>
    <w:rsid w:val="00AD5F5E"/>
    <w:rsid w:val="00AD60A0"/>
    <w:rsid w:val="00AD62E7"/>
    <w:rsid w:val="00AD6353"/>
    <w:rsid w:val="00AD64F1"/>
    <w:rsid w:val="00AD6527"/>
    <w:rsid w:val="00AD66DE"/>
    <w:rsid w:val="00AD67AC"/>
    <w:rsid w:val="00AD67C5"/>
    <w:rsid w:val="00AD69A8"/>
    <w:rsid w:val="00AD6A68"/>
    <w:rsid w:val="00AD7101"/>
    <w:rsid w:val="00AD7218"/>
    <w:rsid w:val="00AD7305"/>
    <w:rsid w:val="00AD7573"/>
    <w:rsid w:val="00AD792D"/>
    <w:rsid w:val="00AD7994"/>
    <w:rsid w:val="00AD7A66"/>
    <w:rsid w:val="00AD7B52"/>
    <w:rsid w:val="00AD7E0A"/>
    <w:rsid w:val="00AD7EB6"/>
    <w:rsid w:val="00AE0323"/>
    <w:rsid w:val="00AE045F"/>
    <w:rsid w:val="00AE0556"/>
    <w:rsid w:val="00AE0827"/>
    <w:rsid w:val="00AE087C"/>
    <w:rsid w:val="00AE08C3"/>
    <w:rsid w:val="00AE0DAA"/>
    <w:rsid w:val="00AE0E48"/>
    <w:rsid w:val="00AE0F6A"/>
    <w:rsid w:val="00AE11D3"/>
    <w:rsid w:val="00AE1480"/>
    <w:rsid w:val="00AE1775"/>
    <w:rsid w:val="00AE189A"/>
    <w:rsid w:val="00AE189C"/>
    <w:rsid w:val="00AE1938"/>
    <w:rsid w:val="00AE196D"/>
    <w:rsid w:val="00AE1A50"/>
    <w:rsid w:val="00AE1B9B"/>
    <w:rsid w:val="00AE1BB9"/>
    <w:rsid w:val="00AE1F80"/>
    <w:rsid w:val="00AE1FD7"/>
    <w:rsid w:val="00AE2041"/>
    <w:rsid w:val="00AE2058"/>
    <w:rsid w:val="00AE2226"/>
    <w:rsid w:val="00AE256D"/>
    <w:rsid w:val="00AE2592"/>
    <w:rsid w:val="00AE2597"/>
    <w:rsid w:val="00AE266D"/>
    <w:rsid w:val="00AE270E"/>
    <w:rsid w:val="00AE2837"/>
    <w:rsid w:val="00AE2A96"/>
    <w:rsid w:val="00AE2B57"/>
    <w:rsid w:val="00AE2B7A"/>
    <w:rsid w:val="00AE2BCE"/>
    <w:rsid w:val="00AE2D50"/>
    <w:rsid w:val="00AE2E78"/>
    <w:rsid w:val="00AE311F"/>
    <w:rsid w:val="00AE3139"/>
    <w:rsid w:val="00AE338A"/>
    <w:rsid w:val="00AE3513"/>
    <w:rsid w:val="00AE380D"/>
    <w:rsid w:val="00AE3A30"/>
    <w:rsid w:val="00AE3BFB"/>
    <w:rsid w:val="00AE4123"/>
    <w:rsid w:val="00AE4216"/>
    <w:rsid w:val="00AE428A"/>
    <w:rsid w:val="00AE449D"/>
    <w:rsid w:val="00AE45F6"/>
    <w:rsid w:val="00AE4774"/>
    <w:rsid w:val="00AE4A01"/>
    <w:rsid w:val="00AE4AA0"/>
    <w:rsid w:val="00AE4B7D"/>
    <w:rsid w:val="00AE4DB7"/>
    <w:rsid w:val="00AE4F33"/>
    <w:rsid w:val="00AE4F9D"/>
    <w:rsid w:val="00AE504E"/>
    <w:rsid w:val="00AE51C4"/>
    <w:rsid w:val="00AE525E"/>
    <w:rsid w:val="00AE5269"/>
    <w:rsid w:val="00AE533F"/>
    <w:rsid w:val="00AE53A4"/>
    <w:rsid w:val="00AE5570"/>
    <w:rsid w:val="00AE5596"/>
    <w:rsid w:val="00AE5624"/>
    <w:rsid w:val="00AE576D"/>
    <w:rsid w:val="00AE5BA2"/>
    <w:rsid w:val="00AE5C28"/>
    <w:rsid w:val="00AE5D4E"/>
    <w:rsid w:val="00AE5D77"/>
    <w:rsid w:val="00AE5EE8"/>
    <w:rsid w:val="00AE6201"/>
    <w:rsid w:val="00AE64C6"/>
    <w:rsid w:val="00AE64DE"/>
    <w:rsid w:val="00AE657D"/>
    <w:rsid w:val="00AE686A"/>
    <w:rsid w:val="00AE6BD1"/>
    <w:rsid w:val="00AE6E7D"/>
    <w:rsid w:val="00AE6FDA"/>
    <w:rsid w:val="00AE71A7"/>
    <w:rsid w:val="00AE79C1"/>
    <w:rsid w:val="00AE79CD"/>
    <w:rsid w:val="00AE7A4C"/>
    <w:rsid w:val="00AE7C58"/>
    <w:rsid w:val="00AE7C80"/>
    <w:rsid w:val="00AE7CFF"/>
    <w:rsid w:val="00AE7D8E"/>
    <w:rsid w:val="00AE7DBF"/>
    <w:rsid w:val="00AE7FDE"/>
    <w:rsid w:val="00AF0182"/>
    <w:rsid w:val="00AF0202"/>
    <w:rsid w:val="00AF023D"/>
    <w:rsid w:val="00AF0448"/>
    <w:rsid w:val="00AF074F"/>
    <w:rsid w:val="00AF07B4"/>
    <w:rsid w:val="00AF0851"/>
    <w:rsid w:val="00AF0A16"/>
    <w:rsid w:val="00AF0C48"/>
    <w:rsid w:val="00AF0DAC"/>
    <w:rsid w:val="00AF0E7F"/>
    <w:rsid w:val="00AF0EF0"/>
    <w:rsid w:val="00AF107A"/>
    <w:rsid w:val="00AF1326"/>
    <w:rsid w:val="00AF1518"/>
    <w:rsid w:val="00AF16F3"/>
    <w:rsid w:val="00AF18A6"/>
    <w:rsid w:val="00AF1915"/>
    <w:rsid w:val="00AF199E"/>
    <w:rsid w:val="00AF1B2B"/>
    <w:rsid w:val="00AF1BE7"/>
    <w:rsid w:val="00AF1F6E"/>
    <w:rsid w:val="00AF20CC"/>
    <w:rsid w:val="00AF2263"/>
    <w:rsid w:val="00AF22EA"/>
    <w:rsid w:val="00AF236C"/>
    <w:rsid w:val="00AF253E"/>
    <w:rsid w:val="00AF25A3"/>
    <w:rsid w:val="00AF2A67"/>
    <w:rsid w:val="00AF2C52"/>
    <w:rsid w:val="00AF2C59"/>
    <w:rsid w:val="00AF2C6E"/>
    <w:rsid w:val="00AF2D3E"/>
    <w:rsid w:val="00AF31CB"/>
    <w:rsid w:val="00AF3269"/>
    <w:rsid w:val="00AF327E"/>
    <w:rsid w:val="00AF364E"/>
    <w:rsid w:val="00AF373E"/>
    <w:rsid w:val="00AF37DC"/>
    <w:rsid w:val="00AF39EC"/>
    <w:rsid w:val="00AF3B32"/>
    <w:rsid w:val="00AF3D28"/>
    <w:rsid w:val="00AF46B8"/>
    <w:rsid w:val="00AF46D7"/>
    <w:rsid w:val="00AF4782"/>
    <w:rsid w:val="00AF47C6"/>
    <w:rsid w:val="00AF4925"/>
    <w:rsid w:val="00AF4AA9"/>
    <w:rsid w:val="00AF4E5F"/>
    <w:rsid w:val="00AF5011"/>
    <w:rsid w:val="00AF50EC"/>
    <w:rsid w:val="00AF5166"/>
    <w:rsid w:val="00AF531E"/>
    <w:rsid w:val="00AF540C"/>
    <w:rsid w:val="00AF5704"/>
    <w:rsid w:val="00AF57D6"/>
    <w:rsid w:val="00AF5834"/>
    <w:rsid w:val="00AF5AAA"/>
    <w:rsid w:val="00AF5B10"/>
    <w:rsid w:val="00AF5CDF"/>
    <w:rsid w:val="00AF5DD7"/>
    <w:rsid w:val="00AF5FC0"/>
    <w:rsid w:val="00AF63AC"/>
    <w:rsid w:val="00AF6405"/>
    <w:rsid w:val="00AF654D"/>
    <w:rsid w:val="00AF6724"/>
    <w:rsid w:val="00AF6898"/>
    <w:rsid w:val="00AF6A90"/>
    <w:rsid w:val="00AF6BEE"/>
    <w:rsid w:val="00AF6CD1"/>
    <w:rsid w:val="00AF6CFA"/>
    <w:rsid w:val="00AF6D02"/>
    <w:rsid w:val="00AF6EC4"/>
    <w:rsid w:val="00AF6F05"/>
    <w:rsid w:val="00AF7064"/>
    <w:rsid w:val="00AF7415"/>
    <w:rsid w:val="00AF7418"/>
    <w:rsid w:val="00AF75EA"/>
    <w:rsid w:val="00AF7718"/>
    <w:rsid w:val="00AF7A69"/>
    <w:rsid w:val="00AF7AF8"/>
    <w:rsid w:val="00AF7C7A"/>
    <w:rsid w:val="00B0003B"/>
    <w:rsid w:val="00B00134"/>
    <w:rsid w:val="00B004B1"/>
    <w:rsid w:val="00B0092C"/>
    <w:rsid w:val="00B00B5C"/>
    <w:rsid w:val="00B00CCF"/>
    <w:rsid w:val="00B00CE6"/>
    <w:rsid w:val="00B00E56"/>
    <w:rsid w:val="00B00FA6"/>
    <w:rsid w:val="00B01126"/>
    <w:rsid w:val="00B0115A"/>
    <w:rsid w:val="00B0126C"/>
    <w:rsid w:val="00B01349"/>
    <w:rsid w:val="00B013D9"/>
    <w:rsid w:val="00B016AF"/>
    <w:rsid w:val="00B01705"/>
    <w:rsid w:val="00B0176C"/>
    <w:rsid w:val="00B01981"/>
    <w:rsid w:val="00B01B08"/>
    <w:rsid w:val="00B01FAF"/>
    <w:rsid w:val="00B02088"/>
    <w:rsid w:val="00B02154"/>
    <w:rsid w:val="00B021C4"/>
    <w:rsid w:val="00B022AF"/>
    <w:rsid w:val="00B022CB"/>
    <w:rsid w:val="00B02368"/>
    <w:rsid w:val="00B02434"/>
    <w:rsid w:val="00B024E1"/>
    <w:rsid w:val="00B02A9A"/>
    <w:rsid w:val="00B02AD5"/>
    <w:rsid w:val="00B02B4E"/>
    <w:rsid w:val="00B02C92"/>
    <w:rsid w:val="00B02CF4"/>
    <w:rsid w:val="00B02DC7"/>
    <w:rsid w:val="00B0304D"/>
    <w:rsid w:val="00B03071"/>
    <w:rsid w:val="00B03422"/>
    <w:rsid w:val="00B03433"/>
    <w:rsid w:val="00B0372E"/>
    <w:rsid w:val="00B03A2A"/>
    <w:rsid w:val="00B03A7A"/>
    <w:rsid w:val="00B03CCD"/>
    <w:rsid w:val="00B03DA7"/>
    <w:rsid w:val="00B041F5"/>
    <w:rsid w:val="00B04495"/>
    <w:rsid w:val="00B04599"/>
    <w:rsid w:val="00B045E6"/>
    <w:rsid w:val="00B049F4"/>
    <w:rsid w:val="00B04B34"/>
    <w:rsid w:val="00B0512A"/>
    <w:rsid w:val="00B05268"/>
    <w:rsid w:val="00B052CE"/>
    <w:rsid w:val="00B05430"/>
    <w:rsid w:val="00B0548D"/>
    <w:rsid w:val="00B05671"/>
    <w:rsid w:val="00B05829"/>
    <w:rsid w:val="00B059AE"/>
    <w:rsid w:val="00B05B55"/>
    <w:rsid w:val="00B05BF9"/>
    <w:rsid w:val="00B05D4A"/>
    <w:rsid w:val="00B05DD6"/>
    <w:rsid w:val="00B05EE2"/>
    <w:rsid w:val="00B05FCF"/>
    <w:rsid w:val="00B060F9"/>
    <w:rsid w:val="00B063C7"/>
    <w:rsid w:val="00B06544"/>
    <w:rsid w:val="00B0656F"/>
    <w:rsid w:val="00B06791"/>
    <w:rsid w:val="00B069D7"/>
    <w:rsid w:val="00B06A71"/>
    <w:rsid w:val="00B06B0E"/>
    <w:rsid w:val="00B06C54"/>
    <w:rsid w:val="00B06D2A"/>
    <w:rsid w:val="00B06E90"/>
    <w:rsid w:val="00B06FF7"/>
    <w:rsid w:val="00B07027"/>
    <w:rsid w:val="00B07456"/>
    <w:rsid w:val="00B074C9"/>
    <w:rsid w:val="00B07514"/>
    <w:rsid w:val="00B07563"/>
    <w:rsid w:val="00B07710"/>
    <w:rsid w:val="00B07AF1"/>
    <w:rsid w:val="00B07BA2"/>
    <w:rsid w:val="00B07BB0"/>
    <w:rsid w:val="00B07BF2"/>
    <w:rsid w:val="00B07E54"/>
    <w:rsid w:val="00B07EF7"/>
    <w:rsid w:val="00B10002"/>
    <w:rsid w:val="00B102DA"/>
    <w:rsid w:val="00B10332"/>
    <w:rsid w:val="00B10362"/>
    <w:rsid w:val="00B10367"/>
    <w:rsid w:val="00B10489"/>
    <w:rsid w:val="00B1049D"/>
    <w:rsid w:val="00B104C2"/>
    <w:rsid w:val="00B1054E"/>
    <w:rsid w:val="00B1059A"/>
    <w:rsid w:val="00B105CF"/>
    <w:rsid w:val="00B10810"/>
    <w:rsid w:val="00B10B8F"/>
    <w:rsid w:val="00B10E0B"/>
    <w:rsid w:val="00B10F0C"/>
    <w:rsid w:val="00B11114"/>
    <w:rsid w:val="00B11234"/>
    <w:rsid w:val="00B11297"/>
    <w:rsid w:val="00B112F3"/>
    <w:rsid w:val="00B11377"/>
    <w:rsid w:val="00B1157A"/>
    <w:rsid w:val="00B115FE"/>
    <w:rsid w:val="00B116D3"/>
    <w:rsid w:val="00B117CA"/>
    <w:rsid w:val="00B11934"/>
    <w:rsid w:val="00B11A07"/>
    <w:rsid w:val="00B11B53"/>
    <w:rsid w:val="00B11BF4"/>
    <w:rsid w:val="00B11C76"/>
    <w:rsid w:val="00B11DF0"/>
    <w:rsid w:val="00B11F2C"/>
    <w:rsid w:val="00B11F4B"/>
    <w:rsid w:val="00B1200A"/>
    <w:rsid w:val="00B1234B"/>
    <w:rsid w:val="00B124EE"/>
    <w:rsid w:val="00B1252F"/>
    <w:rsid w:val="00B1253A"/>
    <w:rsid w:val="00B1260A"/>
    <w:rsid w:val="00B12934"/>
    <w:rsid w:val="00B129E3"/>
    <w:rsid w:val="00B12AEC"/>
    <w:rsid w:val="00B12BF8"/>
    <w:rsid w:val="00B12CB3"/>
    <w:rsid w:val="00B12D65"/>
    <w:rsid w:val="00B132EE"/>
    <w:rsid w:val="00B13336"/>
    <w:rsid w:val="00B13497"/>
    <w:rsid w:val="00B13692"/>
    <w:rsid w:val="00B136EC"/>
    <w:rsid w:val="00B1386B"/>
    <w:rsid w:val="00B138F0"/>
    <w:rsid w:val="00B13972"/>
    <w:rsid w:val="00B13CC2"/>
    <w:rsid w:val="00B13DE5"/>
    <w:rsid w:val="00B13EDD"/>
    <w:rsid w:val="00B13F26"/>
    <w:rsid w:val="00B13FB3"/>
    <w:rsid w:val="00B140B0"/>
    <w:rsid w:val="00B140F6"/>
    <w:rsid w:val="00B14234"/>
    <w:rsid w:val="00B145A0"/>
    <w:rsid w:val="00B1498E"/>
    <w:rsid w:val="00B149AD"/>
    <w:rsid w:val="00B14C5F"/>
    <w:rsid w:val="00B14DB0"/>
    <w:rsid w:val="00B14EA3"/>
    <w:rsid w:val="00B14EFF"/>
    <w:rsid w:val="00B151AA"/>
    <w:rsid w:val="00B1535F"/>
    <w:rsid w:val="00B15378"/>
    <w:rsid w:val="00B1540F"/>
    <w:rsid w:val="00B154CF"/>
    <w:rsid w:val="00B155C0"/>
    <w:rsid w:val="00B15721"/>
    <w:rsid w:val="00B15A63"/>
    <w:rsid w:val="00B15FC5"/>
    <w:rsid w:val="00B16257"/>
    <w:rsid w:val="00B16349"/>
    <w:rsid w:val="00B1667D"/>
    <w:rsid w:val="00B16690"/>
    <w:rsid w:val="00B1698D"/>
    <w:rsid w:val="00B16A3A"/>
    <w:rsid w:val="00B16B06"/>
    <w:rsid w:val="00B16CED"/>
    <w:rsid w:val="00B16EEA"/>
    <w:rsid w:val="00B170E4"/>
    <w:rsid w:val="00B174C3"/>
    <w:rsid w:val="00B174D9"/>
    <w:rsid w:val="00B1759E"/>
    <w:rsid w:val="00B176AC"/>
    <w:rsid w:val="00B176DF"/>
    <w:rsid w:val="00B179D9"/>
    <w:rsid w:val="00B17A77"/>
    <w:rsid w:val="00B17CC5"/>
    <w:rsid w:val="00B17D73"/>
    <w:rsid w:val="00B17E93"/>
    <w:rsid w:val="00B17EAD"/>
    <w:rsid w:val="00B20048"/>
    <w:rsid w:val="00B200B4"/>
    <w:rsid w:val="00B20199"/>
    <w:rsid w:val="00B20448"/>
    <w:rsid w:val="00B204BB"/>
    <w:rsid w:val="00B204F1"/>
    <w:rsid w:val="00B2060A"/>
    <w:rsid w:val="00B20633"/>
    <w:rsid w:val="00B2066B"/>
    <w:rsid w:val="00B208A2"/>
    <w:rsid w:val="00B208F3"/>
    <w:rsid w:val="00B20B16"/>
    <w:rsid w:val="00B20B52"/>
    <w:rsid w:val="00B20C91"/>
    <w:rsid w:val="00B20DE2"/>
    <w:rsid w:val="00B20FDE"/>
    <w:rsid w:val="00B21193"/>
    <w:rsid w:val="00B21237"/>
    <w:rsid w:val="00B214D6"/>
    <w:rsid w:val="00B21582"/>
    <w:rsid w:val="00B2170A"/>
    <w:rsid w:val="00B2194D"/>
    <w:rsid w:val="00B21A3E"/>
    <w:rsid w:val="00B21ACE"/>
    <w:rsid w:val="00B21B7A"/>
    <w:rsid w:val="00B221B2"/>
    <w:rsid w:val="00B221DC"/>
    <w:rsid w:val="00B223B1"/>
    <w:rsid w:val="00B22790"/>
    <w:rsid w:val="00B227FA"/>
    <w:rsid w:val="00B22D92"/>
    <w:rsid w:val="00B22DE5"/>
    <w:rsid w:val="00B23199"/>
    <w:rsid w:val="00B23455"/>
    <w:rsid w:val="00B23584"/>
    <w:rsid w:val="00B2358C"/>
    <w:rsid w:val="00B23628"/>
    <w:rsid w:val="00B2374D"/>
    <w:rsid w:val="00B23778"/>
    <w:rsid w:val="00B23A54"/>
    <w:rsid w:val="00B23B37"/>
    <w:rsid w:val="00B23CC5"/>
    <w:rsid w:val="00B23CE2"/>
    <w:rsid w:val="00B23EE6"/>
    <w:rsid w:val="00B24044"/>
    <w:rsid w:val="00B24283"/>
    <w:rsid w:val="00B242A8"/>
    <w:rsid w:val="00B24330"/>
    <w:rsid w:val="00B245C9"/>
    <w:rsid w:val="00B24709"/>
    <w:rsid w:val="00B247E8"/>
    <w:rsid w:val="00B248F9"/>
    <w:rsid w:val="00B24A93"/>
    <w:rsid w:val="00B24B88"/>
    <w:rsid w:val="00B24C6A"/>
    <w:rsid w:val="00B24C6E"/>
    <w:rsid w:val="00B24CB3"/>
    <w:rsid w:val="00B24EFB"/>
    <w:rsid w:val="00B250A0"/>
    <w:rsid w:val="00B25322"/>
    <w:rsid w:val="00B2570B"/>
    <w:rsid w:val="00B25735"/>
    <w:rsid w:val="00B257C6"/>
    <w:rsid w:val="00B2594D"/>
    <w:rsid w:val="00B25E1B"/>
    <w:rsid w:val="00B25E5C"/>
    <w:rsid w:val="00B25F84"/>
    <w:rsid w:val="00B2623A"/>
    <w:rsid w:val="00B2644E"/>
    <w:rsid w:val="00B264E6"/>
    <w:rsid w:val="00B266D5"/>
    <w:rsid w:val="00B267A5"/>
    <w:rsid w:val="00B26B0E"/>
    <w:rsid w:val="00B26E00"/>
    <w:rsid w:val="00B26F31"/>
    <w:rsid w:val="00B26FA0"/>
    <w:rsid w:val="00B27281"/>
    <w:rsid w:val="00B2737F"/>
    <w:rsid w:val="00B2766A"/>
    <w:rsid w:val="00B27940"/>
    <w:rsid w:val="00B27A85"/>
    <w:rsid w:val="00B27DEB"/>
    <w:rsid w:val="00B27FC7"/>
    <w:rsid w:val="00B3032A"/>
    <w:rsid w:val="00B30405"/>
    <w:rsid w:val="00B304D2"/>
    <w:rsid w:val="00B306E6"/>
    <w:rsid w:val="00B309F2"/>
    <w:rsid w:val="00B30B1A"/>
    <w:rsid w:val="00B30C55"/>
    <w:rsid w:val="00B310AB"/>
    <w:rsid w:val="00B313EC"/>
    <w:rsid w:val="00B3152B"/>
    <w:rsid w:val="00B31895"/>
    <w:rsid w:val="00B31913"/>
    <w:rsid w:val="00B31998"/>
    <w:rsid w:val="00B31AD3"/>
    <w:rsid w:val="00B31B29"/>
    <w:rsid w:val="00B31B48"/>
    <w:rsid w:val="00B31CF0"/>
    <w:rsid w:val="00B32170"/>
    <w:rsid w:val="00B322CB"/>
    <w:rsid w:val="00B322D0"/>
    <w:rsid w:val="00B3234D"/>
    <w:rsid w:val="00B3237E"/>
    <w:rsid w:val="00B32475"/>
    <w:rsid w:val="00B32531"/>
    <w:rsid w:val="00B32564"/>
    <w:rsid w:val="00B3265E"/>
    <w:rsid w:val="00B32729"/>
    <w:rsid w:val="00B32801"/>
    <w:rsid w:val="00B32849"/>
    <w:rsid w:val="00B32894"/>
    <w:rsid w:val="00B32B77"/>
    <w:rsid w:val="00B32B90"/>
    <w:rsid w:val="00B32C21"/>
    <w:rsid w:val="00B32E1E"/>
    <w:rsid w:val="00B33273"/>
    <w:rsid w:val="00B335C2"/>
    <w:rsid w:val="00B33690"/>
    <w:rsid w:val="00B336D5"/>
    <w:rsid w:val="00B33918"/>
    <w:rsid w:val="00B3394C"/>
    <w:rsid w:val="00B33CA5"/>
    <w:rsid w:val="00B33CC4"/>
    <w:rsid w:val="00B33DDB"/>
    <w:rsid w:val="00B33DE9"/>
    <w:rsid w:val="00B33F2C"/>
    <w:rsid w:val="00B3429F"/>
    <w:rsid w:val="00B34427"/>
    <w:rsid w:val="00B344F3"/>
    <w:rsid w:val="00B3461C"/>
    <w:rsid w:val="00B34666"/>
    <w:rsid w:val="00B347D9"/>
    <w:rsid w:val="00B347DE"/>
    <w:rsid w:val="00B348A9"/>
    <w:rsid w:val="00B348B9"/>
    <w:rsid w:val="00B34A8B"/>
    <w:rsid w:val="00B34AF8"/>
    <w:rsid w:val="00B34C12"/>
    <w:rsid w:val="00B34C1B"/>
    <w:rsid w:val="00B34C40"/>
    <w:rsid w:val="00B34D7B"/>
    <w:rsid w:val="00B34E9A"/>
    <w:rsid w:val="00B35058"/>
    <w:rsid w:val="00B350E7"/>
    <w:rsid w:val="00B35291"/>
    <w:rsid w:val="00B353C3"/>
    <w:rsid w:val="00B355AB"/>
    <w:rsid w:val="00B355F3"/>
    <w:rsid w:val="00B35912"/>
    <w:rsid w:val="00B359F2"/>
    <w:rsid w:val="00B35B5B"/>
    <w:rsid w:val="00B35C79"/>
    <w:rsid w:val="00B35C98"/>
    <w:rsid w:val="00B35CB0"/>
    <w:rsid w:val="00B35D13"/>
    <w:rsid w:val="00B35DCC"/>
    <w:rsid w:val="00B35E45"/>
    <w:rsid w:val="00B35EF3"/>
    <w:rsid w:val="00B35F7E"/>
    <w:rsid w:val="00B360CD"/>
    <w:rsid w:val="00B3614A"/>
    <w:rsid w:val="00B361AA"/>
    <w:rsid w:val="00B361C4"/>
    <w:rsid w:val="00B3634E"/>
    <w:rsid w:val="00B36402"/>
    <w:rsid w:val="00B36452"/>
    <w:rsid w:val="00B36922"/>
    <w:rsid w:val="00B36A84"/>
    <w:rsid w:val="00B36ABD"/>
    <w:rsid w:val="00B36B5E"/>
    <w:rsid w:val="00B36D6B"/>
    <w:rsid w:val="00B36F39"/>
    <w:rsid w:val="00B371CA"/>
    <w:rsid w:val="00B37398"/>
    <w:rsid w:val="00B37767"/>
    <w:rsid w:val="00B37779"/>
    <w:rsid w:val="00B378F5"/>
    <w:rsid w:val="00B37EB2"/>
    <w:rsid w:val="00B40054"/>
    <w:rsid w:val="00B40121"/>
    <w:rsid w:val="00B40172"/>
    <w:rsid w:val="00B401F0"/>
    <w:rsid w:val="00B4074A"/>
    <w:rsid w:val="00B40A77"/>
    <w:rsid w:val="00B40C74"/>
    <w:rsid w:val="00B40CF3"/>
    <w:rsid w:val="00B40EE9"/>
    <w:rsid w:val="00B4101F"/>
    <w:rsid w:val="00B411DE"/>
    <w:rsid w:val="00B41292"/>
    <w:rsid w:val="00B413C1"/>
    <w:rsid w:val="00B414E9"/>
    <w:rsid w:val="00B414F1"/>
    <w:rsid w:val="00B4157C"/>
    <w:rsid w:val="00B41616"/>
    <w:rsid w:val="00B419A7"/>
    <w:rsid w:val="00B41C1A"/>
    <w:rsid w:val="00B41C49"/>
    <w:rsid w:val="00B41CC5"/>
    <w:rsid w:val="00B41E71"/>
    <w:rsid w:val="00B42134"/>
    <w:rsid w:val="00B42268"/>
    <w:rsid w:val="00B422AD"/>
    <w:rsid w:val="00B422B2"/>
    <w:rsid w:val="00B42360"/>
    <w:rsid w:val="00B424C9"/>
    <w:rsid w:val="00B42580"/>
    <w:rsid w:val="00B42593"/>
    <w:rsid w:val="00B42669"/>
    <w:rsid w:val="00B42785"/>
    <w:rsid w:val="00B4297F"/>
    <w:rsid w:val="00B42A1A"/>
    <w:rsid w:val="00B42CE4"/>
    <w:rsid w:val="00B42FFF"/>
    <w:rsid w:val="00B431B8"/>
    <w:rsid w:val="00B433B7"/>
    <w:rsid w:val="00B4365A"/>
    <w:rsid w:val="00B438DD"/>
    <w:rsid w:val="00B439B9"/>
    <w:rsid w:val="00B43BFD"/>
    <w:rsid w:val="00B43DB0"/>
    <w:rsid w:val="00B44134"/>
    <w:rsid w:val="00B4419D"/>
    <w:rsid w:val="00B44215"/>
    <w:rsid w:val="00B443C7"/>
    <w:rsid w:val="00B444AB"/>
    <w:rsid w:val="00B4451E"/>
    <w:rsid w:val="00B44561"/>
    <w:rsid w:val="00B445BF"/>
    <w:rsid w:val="00B44716"/>
    <w:rsid w:val="00B44910"/>
    <w:rsid w:val="00B44A5C"/>
    <w:rsid w:val="00B44AD5"/>
    <w:rsid w:val="00B44B50"/>
    <w:rsid w:val="00B44C22"/>
    <w:rsid w:val="00B44E1B"/>
    <w:rsid w:val="00B45012"/>
    <w:rsid w:val="00B45205"/>
    <w:rsid w:val="00B4522D"/>
    <w:rsid w:val="00B45387"/>
    <w:rsid w:val="00B4548C"/>
    <w:rsid w:val="00B454D3"/>
    <w:rsid w:val="00B455ED"/>
    <w:rsid w:val="00B458CC"/>
    <w:rsid w:val="00B45AFA"/>
    <w:rsid w:val="00B45DB0"/>
    <w:rsid w:val="00B460D7"/>
    <w:rsid w:val="00B463D2"/>
    <w:rsid w:val="00B464C3"/>
    <w:rsid w:val="00B467A5"/>
    <w:rsid w:val="00B46A9A"/>
    <w:rsid w:val="00B46CCF"/>
    <w:rsid w:val="00B46FAD"/>
    <w:rsid w:val="00B46FD6"/>
    <w:rsid w:val="00B47137"/>
    <w:rsid w:val="00B47308"/>
    <w:rsid w:val="00B473FC"/>
    <w:rsid w:val="00B478E3"/>
    <w:rsid w:val="00B47A78"/>
    <w:rsid w:val="00B47AB9"/>
    <w:rsid w:val="00B47CA5"/>
    <w:rsid w:val="00B47CDE"/>
    <w:rsid w:val="00B50069"/>
    <w:rsid w:val="00B501BE"/>
    <w:rsid w:val="00B50378"/>
    <w:rsid w:val="00B50402"/>
    <w:rsid w:val="00B5044D"/>
    <w:rsid w:val="00B5089A"/>
    <w:rsid w:val="00B509FE"/>
    <w:rsid w:val="00B50AA6"/>
    <w:rsid w:val="00B50BDF"/>
    <w:rsid w:val="00B50CB3"/>
    <w:rsid w:val="00B50DA0"/>
    <w:rsid w:val="00B50E15"/>
    <w:rsid w:val="00B50F6A"/>
    <w:rsid w:val="00B511C6"/>
    <w:rsid w:val="00B5130C"/>
    <w:rsid w:val="00B51471"/>
    <w:rsid w:val="00B516B0"/>
    <w:rsid w:val="00B519C7"/>
    <w:rsid w:val="00B51C55"/>
    <w:rsid w:val="00B51D8F"/>
    <w:rsid w:val="00B51EFF"/>
    <w:rsid w:val="00B51F07"/>
    <w:rsid w:val="00B51FE0"/>
    <w:rsid w:val="00B5229F"/>
    <w:rsid w:val="00B5251F"/>
    <w:rsid w:val="00B5261F"/>
    <w:rsid w:val="00B52660"/>
    <w:rsid w:val="00B5288E"/>
    <w:rsid w:val="00B52B30"/>
    <w:rsid w:val="00B52D2B"/>
    <w:rsid w:val="00B52DF1"/>
    <w:rsid w:val="00B531C4"/>
    <w:rsid w:val="00B53357"/>
    <w:rsid w:val="00B533D5"/>
    <w:rsid w:val="00B538F8"/>
    <w:rsid w:val="00B53C78"/>
    <w:rsid w:val="00B53C7B"/>
    <w:rsid w:val="00B53CBA"/>
    <w:rsid w:val="00B53DF6"/>
    <w:rsid w:val="00B53F20"/>
    <w:rsid w:val="00B53F96"/>
    <w:rsid w:val="00B54121"/>
    <w:rsid w:val="00B54168"/>
    <w:rsid w:val="00B54469"/>
    <w:rsid w:val="00B54511"/>
    <w:rsid w:val="00B545B7"/>
    <w:rsid w:val="00B545EB"/>
    <w:rsid w:val="00B54682"/>
    <w:rsid w:val="00B54C06"/>
    <w:rsid w:val="00B54C1B"/>
    <w:rsid w:val="00B54D35"/>
    <w:rsid w:val="00B552AA"/>
    <w:rsid w:val="00B55469"/>
    <w:rsid w:val="00B55493"/>
    <w:rsid w:val="00B554D6"/>
    <w:rsid w:val="00B55621"/>
    <w:rsid w:val="00B55829"/>
    <w:rsid w:val="00B55895"/>
    <w:rsid w:val="00B55897"/>
    <w:rsid w:val="00B559F3"/>
    <w:rsid w:val="00B55BE7"/>
    <w:rsid w:val="00B55CBE"/>
    <w:rsid w:val="00B55CFB"/>
    <w:rsid w:val="00B55EEC"/>
    <w:rsid w:val="00B56047"/>
    <w:rsid w:val="00B562C3"/>
    <w:rsid w:val="00B5636F"/>
    <w:rsid w:val="00B56417"/>
    <w:rsid w:val="00B56497"/>
    <w:rsid w:val="00B56571"/>
    <w:rsid w:val="00B5694C"/>
    <w:rsid w:val="00B56D95"/>
    <w:rsid w:val="00B56FBD"/>
    <w:rsid w:val="00B5709D"/>
    <w:rsid w:val="00B5722B"/>
    <w:rsid w:val="00B57413"/>
    <w:rsid w:val="00B57458"/>
    <w:rsid w:val="00B574AA"/>
    <w:rsid w:val="00B5765A"/>
    <w:rsid w:val="00B576FF"/>
    <w:rsid w:val="00B57817"/>
    <w:rsid w:val="00B57855"/>
    <w:rsid w:val="00B57910"/>
    <w:rsid w:val="00B57BC6"/>
    <w:rsid w:val="00B57C7B"/>
    <w:rsid w:val="00B60018"/>
    <w:rsid w:val="00B60046"/>
    <w:rsid w:val="00B60050"/>
    <w:rsid w:val="00B600CE"/>
    <w:rsid w:val="00B60100"/>
    <w:rsid w:val="00B60258"/>
    <w:rsid w:val="00B6029E"/>
    <w:rsid w:val="00B60344"/>
    <w:rsid w:val="00B60352"/>
    <w:rsid w:val="00B605C1"/>
    <w:rsid w:val="00B60644"/>
    <w:rsid w:val="00B60768"/>
    <w:rsid w:val="00B6090E"/>
    <w:rsid w:val="00B609A0"/>
    <w:rsid w:val="00B60A2F"/>
    <w:rsid w:val="00B60A75"/>
    <w:rsid w:val="00B60B9B"/>
    <w:rsid w:val="00B60DF1"/>
    <w:rsid w:val="00B60E1F"/>
    <w:rsid w:val="00B610F8"/>
    <w:rsid w:val="00B6115E"/>
    <w:rsid w:val="00B61261"/>
    <w:rsid w:val="00B6139D"/>
    <w:rsid w:val="00B61407"/>
    <w:rsid w:val="00B614B1"/>
    <w:rsid w:val="00B6155C"/>
    <w:rsid w:val="00B616F5"/>
    <w:rsid w:val="00B6184D"/>
    <w:rsid w:val="00B61885"/>
    <w:rsid w:val="00B619BC"/>
    <w:rsid w:val="00B619BF"/>
    <w:rsid w:val="00B61A8C"/>
    <w:rsid w:val="00B61C52"/>
    <w:rsid w:val="00B61CE1"/>
    <w:rsid w:val="00B61CE6"/>
    <w:rsid w:val="00B61CEA"/>
    <w:rsid w:val="00B6202C"/>
    <w:rsid w:val="00B6212A"/>
    <w:rsid w:val="00B622BC"/>
    <w:rsid w:val="00B623F6"/>
    <w:rsid w:val="00B6241E"/>
    <w:rsid w:val="00B624B5"/>
    <w:rsid w:val="00B62739"/>
    <w:rsid w:val="00B62833"/>
    <w:rsid w:val="00B6314B"/>
    <w:rsid w:val="00B632C9"/>
    <w:rsid w:val="00B632F6"/>
    <w:rsid w:val="00B6353E"/>
    <w:rsid w:val="00B63614"/>
    <w:rsid w:val="00B63641"/>
    <w:rsid w:val="00B63902"/>
    <w:rsid w:val="00B63C24"/>
    <w:rsid w:val="00B63C47"/>
    <w:rsid w:val="00B63E41"/>
    <w:rsid w:val="00B64049"/>
    <w:rsid w:val="00B64161"/>
    <w:rsid w:val="00B6420E"/>
    <w:rsid w:val="00B64243"/>
    <w:rsid w:val="00B6447D"/>
    <w:rsid w:val="00B64546"/>
    <w:rsid w:val="00B6457F"/>
    <w:rsid w:val="00B6468F"/>
    <w:rsid w:val="00B646B9"/>
    <w:rsid w:val="00B646FF"/>
    <w:rsid w:val="00B64869"/>
    <w:rsid w:val="00B64AA5"/>
    <w:rsid w:val="00B64C28"/>
    <w:rsid w:val="00B64C4D"/>
    <w:rsid w:val="00B64E5F"/>
    <w:rsid w:val="00B6503C"/>
    <w:rsid w:val="00B650EA"/>
    <w:rsid w:val="00B652B4"/>
    <w:rsid w:val="00B6551B"/>
    <w:rsid w:val="00B65590"/>
    <w:rsid w:val="00B656F7"/>
    <w:rsid w:val="00B65776"/>
    <w:rsid w:val="00B657C6"/>
    <w:rsid w:val="00B6582C"/>
    <w:rsid w:val="00B658CE"/>
    <w:rsid w:val="00B65FD1"/>
    <w:rsid w:val="00B66270"/>
    <w:rsid w:val="00B662B6"/>
    <w:rsid w:val="00B6638C"/>
    <w:rsid w:val="00B6644B"/>
    <w:rsid w:val="00B66598"/>
    <w:rsid w:val="00B667E5"/>
    <w:rsid w:val="00B667E7"/>
    <w:rsid w:val="00B6688D"/>
    <w:rsid w:val="00B668A2"/>
    <w:rsid w:val="00B66908"/>
    <w:rsid w:val="00B669A2"/>
    <w:rsid w:val="00B66D1E"/>
    <w:rsid w:val="00B66ECD"/>
    <w:rsid w:val="00B670F1"/>
    <w:rsid w:val="00B67124"/>
    <w:rsid w:val="00B67356"/>
    <w:rsid w:val="00B6757C"/>
    <w:rsid w:val="00B67673"/>
    <w:rsid w:val="00B6778F"/>
    <w:rsid w:val="00B67AA0"/>
    <w:rsid w:val="00B67B37"/>
    <w:rsid w:val="00B67C5A"/>
    <w:rsid w:val="00B67D9E"/>
    <w:rsid w:val="00B67DBE"/>
    <w:rsid w:val="00B67E05"/>
    <w:rsid w:val="00B67E50"/>
    <w:rsid w:val="00B67E71"/>
    <w:rsid w:val="00B7017F"/>
    <w:rsid w:val="00B70343"/>
    <w:rsid w:val="00B70475"/>
    <w:rsid w:val="00B704B7"/>
    <w:rsid w:val="00B707B6"/>
    <w:rsid w:val="00B707B7"/>
    <w:rsid w:val="00B70A4D"/>
    <w:rsid w:val="00B70CEB"/>
    <w:rsid w:val="00B70D4D"/>
    <w:rsid w:val="00B70DDE"/>
    <w:rsid w:val="00B70E0D"/>
    <w:rsid w:val="00B70E3C"/>
    <w:rsid w:val="00B70E47"/>
    <w:rsid w:val="00B70EB9"/>
    <w:rsid w:val="00B71032"/>
    <w:rsid w:val="00B71101"/>
    <w:rsid w:val="00B71361"/>
    <w:rsid w:val="00B714D0"/>
    <w:rsid w:val="00B717C3"/>
    <w:rsid w:val="00B719C7"/>
    <w:rsid w:val="00B71C2F"/>
    <w:rsid w:val="00B71CE6"/>
    <w:rsid w:val="00B71E72"/>
    <w:rsid w:val="00B71E7A"/>
    <w:rsid w:val="00B720E2"/>
    <w:rsid w:val="00B725B3"/>
    <w:rsid w:val="00B72628"/>
    <w:rsid w:val="00B72709"/>
    <w:rsid w:val="00B72855"/>
    <w:rsid w:val="00B72928"/>
    <w:rsid w:val="00B72BDE"/>
    <w:rsid w:val="00B72BF4"/>
    <w:rsid w:val="00B72CFE"/>
    <w:rsid w:val="00B72D7C"/>
    <w:rsid w:val="00B72E7F"/>
    <w:rsid w:val="00B732B0"/>
    <w:rsid w:val="00B732DC"/>
    <w:rsid w:val="00B734AF"/>
    <w:rsid w:val="00B7362B"/>
    <w:rsid w:val="00B7364A"/>
    <w:rsid w:val="00B736AF"/>
    <w:rsid w:val="00B73B33"/>
    <w:rsid w:val="00B73D61"/>
    <w:rsid w:val="00B73F1A"/>
    <w:rsid w:val="00B741D6"/>
    <w:rsid w:val="00B743D9"/>
    <w:rsid w:val="00B747C4"/>
    <w:rsid w:val="00B749AE"/>
    <w:rsid w:val="00B74A14"/>
    <w:rsid w:val="00B74C09"/>
    <w:rsid w:val="00B74C6B"/>
    <w:rsid w:val="00B74E09"/>
    <w:rsid w:val="00B75096"/>
    <w:rsid w:val="00B750CE"/>
    <w:rsid w:val="00B7530A"/>
    <w:rsid w:val="00B753B1"/>
    <w:rsid w:val="00B75463"/>
    <w:rsid w:val="00B7577D"/>
    <w:rsid w:val="00B75780"/>
    <w:rsid w:val="00B757DB"/>
    <w:rsid w:val="00B75818"/>
    <w:rsid w:val="00B75943"/>
    <w:rsid w:val="00B75968"/>
    <w:rsid w:val="00B760D2"/>
    <w:rsid w:val="00B76346"/>
    <w:rsid w:val="00B767A6"/>
    <w:rsid w:val="00B767B9"/>
    <w:rsid w:val="00B76C23"/>
    <w:rsid w:val="00B76C29"/>
    <w:rsid w:val="00B76CB1"/>
    <w:rsid w:val="00B76D38"/>
    <w:rsid w:val="00B76D44"/>
    <w:rsid w:val="00B7706A"/>
    <w:rsid w:val="00B77093"/>
    <w:rsid w:val="00B7715D"/>
    <w:rsid w:val="00B77162"/>
    <w:rsid w:val="00B7737A"/>
    <w:rsid w:val="00B77726"/>
    <w:rsid w:val="00B779C4"/>
    <w:rsid w:val="00B77ACC"/>
    <w:rsid w:val="00B77B95"/>
    <w:rsid w:val="00B77B9D"/>
    <w:rsid w:val="00B77DB0"/>
    <w:rsid w:val="00B77F89"/>
    <w:rsid w:val="00B8003E"/>
    <w:rsid w:val="00B802EA"/>
    <w:rsid w:val="00B80363"/>
    <w:rsid w:val="00B80483"/>
    <w:rsid w:val="00B804FF"/>
    <w:rsid w:val="00B80528"/>
    <w:rsid w:val="00B8081F"/>
    <w:rsid w:val="00B80896"/>
    <w:rsid w:val="00B80905"/>
    <w:rsid w:val="00B80B43"/>
    <w:rsid w:val="00B80BAA"/>
    <w:rsid w:val="00B80C45"/>
    <w:rsid w:val="00B80D96"/>
    <w:rsid w:val="00B80F8D"/>
    <w:rsid w:val="00B80FB8"/>
    <w:rsid w:val="00B81145"/>
    <w:rsid w:val="00B8118F"/>
    <w:rsid w:val="00B81240"/>
    <w:rsid w:val="00B817A9"/>
    <w:rsid w:val="00B8188A"/>
    <w:rsid w:val="00B81AB0"/>
    <w:rsid w:val="00B81B38"/>
    <w:rsid w:val="00B81BC1"/>
    <w:rsid w:val="00B81C6E"/>
    <w:rsid w:val="00B81D2D"/>
    <w:rsid w:val="00B820D8"/>
    <w:rsid w:val="00B82219"/>
    <w:rsid w:val="00B8224A"/>
    <w:rsid w:val="00B826BD"/>
    <w:rsid w:val="00B827DF"/>
    <w:rsid w:val="00B828DE"/>
    <w:rsid w:val="00B828E6"/>
    <w:rsid w:val="00B8294B"/>
    <w:rsid w:val="00B8296B"/>
    <w:rsid w:val="00B82A31"/>
    <w:rsid w:val="00B82AAD"/>
    <w:rsid w:val="00B82ADF"/>
    <w:rsid w:val="00B82B63"/>
    <w:rsid w:val="00B82CDD"/>
    <w:rsid w:val="00B82D50"/>
    <w:rsid w:val="00B82D85"/>
    <w:rsid w:val="00B82E09"/>
    <w:rsid w:val="00B83152"/>
    <w:rsid w:val="00B831AA"/>
    <w:rsid w:val="00B8325D"/>
    <w:rsid w:val="00B8343B"/>
    <w:rsid w:val="00B83581"/>
    <w:rsid w:val="00B83985"/>
    <w:rsid w:val="00B83D09"/>
    <w:rsid w:val="00B83F6C"/>
    <w:rsid w:val="00B83F8E"/>
    <w:rsid w:val="00B84003"/>
    <w:rsid w:val="00B84302"/>
    <w:rsid w:val="00B844FB"/>
    <w:rsid w:val="00B84502"/>
    <w:rsid w:val="00B84744"/>
    <w:rsid w:val="00B84A82"/>
    <w:rsid w:val="00B84B37"/>
    <w:rsid w:val="00B84C0D"/>
    <w:rsid w:val="00B84C8A"/>
    <w:rsid w:val="00B84DE3"/>
    <w:rsid w:val="00B84FBD"/>
    <w:rsid w:val="00B85196"/>
    <w:rsid w:val="00B853F2"/>
    <w:rsid w:val="00B85551"/>
    <w:rsid w:val="00B85697"/>
    <w:rsid w:val="00B85703"/>
    <w:rsid w:val="00B858BC"/>
    <w:rsid w:val="00B8611A"/>
    <w:rsid w:val="00B86584"/>
    <w:rsid w:val="00B866B7"/>
    <w:rsid w:val="00B86712"/>
    <w:rsid w:val="00B8672E"/>
    <w:rsid w:val="00B869E5"/>
    <w:rsid w:val="00B86AB6"/>
    <w:rsid w:val="00B86BBA"/>
    <w:rsid w:val="00B86E61"/>
    <w:rsid w:val="00B86F24"/>
    <w:rsid w:val="00B871AE"/>
    <w:rsid w:val="00B87211"/>
    <w:rsid w:val="00B877F6"/>
    <w:rsid w:val="00B87A86"/>
    <w:rsid w:val="00B87FF5"/>
    <w:rsid w:val="00B90035"/>
    <w:rsid w:val="00B90117"/>
    <w:rsid w:val="00B9020E"/>
    <w:rsid w:val="00B9039B"/>
    <w:rsid w:val="00B90505"/>
    <w:rsid w:val="00B9069A"/>
    <w:rsid w:val="00B906AF"/>
    <w:rsid w:val="00B906ED"/>
    <w:rsid w:val="00B908C6"/>
    <w:rsid w:val="00B90975"/>
    <w:rsid w:val="00B90C79"/>
    <w:rsid w:val="00B90D16"/>
    <w:rsid w:val="00B90EDC"/>
    <w:rsid w:val="00B90FCA"/>
    <w:rsid w:val="00B91093"/>
    <w:rsid w:val="00B911C7"/>
    <w:rsid w:val="00B912B2"/>
    <w:rsid w:val="00B913F4"/>
    <w:rsid w:val="00B914C0"/>
    <w:rsid w:val="00B91588"/>
    <w:rsid w:val="00B9175D"/>
    <w:rsid w:val="00B918E3"/>
    <w:rsid w:val="00B91931"/>
    <w:rsid w:val="00B919C2"/>
    <w:rsid w:val="00B91AED"/>
    <w:rsid w:val="00B91BB4"/>
    <w:rsid w:val="00B91CDD"/>
    <w:rsid w:val="00B91D70"/>
    <w:rsid w:val="00B91DD0"/>
    <w:rsid w:val="00B91F23"/>
    <w:rsid w:val="00B920A2"/>
    <w:rsid w:val="00B921D0"/>
    <w:rsid w:val="00B921FC"/>
    <w:rsid w:val="00B9224D"/>
    <w:rsid w:val="00B922E2"/>
    <w:rsid w:val="00B9259D"/>
    <w:rsid w:val="00B9283A"/>
    <w:rsid w:val="00B9292C"/>
    <w:rsid w:val="00B92968"/>
    <w:rsid w:val="00B929AA"/>
    <w:rsid w:val="00B92B62"/>
    <w:rsid w:val="00B92DA9"/>
    <w:rsid w:val="00B92F65"/>
    <w:rsid w:val="00B92FAC"/>
    <w:rsid w:val="00B92FF7"/>
    <w:rsid w:val="00B93277"/>
    <w:rsid w:val="00B9351F"/>
    <w:rsid w:val="00B9387A"/>
    <w:rsid w:val="00B9395E"/>
    <w:rsid w:val="00B9398D"/>
    <w:rsid w:val="00B939D5"/>
    <w:rsid w:val="00B93B13"/>
    <w:rsid w:val="00B93B88"/>
    <w:rsid w:val="00B93D83"/>
    <w:rsid w:val="00B93EF2"/>
    <w:rsid w:val="00B940CF"/>
    <w:rsid w:val="00B943BE"/>
    <w:rsid w:val="00B946AB"/>
    <w:rsid w:val="00B946BA"/>
    <w:rsid w:val="00B94726"/>
    <w:rsid w:val="00B9497B"/>
    <w:rsid w:val="00B94A92"/>
    <w:rsid w:val="00B94E46"/>
    <w:rsid w:val="00B95079"/>
    <w:rsid w:val="00B950D3"/>
    <w:rsid w:val="00B95461"/>
    <w:rsid w:val="00B954FE"/>
    <w:rsid w:val="00B9563C"/>
    <w:rsid w:val="00B95651"/>
    <w:rsid w:val="00B957EA"/>
    <w:rsid w:val="00B958FE"/>
    <w:rsid w:val="00B9598E"/>
    <w:rsid w:val="00B959E3"/>
    <w:rsid w:val="00B95B3C"/>
    <w:rsid w:val="00B95CAC"/>
    <w:rsid w:val="00B95DF9"/>
    <w:rsid w:val="00B95E1E"/>
    <w:rsid w:val="00B95E49"/>
    <w:rsid w:val="00B95E86"/>
    <w:rsid w:val="00B95FAA"/>
    <w:rsid w:val="00B962A9"/>
    <w:rsid w:val="00B962F4"/>
    <w:rsid w:val="00B9644B"/>
    <w:rsid w:val="00B96698"/>
    <w:rsid w:val="00B969F3"/>
    <w:rsid w:val="00B96CC9"/>
    <w:rsid w:val="00B9737F"/>
    <w:rsid w:val="00B97514"/>
    <w:rsid w:val="00B975EB"/>
    <w:rsid w:val="00B97641"/>
    <w:rsid w:val="00B976DB"/>
    <w:rsid w:val="00B97B69"/>
    <w:rsid w:val="00B97C7C"/>
    <w:rsid w:val="00B97E0E"/>
    <w:rsid w:val="00B97EE6"/>
    <w:rsid w:val="00BA012F"/>
    <w:rsid w:val="00BA021F"/>
    <w:rsid w:val="00BA04E6"/>
    <w:rsid w:val="00BA06ED"/>
    <w:rsid w:val="00BA081A"/>
    <w:rsid w:val="00BA0866"/>
    <w:rsid w:val="00BA088E"/>
    <w:rsid w:val="00BA09D8"/>
    <w:rsid w:val="00BA1196"/>
    <w:rsid w:val="00BA128F"/>
    <w:rsid w:val="00BA12DB"/>
    <w:rsid w:val="00BA12FD"/>
    <w:rsid w:val="00BA13D5"/>
    <w:rsid w:val="00BA147C"/>
    <w:rsid w:val="00BA151C"/>
    <w:rsid w:val="00BA16DA"/>
    <w:rsid w:val="00BA17E7"/>
    <w:rsid w:val="00BA1982"/>
    <w:rsid w:val="00BA1A09"/>
    <w:rsid w:val="00BA1A7A"/>
    <w:rsid w:val="00BA1B13"/>
    <w:rsid w:val="00BA1B3B"/>
    <w:rsid w:val="00BA20BB"/>
    <w:rsid w:val="00BA2249"/>
    <w:rsid w:val="00BA2364"/>
    <w:rsid w:val="00BA2435"/>
    <w:rsid w:val="00BA2AB3"/>
    <w:rsid w:val="00BA2B8F"/>
    <w:rsid w:val="00BA2E45"/>
    <w:rsid w:val="00BA2F81"/>
    <w:rsid w:val="00BA2FAB"/>
    <w:rsid w:val="00BA2FC0"/>
    <w:rsid w:val="00BA2FD6"/>
    <w:rsid w:val="00BA3201"/>
    <w:rsid w:val="00BA33D3"/>
    <w:rsid w:val="00BA35B5"/>
    <w:rsid w:val="00BA3855"/>
    <w:rsid w:val="00BA39F0"/>
    <w:rsid w:val="00BA3C3D"/>
    <w:rsid w:val="00BA408A"/>
    <w:rsid w:val="00BA40B6"/>
    <w:rsid w:val="00BA4571"/>
    <w:rsid w:val="00BA4635"/>
    <w:rsid w:val="00BA46B9"/>
    <w:rsid w:val="00BA4B37"/>
    <w:rsid w:val="00BA4BA0"/>
    <w:rsid w:val="00BA4C20"/>
    <w:rsid w:val="00BA4F24"/>
    <w:rsid w:val="00BA5012"/>
    <w:rsid w:val="00BA5067"/>
    <w:rsid w:val="00BA525F"/>
    <w:rsid w:val="00BA539D"/>
    <w:rsid w:val="00BA5413"/>
    <w:rsid w:val="00BA54AF"/>
    <w:rsid w:val="00BA555F"/>
    <w:rsid w:val="00BA565F"/>
    <w:rsid w:val="00BA5E91"/>
    <w:rsid w:val="00BA62B7"/>
    <w:rsid w:val="00BA637A"/>
    <w:rsid w:val="00BA6390"/>
    <w:rsid w:val="00BA6404"/>
    <w:rsid w:val="00BA6442"/>
    <w:rsid w:val="00BA65D9"/>
    <w:rsid w:val="00BA66D8"/>
    <w:rsid w:val="00BA6787"/>
    <w:rsid w:val="00BA6913"/>
    <w:rsid w:val="00BA6B8C"/>
    <w:rsid w:val="00BA6BBB"/>
    <w:rsid w:val="00BA6D11"/>
    <w:rsid w:val="00BA6D64"/>
    <w:rsid w:val="00BA6DC0"/>
    <w:rsid w:val="00BA70B9"/>
    <w:rsid w:val="00BA73C2"/>
    <w:rsid w:val="00BA749B"/>
    <w:rsid w:val="00BA75BB"/>
    <w:rsid w:val="00BA75C0"/>
    <w:rsid w:val="00BA76AA"/>
    <w:rsid w:val="00BA785F"/>
    <w:rsid w:val="00BA78FE"/>
    <w:rsid w:val="00BA791F"/>
    <w:rsid w:val="00BA79BC"/>
    <w:rsid w:val="00BA7A31"/>
    <w:rsid w:val="00BA7A9F"/>
    <w:rsid w:val="00BA7AE7"/>
    <w:rsid w:val="00BA7B06"/>
    <w:rsid w:val="00BA7D1A"/>
    <w:rsid w:val="00BA7E89"/>
    <w:rsid w:val="00BA7F42"/>
    <w:rsid w:val="00BA7FD5"/>
    <w:rsid w:val="00BB00AC"/>
    <w:rsid w:val="00BB017A"/>
    <w:rsid w:val="00BB0272"/>
    <w:rsid w:val="00BB0401"/>
    <w:rsid w:val="00BB050E"/>
    <w:rsid w:val="00BB054D"/>
    <w:rsid w:val="00BB09B5"/>
    <w:rsid w:val="00BB0ACA"/>
    <w:rsid w:val="00BB0B6D"/>
    <w:rsid w:val="00BB0BB8"/>
    <w:rsid w:val="00BB0CB0"/>
    <w:rsid w:val="00BB0CDF"/>
    <w:rsid w:val="00BB1015"/>
    <w:rsid w:val="00BB110C"/>
    <w:rsid w:val="00BB11BA"/>
    <w:rsid w:val="00BB1293"/>
    <w:rsid w:val="00BB1392"/>
    <w:rsid w:val="00BB13E2"/>
    <w:rsid w:val="00BB14AC"/>
    <w:rsid w:val="00BB1624"/>
    <w:rsid w:val="00BB1871"/>
    <w:rsid w:val="00BB1876"/>
    <w:rsid w:val="00BB18B2"/>
    <w:rsid w:val="00BB18EF"/>
    <w:rsid w:val="00BB1A84"/>
    <w:rsid w:val="00BB1BAD"/>
    <w:rsid w:val="00BB1DED"/>
    <w:rsid w:val="00BB1FC2"/>
    <w:rsid w:val="00BB1FE4"/>
    <w:rsid w:val="00BB22F3"/>
    <w:rsid w:val="00BB230B"/>
    <w:rsid w:val="00BB2422"/>
    <w:rsid w:val="00BB2509"/>
    <w:rsid w:val="00BB259E"/>
    <w:rsid w:val="00BB2742"/>
    <w:rsid w:val="00BB27CC"/>
    <w:rsid w:val="00BB2997"/>
    <w:rsid w:val="00BB2BEE"/>
    <w:rsid w:val="00BB2C2C"/>
    <w:rsid w:val="00BB2CC5"/>
    <w:rsid w:val="00BB2E8A"/>
    <w:rsid w:val="00BB3248"/>
    <w:rsid w:val="00BB336F"/>
    <w:rsid w:val="00BB33CA"/>
    <w:rsid w:val="00BB3479"/>
    <w:rsid w:val="00BB3772"/>
    <w:rsid w:val="00BB37DC"/>
    <w:rsid w:val="00BB3AC0"/>
    <w:rsid w:val="00BB3D48"/>
    <w:rsid w:val="00BB3D83"/>
    <w:rsid w:val="00BB3E14"/>
    <w:rsid w:val="00BB3F04"/>
    <w:rsid w:val="00BB404C"/>
    <w:rsid w:val="00BB4128"/>
    <w:rsid w:val="00BB4136"/>
    <w:rsid w:val="00BB4280"/>
    <w:rsid w:val="00BB43D4"/>
    <w:rsid w:val="00BB44D6"/>
    <w:rsid w:val="00BB4606"/>
    <w:rsid w:val="00BB47A6"/>
    <w:rsid w:val="00BB48BF"/>
    <w:rsid w:val="00BB4A74"/>
    <w:rsid w:val="00BB4A9A"/>
    <w:rsid w:val="00BB4B1E"/>
    <w:rsid w:val="00BB4CC9"/>
    <w:rsid w:val="00BB4E58"/>
    <w:rsid w:val="00BB4EDF"/>
    <w:rsid w:val="00BB5353"/>
    <w:rsid w:val="00BB5546"/>
    <w:rsid w:val="00BB56AD"/>
    <w:rsid w:val="00BB56DC"/>
    <w:rsid w:val="00BB57CB"/>
    <w:rsid w:val="00BB5802"/>
    <w:rsid w:val="00BB5BD6"/>
    <w:rsid w:val="00BB5C47"/>
    <w:rsid w:val="00BB5D1F"/>
    <w:rsid w:val="00BB5DED"/>
    <w:rsid w:val="00BB5F87"/>
    <w:rsid w:val="00BB61CD"/>
    <w:rsid w:val="00BB6278"/>
    <w:rsid w:val="00BB6677"/>
    <w:rsid w:val="00BB67E6"/>
    <w:rsid w:val="00BB68F3"/>
    <w:rsid w:val="00BB6A1A"/>
    <w:rsid w:val="00BB6BD2"/>
    <w:rsid w:val="00BB723B"/>
    <w:rsid w:val="00BB75A7"/>
    <w:rsid w:val="00BB75ED"/>
    <w:rsid w:val="00BB777A"/>
    <w:rsid w:val="00BB7A32"/>
    <w:rsid w:val="00BB7BCD"/>
    <w:rsid w:val="00BB7BD4"/>
    <w:rsid w:val="00BC00E7"/>
    <w:rsid w:val="00BC0315"/>
    <w:rsid w:val="00BC03BB"/>
    <w:rsid w:val="00BC079E"/>
    <w:rsid w:val="00BC088D"/>
    <w:rsid w:val="00BC09D8"/>
    <w:rsid w:val="00BC0C1C"/>
    <w:rsid w:val="00BC0F63"/>
    <w:rsid w:val="00BC1057"/>
    <w:rsid w:val="00BC1191"/>
    <w:rsid w:val="00BC12EB"/>
    <w:rsid w:val="00BC130B"/>
    <w:rsid w:val="00BC13BA"/>
    <w:rsid w:val="00BC13EF"/>
    <w:rsid w:val="00BC14D4"/>
    <w:rsid w:val="00BC152C"/>
    <w:rsid w:val="00BC1976"/>
    <w:rsid w:val="00BC1A07"/>
    <w:rsid w:val="00BC1AC1"/>
    <w:rsid w:val="00BC1AD6"/>
    <w:rsid w:val="00BC1E5B"/>
    <w:rsid w:val="00BC1F20"/>
    <w:rsid w:val="00BC20DC"/>
    <w:rsid w:val="00BC265C"/>
    <w:rsid w:val="00BC268B"/>
    <w:rsid w:val="00BC2732"/>
    <w:rsid w:val="00BC2A3A"/>
    <w:rsid w:val="00BC2B49"/>
    <w:rsid w:val="00BC2BB3"/>
    <w:rsid w:val="00BC2DBB"/>
    <w:rsid w:val="00BC2F86"/>
    <w:rsid w:val="00BC3322"/>
    <w:rsid w:val="00BC343C"/>
    <w:rsid w:val="00BC34E2"/>
    <w:rsid w:val="00BC370A"/>
    <w:rsid w:val="00BC3886"/>
    <w:rsid w:val="00BC391A"/>
    <w:rsid w:val="00BC3B39"/>
    <w:rsid w:val="00BC3B43"/>
    <w:rsid w:val="00BC3E9C"/>
    <w:rsid w:val="00BC3F99"/>
    <w:rsid w:val="00BC3FCC"/>
    <w:rsid w:val="00BC4062"/>
    <w:rsid w:val="00BC430E"/>
    <w:rsid w:val="00BC438C"/>
    <w:rsid w:val="00BC4616"/>
    <w:rsid w:val="00BC4929"/>
    <w:rsid w:val="00BC498E"/>
    <w:rsid w:val="00BC4A6D"/>
    <w:rsid w:val="00BC4E95"/>
    <w:rsid w:val="00BC4EB9"/>
    <w:rsid w:val="00BC4FC8"/>
    <w:rsid w:val="00BC5131"/>
    <w:rsid w:val="00BC52EA"/>
    <w:rsid w:val="00BC5461"/>
    <w:rsid w:val="00BC547D"/>
    <w:rsid w:val="00BC5556"/>
    <w:rsid w:val="00BC56CE"/>
    <w:rsid w:val="00BC5F3D"/>
    <w:rsid w:val="00BC634F"/>
    <w:rsid w:val="00BC64FA"/>
    <w:rsid w:val="00BC657A"/>
    <w:rsid w:val="00BC6695"/>
    <w:rsid w:val="00BC669D"/>
    <w:rsid w:val="00BC66DA"/>
    <w:rsid w:val="00BC6794"/>
    <w:rsid w:val="00BC685B"/>
    <w:rsid w:val="00BC6CE1"/>
    <w:rsid w:val="00BC6D51"/>
    <w:rsid w:val="00BC6E31"/>
    <w:rsid w:val="00BC6E39"/>
    <w:rsid w:val="00BC6F0D"/>
    <w:rsid w:val="00BC72D2"/>
    <w:rsid w:val="00BC737E"/>
    <w:rsid w:val="00BC73B9"/>
    <w:rsid w:val="00BC7677"/>
    <w:rsid w:val="00BC77B6"/>
    <w:rsid w:val="00BC7954"/>
    <w:rsid w:val="00BC7A4A"/>
    <w:rsid w:val="00BC7C2E"/>
    <w:rsid w:val="00BC7D98"/>
    <w:rsid w:val="00BC7F6E"/>
    <w:rsid w:val="00BC7FB3"/>
    <w:rsid w:val="00BD0061"/>
    <w:rsid w:val="00BD0072"/>
    <w:rsid w:val="00BD0267"/>
    <w:rsid w:val="00BD042F"/>
    <w:rsid w:val="00BD0552"/>
    <w:rsid w:val="00BD073C"/>
    <w:rsid w:val="00BD0926"/>
    <w:rsid w:val="00BD0EB9"/>
    <w:rsid w:val="00BD10C6"/>
    <w:rsid w:val="00BD114E"/>
    <w:rsid w:val="00BD11FA"/>
    <w:rsid w:val="00BD12C3"/>
    <w:rsid w:val="00BD1393"/>
    <w:rsid w:val="00BD1588"/>
    <w:rsid w:val="00BD1684"/>
    <w:rsid w:val="00BD1708"/>
    <w:rsid w:val="00BD171A"/>
    <w:rsid w:val="00BD178B"/>
    <w:rsid w:val="00BD17FD"/>
    <w:rsid w:val="00BD18BD"/>
    <w:rsid w:val="00BD1A92"/>
    <w:rsid w:val="00BD1AA6"/>
    <w:rsid w:val="00BD1B99"/>
    <w:rsid w:val="00BD1D2D"/>
    <w:rsid w:val="00BD206D"/>
    <w:rsid w:val="00BD2153"/>
    <w:rsid w:val="00BD21E9"/>
    <w:rsid w:val="00BD230D"/>
    <w:rsid w:val="00BD239E"/>
    <w:rsid w:val="00BD2444"/>
    <w:rsid w:val="00BD261A"/>
    <w:rsid w:val="00BD2835"/>
    <w:rsid w:val="00BD2B08"/>
    <w:rsid w:val="00BD2B4C"/>
    <w:rsid w:val="00BD2B79"/>
    <w:rsid w:val="00BD2BA9"/>
    <w:rsid w:val="00BD2D0F"/>
    <w:rsid w:val="00BD2E43"/>
    <w:rsid w:val="00BD2E87"/>
    <w:rsid w:val="00BD3116"/>
    <w:rsid w:val="00BD33FD"/>
    <w:rsid w:val="00BD347A"/>
    <w:rsid w:val="00BD35BD"/>
    <w:rsid w:val="00BD363F"/>
    <w:rsid w:val="00BD36B4"/>
    <w:rsid w:val="00BD37B3"/>
    <w:rsid w:val="00BD3967"/>
    <w:rsid w:val="00BD3B80"/>
    <w:rsid w:val="00BD3BAD"/>
    <w:rsid w:val="00BD3C0B"/>
    <w:rsid w:val="00BD3DD1"/>
    <w:rsid w:val="00BD3F7D"/>
    <w:rsid w:val="00BD3FCA"/>
    <w:rsid w:val="00BD403F"/>
    <w:rsid w:val="00BD4172"/>
    <w:rsid w:val="00BD4246"/>
    <w:rsid w:val="00BD4419"/>
    <w:rsid w:val="00BD45AD"/>
    <w:rsid w:val="00BD463F"/>
    <w:rsid w:val="00BD48AF"/>
    <w:rsid w:val="00BD4BCC"/>
    <w:rsid w:val="00BD4E8E"/>
    <w:rsid w:val="00BD4FD1"/>
    <w:rsid w:val="00BD504D"/>
    <w:rsid w:val="00BD5243"/>
    <w:rsid w:val="00BD536C"/>
    <w:rsid w:val="00BD540E"/>
    <w:rsid w:val="00BD5586"/>
    <w:rsid w:val="00BD58A4"/>
    <w:rsid w:val="00BD5982"/>
    <w:rsid w:val="00BD59DD"/>
    <w:rsid w:val="00BD5DEE"/>
    <w:rsid w:val="00BD5E04"/>
    <w:rsid w:val="00BD6557"/>
    <w:rsid w:val="00BD67FD"/>
    <w:rsid w:val="00BD6819"/>
    <w:rsid w:val="00BD6A33"/>
    <w:rsid w:val="00BD6A3A"/>
    <w:rsid w:val="00BD6B62"/>
    <w:rsid w:val="00BD6BDF"/>
    <w:rsid w:val="00BD6CF0"/>
    <w:rsid w:val="00BD6E51"/>
    <w:rsid w:val="00BD7045"/>
    <w:rsid w:val="00BD7237"/>
    <w:rsid w:val="00BD7298"/>
    <w:rsid w:val="00BD72CB"/>
    <w:rsid w:val="00BD74BD"/>
    <w:rsid w:val="00BD7578"/>
    <w:rsid w:val="00BD776B"/>
    <w:rsid w:val="00BD78E8"/>
    <w:rsid w:val="00BD7AEC"/>
    <w:rsid w:val="00BE031F"/>
    <w:rsid w:val="00BE0756"/>
    <w:rsid w:val="00BE0895"/>
    <w:rsid w:val="00BE089F"/>
    <w:rsid w:val="00BE08C3"/>
    <w:rsid w:val="00BE0D75"/>
    <w:rsid w:val="00BE0E07"/>
    <w:rsid w:val="00BE1262"/>
    <w:rsid w:val="00BE12C3"/>
    <w:rsid w:val="00BE1358"/>
    <w:rsid w:val="00BE13DB"/>
    <w:rsid w:val="00BE141A"/>
    <w:rsid w:val="00BE1821"/>
    <w:rsid w:val="00BE1E1A"/>
    <w:rsid w:val="00BE1E4E"/>
    <w:rsid w:val="00BE1E5F"/>
    <w:rsid w:val="00BE20F0"/>
    <w:rsid w:val="00BE2115"/>
    <w:rsid w:val="00BE23F2"/>
    <w:rsid w:val="00BE2401"/>
    <w:rsid w:val="00BE2472"/>
    <w:rsid w:val="00BE25C7"/>
    <w:rsid w:val="00BE2621"/>
    <w:rsid w:val="00BE2822"/>
    <w:rsid w:val="00BE297B"/>
    <w:rsid w:val="00BE2985"/>
    <w:rsid w:val="00BE29C3"/>
    <w:rsid w:val="00BE2B62"/>
    <w:rsid w:val="00BE2DE4"/>
    <w:rsid w:val="00BE2FA6"/>
    <w:rsid w:val="00BE31EE"/>
    <w:rsid w:val="00BE3446"/>
    <w:rsid w:val="00BE38FD"/>
    <w:rsid w:val="00BE397D"/>
    <w:rsid w:val="00BE39A9"/>
    <w:rsid w:val="00BE3A7E"/>
    <w:rsid w:val="00BE3B8C"/>
    <w:rsid w:val="00BE3EEE"/>
    <w:rsid w:val="00BE3FA3"/>
    <w:rsid w:val="00BE424A"/>
    <w:rsid w:val="00BE4368"/>
    <w:rsid w:val="00BE43F7"/>
    <w:rsid w:val="00BE452C"/>
    <w:rsid w:val="00BE467B"/>
    <w:rsid w:val="00BE4733"/>
    <w:rsid w:val="00BE478C"/>
    <w:rsid w:val="00BE4834"/>
    <w:rsid w:val="00BE4A5A"/>
    <w:rsid w:val="00BE4D49"/>
    <w:rsid w:val="00BE4DAB"/>
    <w:rsid w:val="00BE4EEC"/>
    <w:rsid w:val="00BE5135"/>
    <w:rsid w:val="00BE5269"/>
    <w:rsid w:val="00BE5411"/>
    <w:rsid w:val="00BE5419"/>
    <w:rsid w:val="00BE5671"/>
    <w:rsid w:val="00BE592D"/>
    <w:rsid w:val="00BE5A55"/>
    <w:rsid w:val="00BE5C80"/>
    <w:rsid w:val="00BE5CEC"/>
    <w:rsid w:val="00BE642E"/>
    <w:rsid w:val="00BE67E6"/>
    <w:rsid w:val="00BE6A4C"/>
    <w:rsid w:val="00BE6B19"/>
    <w:rsid w:val="00BE6D51"/>
    <w:rsid w:val="00BE71AF"/>
    <w:rsid w:val="00BE729B"/>
    <w:rsid w:val="00BE74C2"/>
    <w:rsid w:val="00BE74F5"/>
    <w:rsid w:val="00BE74F8"/>
    <w:rsid w:val="00BE76BD"/>
    <w:rsid w:val="00BE7760"/>
    <w:rsid w:val="00BE78DA"/>
    <w:rsid w:val="00BE7A71"/>
    <w:rsid w:val="00BE7B3A"/>
    <w:rsid w:val="00BE7D5E"/>
    <w:rsid w:val="00BE7E39"/>
    <w:rsid w:val="00BF00A8"/>
    <w:rsid w:val="00BF00E4"/>
    <w:rsid w:val="00BF0257"/>
    <w:rsid w:val="00BF03F7"/>
    <w:rsid w:val="00BF06B9"/>
    <w:rsid w:val="00BF0962"/>
    <w:rsid w:val="00BF09E3"/>
    <w:rsid w:val="00BF0A62"/>
    <w:rsid w:val="00BF0B3E"/>
    <w:rsid w:val="00BF0BFB"/>
    <w:rsid w:val="00BF0EEB"/>
    <w:rsid w:val="00BF0F28"/>
    <w:rsid w:val="00BF107A"/>
    <w:rsid w:val="00BF11C9"/>
    <w:rsid w:val="00BF12D9"/>
    <w:rsid w:val="00BF13A7"/>
    <w:rsid w:val="00BF13D6"/>
    <w:rsid w:val="00BF152E"/>
    <w:rsid w:val="00BF1676"/>
    <w:rsid w:val="00BF1829"/>
    <w:rsid w:val="00BF1C14"/>
    <w:rsid w:val="00BF1E90"/>
    <w:rsid w:val="00BF2062"/>
    <w:rsid w:val="00BF216C"/>
    <w:rsid w:val="00BF24BB"/>
    <w:rsid w:val="00BF25D8"/>
    <w:rsid w:val="00BF2769"/>
    <w:rsid w:val="00BF283C"/>
    <w:rsid w:val="00BF2A93"/>
    <w:rsid w:val="00BF2E25"/>
    <w:rsid w:val="00BF2E4B"/>
    <w:rsid w:val="00BF329E"/>
    <w:rsid w:val="00BF32DE"/>
    <w:rsid w:val="00BF32F4"/>
    <w:rsid w:val="00BF34DF"/>
    <w:rsid w:val="00BF3550"/>
    <w:rsid w:val="00BF3774"/>
    <w:rsid w:val="00BF3AB6"/>
    <w:rsid w:val="00BF3C3F"/>
    <w:rsid w:val="00BF3C77"/>
    <w:rsid w:val="00BF4045"/>
    <w:rsid w:val="00BF415B"/>
    <w:rsid w:val="00BF4304"/>
    <w:rsid w:val="00BF435B"/>
    <w:rsid w:val="00BF448B"/>
    <w:rsid w:val="00BF46C4"/>
    <w:rsid w:val="00BF479F"/>
    <w:rsid w:val="00BF4870"/>
    <w:rsid w:val="00BF4927"/>
    <w:rsid w:val="00BF4AF1"/>
    <w:rsid w:val="00BF4DF8"/>
    <w:rsid w:val="00BF4E20"/>
    <w:rsid w:val="00BF4E4E"/>
    <w:rsid w:val="00BF4E59"/>
    <w:rsid w:val="00BF4EE6"/>
    <w:rsid w:val="00BF5015"/>
    <w:rsid w:val="00BF501C"/>
    <w:rsid w:val="00BF52C7"/>
    <w:rsid w:val="00BF54E5"/>
    <w:rsid w:val="00BF5613"/>
    <w:rsid w:val="00BF5729"/>
    <w:rsid w:val="00BF5974"/>
    <w:rsid w:val="00BF5B9E"/>
    <w:rsid w:val="00BF5DF2"/>
    <w:rsid w:val="00BF5E41"/>
    <w:rsid w:val="00BF6030"/>
    <w:rsid w:val="00BF62B5"/>
    <w:rsid w:val="00BF65B4"/>
    <w:rsid w:val="00BF666B"/>
    <w:rsid w:val="00BF6CAA"/>
    <w:rsid w:val="00BF6D03"/>
    <w:rsid w:val="00BF6D1B"/>
    <w:rsid w:val="00BF6E4A"/>
    <w:rsid w:val="00BF6F66"/>
    <w:rsid w:val="00BF7295"/>
    <w:rsid w:val="00BF757C"/>
    <w:rsid w:val="00BF75CC"/>
    <w:rsid w:val="00BF75F5"/>
    <w:rsid w:val="00BF7668"/>
    <w:rsid w:val="00BF7777"/>
    <w:rsid w:val="00BF77AB"/>
    <w:rsid w:val="00BF7868"/>
    <w:rsid w:val="00BF79AF"/>
    <w:rsid w:val="00BF7DC7"/>
    <w:rsid w:val="00C002D6"/>
    <w:rsid w:val="00C0042D"/>
    <w:rsid w:val="00C0080E"/>
    <w:rsid w:val="00C00875"/>
    <w:rsid w:val="00C009B5"/>
    <w:rsid w:val="00C00AA0"/>
    <w:rsid w:val="00C00ED1"/>
    <w:rsid w:val="00C010FF"/>
    <w:rsid w:val="00C01458"/>
    <w:rsid w:val="00C01459"/>
    <w:rsid w:val="00C015EA"/>
    <w:rsid w:val="00C019F3"/>
    <w:rsid w:val="00C01B3B"/>
    <w:rsid w:val="00C01E1D"/>
    <w:rsid w:val="00C01FC9"/>
    <w:rsid w:val="00C01FDF"/>
    <w:rsid w:val="00C01FFE"/>
    <w:rsid w:val="00C02452"/>
    <w:rsid w:val="00C025F1"/>
    <w:rsid w:val="00C0271D"/>
    <w:rsid w:val="00C02964"/>
    <w:rsid w:val="00C02AA0"/>
    <w:rsid w:val="00C02B79"/>
    <w:rsid w:val="00C02C35"/>
    <w:rsid w:val="00C03239"/>
    <w:rsid w:val="00C03B81"/>
    <w:rsid w:val="00C03BC0"/>
    <w:rsid w:val="00C03C5C"/>
    <w:rsid w:val="00C04153"/>
    <w:rsid w:val="00C04242"/>
    <w:rsid w:val="00C043B5"/>
    <w:rsid w:val="00C044F7"/>
    <w:rsid w:val="00C0455E"/>
    <w:rsid w:val="00C045B7"/>
    <w:rsid w:val="00C0465B"/>
    <w:rsid w:val="00C04692"/>
    <w:rsid w:val="00C04712"/>
    <w:rsid w:val="00C0477A"/>
    <w:rsid w:val="00C04DE9"/>
    <w:rsid w:val="00C04F7A"/>
    <w:rsid w:val="00C05006"/>
    <w:rsid w:val="00C05139"/>
    <w:rsid w:val="00C05142"/>
    <w:rsid w:val="00C054F3"/>
    <w:rsid w:val="00C05B00"/>
    <w:rsid w:val="00C05D2A"/>
    <w:rsid w:val="00C05D70"/>
    <w:rsid w:val="00C05DB7"/>
    <w:rsid w:val="00C05E31"/>
    <w:rsid w:val="00C05F07"/>
    <w:rsid w:val="00C05FEC"/>
    <w:rsid w:val="00C0621D"/>
    <w:rsid w:val="00C06291"/>
    <w:rsid w:val="00C06745"/>
    <w:rsid w:val="00C06807"/>
    <w:rsid w:val="00C069B0"/>
    <w:rsid w:val="00C06BB3"/>
    <w:rsid w:val="00C06CF6"/>
    <w:rsid w:val="00C06D1A"/>
    <w:rsid w:val="00C06E3E"/>
    <w:rsid w:val="00C06E44"/>
    <w:rsid w:val="00C06F58"/>
    <w:rsid w:val="00C06F83"/>
    <w:rsid w:val="00C070BD"/>
    <w:rsid w:val="00C07142"/>
    <w:rsid w:val="00C071A5"/>
    <w:rsid w:val="00C0736A"/>
    <w:rsid w:val="00C07393"/>
    <w:rsid w:val="00C07638"/>
    <w:rsid w:val="00C07771"/>
    <w:rsid w:val="00C07AB9"/>
    <w:rsid w:val="00C07F69"/>
    <w:rsid w:val="00C10071"/>
    <w:rsid w:val="00C10334"/>
    <w:rsid w:val="00C105EE"/>
    <w:rsid w:val="00C1090E"/>
    <w:rsid w:val="00C10925"/>
    <w:rsid w:val="00C10989"/>
    <w:rsid w:val="00C109D7"/>
    <w:rsid w:val="00C10A34"/>
    <w:rsid w:val="00C10D27"/>
    <w:rsid w:val="00C10FDC"/>
    <w:rsid w:val="00C11066"/>
    <w:rsid w:val="00C110C1"/>
    <w:rsid w:val="00C11106"/>
    <w:rsid w:val="00C1117D"/>
    <w:rsid w:val="00C11243"/>
    <w:rsid w:val="00C113AA"/>
    <w:rsid w:val="00C11550"/>
    <w:rsid w:val="00C11607"/>
    <w:rsid w:val="00C11649"/>
    <w:rsid w:val="00C116B1"/>
    <w:rsid w:val="00C1175C"/>
    <w:rsid w:val="00C11F3A"/>
    <w:rsid w:val="00C11FCD"/>
    <w:rsid w:val="00C12049"/>
    <w:rsid w:val="00C12063"/>
    <w:rsid w:val="00C1214F"/>
    <w:rsid w:val="00C12395"/>
    <w:rsid w:val="00C123F8"/>
    <w:rsid w:val="00C1240E"/>
    <w:rsid w:val="00C125BB"/>
    <w:rsid w:val="00C126D5"/>
    <w:rsid w:val="00C12703"/>
    <w:rsid w:val="00C12906"/>
    <w:rsid w:val="00C12987"/>
    <w:rsid w:val="00C129AF"/>
    <w:rsid w:val="00C12AD7"/>
    <w:rsid w:val="00C12AD8"/>
    <w:rsid w:val="00C12D27"/>
    <w:rsid w:val="00C12DAB"/>
    <w:rsid w:val="00C12DD6"/>
    <w:rsid w:val="00C12EBF"/>
    <w:rsid w:val="00C1324F"/>
    <w:rsid w:val="00C1346D"/>
    <w:rsid w:val="00C134B3"/>
    <w:rsid w:val="00C13570"/>
    <w:rsid w:val="00C135E0"/>
    <w:rsid w:val="00C1365F"/>
    <w:rsid w:val="00C13870"/>
    <w:rsid w:val="00C13B65"/>
    <w:rsid w:val="00C13C15"/>
    <w:rsid w:val="00C13E52"/>
    <w:rsid w:val="00C13F01"/>
    <w:rsid w:val="00C13FC9"/>
    <w:rsid w:val="00C1411B"/>
    <w:rsid w:val="00C141BA"/>
    <w:rsid w:val="00C1423A"/>
    <w:rsid w:val="00C143CA"/>
    <w:rsid w:val="00C147F8"/>
    <w:rsid w:val="00C1486D"/>
    <w:rsid w:val="00C148D9"/>
    <w:rsid w:val="00C14924"/>
    <w:rsid w:val="00C14AFA"/>
    <w:rsid w:val="00C14DA0"/>
    <w:rsid w:val="00C14E4C"/>
    <w:rsid w:val="00C14F04"/>
    <w:rsid w:val="00C14F4B"/>
    <w:rsid w:val="00C1503A"/>
    <w:rsid w:val="00C1507C"/>
    <w:rsid w:val="00C152E5"/>
    <w:rsid w:val="00C154B1"/>
    <w:rsid w:val="00C15583"/>
    <w:rsid w:val="00C15690"/>
    <w:rsid w:val="00C158E6"/>
    <w:rsid w:val="00C15A72"/>
    <w:rsid w:val="00C15C9D"/>
    <w:rsid w:val="00C15CED"/>
    <w:rsid w:val="00C15D49"/>
    <w:rsid w:val="00C15FE4"/>
    <w:rsid w:val="00C1622F"/>
    <w:rsid w:val="00C163B0"/>
    <w:rsid w:val="00C16624"/>
    <w:rsid w:val="00C16799"/>
    <w:rsid w:val="00C169F3"/>
    <w:rsid w:val="00C16B2D"/>
    <w:rsid w:val="00C16CEF"/>
    <w:rsid w:val="00C16F1D"/>
    <w:rsid w:val="00C16F89"/>
    <w:rsid w:val="00C1710C"/>
    <w:rsid w:val="00C171CD"/>
    <w:rsid w:val="00C1728C"/>
    <w:rsid w:val="00C177CB"/>
    <w:rsid w:val="00C178F2"/>
    <w:rsid w:val="00C20084"/>
    <w:rsid w:val="00C20124"/>
    <w:rsid w:val="00C20442"/>
    <w:rsid w:val="00C205EF"/>
    <w:rsid w:val="00C2066F"/>
    <w:rsid w:val="00C206E5"/>
    <w:rsid w:val="00C20A1D"/>
    <w:rsid w:val="00C20AAA"/>
    <w:rsid w:val="00C20C33"/>
    <w:rsid w:val="00C20DED"/>
    <w:rsid w:val="00C20EED"/>
    <w:rsid w:val="00C20F90"/>
    <w:rsid w:val="00C21011"/>
    <w:rsid w:val="00C21217"/>
    <w:rsid w:val="00C21351"/>
    <w:rsid w:val="00C21374"/>
    <w:rsid w:val="00C2169D"/>
    <w:rsid w:val="00C217AA"/>
    <w:rsid w:val="00C218EE"/>
    <w:rsid w:val="00C21ADF"/>
    <w:rsid w:val="00C21DEF"/>
    <w:rsid w:val="00C21F3D"/>
    <w:rsid w:val="00C2222E"/>
    <w:rsid w:val="00C22251"/>
    <w:rsid w:val="00C224AA"/>
    <w:rsid w:val="00C227BA"/>
    <w:rsid w:val="00C22958"/>
    <w:rsid w:val="00C22B4B"/>
    <w:rsid w:val="00C23102"/>
    <w:rsid w:val="00C23462"/>
    <w:rsid w:val="00C2349B"/>
    <w:rsid w:val="00C234CA"/>
    <w:rsid w:val="00C23858"/>
    <w:rsid w:val="00C2398F"/>
    <w:rsid w:val="00C239C3"/>
    <w:rsid w:val="00C23B05"/>
    <w:rsid w:val="00C23D3C"/>
    <w:rsid w:val="00C23D40"/>
    <w:rsid w:val="00C23E07"/>
    <w:rsid w:val="00C24007"/>
    <w:rsid w:val="00C24088"/>
    <w:rsid w:val="00C24312"/>
    <w:rsid w:val="00C24480"/>
    <w:rsid w:val="00C249C8"/>
    <w:rsid w:val="00C24A0D"/>
    <w:rsid w:val="00C24BD7"/>
    <w:rsid w:val="00C24FE4"/>
    <w:rsid w:val="00C25023"/>
    <w:rsid w:val="00C25562"/>
    <w:rsid w:val="00C25633"/>
    <w:rsid w:val="00C2563B"/>
    <w:rsid w:val="00C256D1"/>
    <w:rsid w:val="00C25A0C"/>
    <w:rsid w:val="00C25B72"/>
    <w:rsid w:val="00C25CB5"/>
    <w:rsid w:val="00C25F45"/>
    <w:rsid w:val="00C261A9"/>
    <w:rsid w:val="00C261F8"/>
    <w:rsid w:val="00C2626F"/>
    <w:rsid w:val="00C264AD"/>
    <w:rsid w:val="00C264DE"/>
    <w:rsid w:val="00C26512"/>
    <w:rsid w:val="00C26658"/>
    <w:rsid w:val="00C2668A"/>
    <w:rsid w:val="00C266CB"/>
    <w:rsid w:val="00C26726"/>
    <w:rsid w:val="00C268A0"/>
    <w:rsid w:val="00C268AE"/>
    <w:rsid w:val="00C269A8"/>
    <w:rsid w:val="00C26A85"/>
    <w:rsid w:val="00C26DB2"/>
    <w:rsid w:val="00C26E36"/>
    <w:rsid w:val="00C26E8F"/>
    <w:rsid w:val="00C27142"/>
    <w:rsid w:val="00C272D4"/>
    <w:rsid w:val="00C273A3"/>
    <w:rsid w:val="00C27458"/>
    <w:rsid w:val="00C275A0"/>
    <w:rsid w:val="00C2766B"/>
    <w:rsid w:val="00C27A6F"/>
    <w:rsid w:val="00C27F13"/>
    <w:rsid w:val="00C27F5A"/>
    <w:rsid w:val="00C3014E"/>
    <w:rsid w:val="00C30371"/>
    <w:rsid w:val="00C30380"/>
    <w:rsid w:val="00C3088F"/>
    <w:rsid w:val="00C308A5"/>
    <w:rsid w:val="00C308C2"/>
    <w:rsid w:val="00C30903"/>
    <w:rsid w:val="00C30ACC"/>
    <w:rsid w:val="00C30B19"/>
    <w:rsid w:val="00C30D23"/>
    <w:rsid w:val="00C30E96"/>
    <w:rsid w:val="00C31013"/>
    <w:rsid w:val="00C3116B"/>
    <w:rsid w:val="00C314EE"/>
    <w:rsid w:val="00C315ED"/>
    <w:rsid w:val="00C31C2A"/>
    <w:rsid w:val="00C31E2D"/>
    <w:rsid w:val="00C32058"/>
    <w:rsid w:val="00C320E9"/>
    <w:rsid w:val="00C323DB"/>
    <w:rsid w:val="00C324CF"/>
    <w:rsid w:val="00C327B5"/>
    <w:rsid w:val="00C327CB"/>
    <w:rsid w:val="00C32956"/>
    <w:rsid w:val="00C32CF4"/>
    <w:rsid w:val="00C32DC9"/>
    <w:rsid w:val="00C32F46"/>
    <w:rsid w:val="00C32FFB"/>
    <w:rsid w:val="00C33164"/>
    <w:rsid w:val="00C3345E"/>
    <w:rsid w:val="00C33B17"/>
    <w:rsid w:val="00C33F86"/>
    <w:rsid w:val="00C34237"/>
    <w:rsid w:val="00C34267"/>
    <w:rsid w:val="00C34586"/>
    <w:rsid w:val="00C345F0"/>
    <w:rsid w:val="00C34777"/>
    <w:rsid w:val="00C34A13"/>
    <w:rsid w:val="00C34B8D"/>
    <w:rsid w:val="00C34B9E"/>
    <w:rsid w:val="00C34CF6"/>
    <w:rsid w:val="00C34DF4"/>
    <w:rsid w:val="00C35113"/>
    <w:rsid w:val="00C352B8"/>
    <w:rsid w:val="00C352D8"/>
    <w:rsid w:val="00C353EB"/>
    <w:rsid w:val="00C355BE"/>
    <w:rsid w:val="00C358A2"/>
    <w:rsid w:val="00C358DA"/>
    <w:rsid w:val="00C35987"/>
    <w:rsid w:val="00C35B4D"/>
    <w:rsid w:val="00C35C17"/>
    <w:rsid w:val="00C35C3B"/>
    <w:rsid w:val="00C3634D"/>
    <w:rsid w:val="00C36484"/>
    <w:rsid w:val="00C368EB"/>
    <w:rsid w:val="00C36943"/>
    <w:rsid w:val="00C36A26"/>
    <w:rsid w:val="00C36AE5"/>
    <w:rsid w:val="00C36B4E"/>
    <w:rsid w:val="00C36C43"/>
    <w:rsid w:val="00C36E48"/>
    <w:rsid w:val="00C37445"/>
    <w:rsid w:val="00C3749D"/>
    <w:rsid w:val="00C374AF"/>
    <w:rsid w:val="00C379F2"/>
    <w:rsid w:val="00C37B4D"/>
    <w:rsid w:val="00C37B4E"/>
    <w:rsid w:val="00C37CBC"/>
    <w:rsid w:val="00C37EFA"/>
    <w:rsid w:val="00C37F03"/>
    <w:rsid w:val="00C400C6"/>
    <w:rsid w:val="00C403CA"/>
    <w:rsid w:val="00C404A9"/>
    <w:rsid w:val="00C404BD"/>
    <w:rsid w:val="00C4056E"/>
    <w:rsid w:val="00C405F3"/>
    <w:rsid w:val="00C408F8"/>
    <w:rsid w:val="00C40932"/>
    <w:rsid w:val="00C40A32"/>
    <w:rsid w:val="00C40B05"/>
    <w:rsid w:val="00C40B23"/>
    <w:rsid w:val="00C40C1A"/>
    <w:rsid w:val="00C40C33"/>
    <w:rsid w:val="00C41095"/>
    <w:rsid w:val="00C413EA"/>
    <w:rsid w:val="00C413F7"/>
    <w:rsid w:val="00C417B6"/>
    <w:rsid w:val="00C417EA"/>
    <w:rsid w:val="00C4188D"/>
    <w:rsid w:val="00C418B4"/>
    <w:rsid w:val="00C41B94"/>
    <w:rsid w:val="00C41D5A"/>
    <w:rsid w:val="00C41DAD"/>
    <w:rsid w:val="00C41E57"/>
    <w:rsid w:val="00C41ED7"/>
    <w:rsid w:val="00C421DA"/>
    <w:rsid w:val="00C42416"/>
    <w:rsid w:val="00C42738"/>
    <w:rsid w:val="00C429D9"/>
    <w:rsid w:val="00C42B7F"/>
    <w:rsid w:val="00C42DF7"/>
    <w:rsid w:val="00C42F2A"/>
    <w:rsid w:val="00C42F4E"/>
    <w:rsid w:val="00C43189"/>
    <w:rsid w:val="00C437F2"/>
    <w:rsid w:val="00C4384B"/>
    <w:rsid w:val="00C4385B"/>
    <w:rsid w:val="00C43879"/>
    <w:rsid w:val="00C439A4"/>
    <w:rsid w:val="00C43B50"/>
    <w:rsid w:val="00C43E73"/>
    <w:rsid w:val="00C43F21"/>
    <w:rsid w:val="00C44079"/>
    <w:rsid w:val="00C44ACE"/>
    <w:rsid w:val="00C44AF2"/>
    <w:rsid w:val="00C44BAC"/>
    <w:rsid w:val="00C44DD9"/>
    <w:rsid w:val="00C44DDD"/>
    <w:rsid w:val="00C45041"/>
    <w:rsid w:val="00C450D5"/>
    <w:rsid w:val="00C4527F"/>
    <w:rsid w:val="00C45482"/>
    <w:rsid w:val="00C455E0"/>
    <w:rsid w:val="00C45660"/>
    <w:rsid w:val="00C456EF"/>
    <w:rsid w:val="00C45A3E"/>
    <w:rsid w:val="00C45AB1"/>
    <w:rsid w:val="00C45B35"/>
    <w:rsid w:val="00C45C5B"/>
    <w:rsid w:val="00C45CD6"/>
    <w:rsid w:val="00C45D04"/>
    <w:rsid w:val="00C45DD3"/>
    <w:rsid w:val="00C45E89"/>
    <w:rsid w:val="00C45F60"/>
    <w:rsid w:val="00C4612D"/>
    <w:rsid w:val="00C461DD"/>
    <w:rsid w:val="00C46225"/>
    <w:rsid w:val="00C462FB"/>
    <w:rsid w:val="00C464E4"/>
    <w:rsid w:val="00C4651A"/>
    <w:rsid w:val="00C465A6"/>
    <w:rsid w:val="00C466B3"/>
    <w:rsid w:val="00C469BF"/>
    <w:rsid w:val="00C46AF0"/>
    <w:rsid w:val="00C46F99"/>
    <w:rsid w:val="00C46FE7"/>
    <w:rsid w:val="00C471CB"/>
    <w:rsid w:val="00C47201"/>
    <w:rsid w:val="00C47380"/>
    <w:rsid w:val="00C473D2"/>
    <w:rsid w:val="00C479AE"/>
    <w:rsid w:val="00C47A0D"/>
    <w:rsid w:val="00C47BB7"/>
    <w:rsid w:val="00C47D08"/>
    <w:rsid w:val="00C47DD7"/>
    <w:rsid w:val="00C47E46"/>
    <w:rsid w:val="00C502E4"/>
    <w:rsid w:val="00C505C6"/>
    <w:rsid w:val="00C506F5"/>
    <w:rsid w:val="00C50A21"/>
    <w:rsid w:val="00C50A46"/>
    <w:rsid w:val="00C50BE8"/>
    <w:rsid w:val="00C50EE9"/>
    <w:rsid w:val="00C51101"/>
    <w:rsid w:val="00C514B0"/>
    <w:rsid w:val="00C51575"/>
    <w:rsid w:val="00C51685"/>
    <w:rsid w:val="00C51A42"/>
    <w:rsid w:val="00C51B86"/>
    <w:rsid w:val="00C51C87"/>
    <w:rsid w:val="00C51E4A"/>
    <w:rsid w:val="00C51EB0"/>
    <w:rsid w:val="00C52041"/>
    <w:rsid w:val="00C522CE"/>
    <w:rsid w:val="00C5268A"/>
    <w:rsid w:val="00C5271E"/>
    <w:rsid w:val="00C528F0"/>
    <w:rsid w:val="00C52C20"/>
    <w:rsid w:val="00C52D06"/>
    <w:rsid w:val="00C52F7A"/>
    <w:rsid w:val="00C5312D"/>
    <w:rsid w:val="00C53535"/>
    <w:rsid w:val="00C53738"/>
    <w:rsid w:val="00C53BB5"/>
    <w:rsid w:val="00C53C46"/>
    <w:rsid w:val="00C53D81"/>
    <w:rsid w:val="00C53EF4"/>
    <w:rsid w:val="00C53F95"/>
    <w:rsid w:val="00C54031"/>
    <w:rsid w:val="00C5451D"/>
    <w:rsid w:val="00C5481C"/>
    <w:rsid w:val="00C54AB0"/>
    <w:rsid w:val="00C54BC0"/>
    <w:rsid w:val="00C54C62"/>
    <w:rsid w:val="00C54D39"/>
    <w:rsid w:val="00C54DB8"/>
    <w:rsid w:val="00C54EAE"/>
    <w:rsid w:val="00C5504C"/>
    <w:rsid w:val="00C55102"/>
    <w:rsid w:val="00C55520"/>
    <w:rsid w:val="00C55722"/>
    <w:rsid w:val="00C55836"/>
    <w:rsid w:val="00C56165"/>
    <w:rsid w:val="00C5623F"/>
    <w:rsid w:val="00C5637A"/>
    <w:rsid w:val="00C563AF"/>
    <w:rsid w:val="00C56581"/>
    <w:rsid w:val="00C565D4"/>
    <w:rsid w:val="00C565E7"/>
    <w:rsid w:val="00C56704"/>
    <w:rsid w:val="00C567D7"/>
    <w:rsid w:val="00C569BB"/>
    <w:rsid w:val="00C569F4"/>
    <w:rsid w:val="00C56AD1"/>
    <w:rsid w:val="00C56B36"/>
    <w:rsid w:val="00C56BC0"/>
    <w:rsid w:val="00C56F1F"/>
    <w:rsid w:val="00C56FDC"/>
    <w:rsid w:val="00C57010"/>
    <w:rsid w:val="00C57304"/>
    <w:rsid w:val="00C573B5"/>
    <w:rsid w:val="00C5752E"/>
    <w:rsid w:val="00C5776B"/>
    <w:rsid w:val="00C57791"/>
    <w:rsid w:val="00C57EA8"/>
    <w:rsid w:val="00C600C9"/>
    <w:rsid w:val="00C60162"/>
    <w:rsid w:val="00C60179"/>
    <w:rsid w:val="00C602A5"/>
    <w:rsid w:val="00C60369"/>
    <w:rsid w:val="00C6046F"/>
    <w:rsid w:val="00C60666"/>
    <w:rsid w:val="00C6066E"/>
    <w:rsid w:val="00C608EF"/>
    <w:rsid w:val="00C60BCE"/>
    <w:rsid w:val="00C60C45"/>
    <w:rsid w:val="00C60EEB"/>
    <w:rsid w:val="00C60F01"/>
    <w:rsid w:val="00C60FD4"/>
    <w:rsid w:val="00C61076"/>
    <w:rsid w:val="00C61184"/>
    <w:rsid w:val="00C612A9"/>
    <w:rsid w:val="00C612E5"/>
    <w:rsid w:val="00C61343"/>
    <w:rsid w:val="00C61405"/>
    <w:rsid w:val="00C6157E"/>
    <w:rsid w:val="00C6176E"/>
    <w:rsid w:val="00C6182A"/>
    <w:rsid w:val="00C6183B"/>
    <w:rsid w:val="00C618B7"/>
    <w:rsid w:val="00C618DC"/>
    <w:rsid w:val="00C61B2E"/>
    <w:rsid w:val="00C61EB5"/>
    <w:rsid w:val="00C62056"/>
    <w:rsid w:val="00C62174"/>
    <w:rsid w:val="00C625F5"/>
    <w:rsid w:val="00C626B1"/>
    <w:rsid w:val="00C62742"/>
    <w:rsid w:val="00C6293C"/>
    <w:rsid w:val="00C62AF1"/>
    <w:rsid w:val="00C62D34"/>
    <w:rsid w:val="00C62D87"/>
    <w:rsid w:val="00C62DC4"/>
    <w:rsid w:val="00C63054"/>
    <w:rsid w:val="00C630B3"/>
    <w:rsid w:val="00C631A1"/>
    <w:rsid w:val="00C631F3"/>
    <w:rsid w:val="00C634D8"/>
    <w:rsid w:val="00C63503"/>
    <w:rsid w:val="00C63513"/>
    <w:rsid w:val="00C63629"/>
    <w:rsid w:val="00C636C9"/>
    <w:rsid w:val="00C6379D"/>
    <w:rsid w:val="00C638AF"/>
    <w:rsid w:val="00C63A04"/>
    <w:rsid w:val="00C63B80"/>
    <w:rsid w:val="00C63BA2"/>
    <w:rsid w:val="00C63D34"/>
    <w:rsid w:val="00C63D57"/>
    <w:rsid w:val="00C63F41"/>
    <w:rsid w:val="00C641C8"/>
    <w:rsid w:val="00C641DF"/>
    <w:rsid w:val="00C64257"/>
    <w:rsid w:val="00C64308"/>
    <w:rsid w:val="00C6440D"/>
    <w:rsid w:val="00C64838"/>
    <w:rsid w:val="00C6489A"/>
    <w:rsid w:val="00C64902"/>
    <w:rsid w:val="00C649EF"/>
    <w:rsid w:val="00C64A20"/>
    <w:rsid w:val="00C64DA7"/>
    <w:rsid w:val="00C65155"/>
    <w:rsid w:val="00C65254"/>
    <w:rsid w:val="00C65485"/>
    <w:rsid w:val="00C6557E"/>
    <w:rsid w:val="00C6568B"/>
    <w:rsid w:val="00C6571D"/>
    <w:rsid w:val="00C65740"/>
    <w:rsid w:val="00C6574E"/>
    <w:rsid w:val="00C65832"/>
    <w:rsid w:val="00C65A5B"/>
    <w:rsid w:val="00C65DB9"/>
    <w:rsid w:val="00C65DEC"/>
    <w:rsid w:val="00C65EFD"/>
    <w:rsid w:val="00C65F48"/>
    <w:rsid w:val="00C65F9D"/>
    <w:rsid w:val="00C6601C"/>
    <w:rsid w:val="00C6606C"/>
    <w:rsid w:val="00C660D7"/>
    <w:rsid w:val="00C66237"/>
    <w:rsid w:val="00C663F9"/>
    <w:rsid w:val="00C66479"/>
    <w:rsid w:val="00C664D6"/>
    <w:rsid w:val="00C6672E"/>
    <w:rsid w:val="00C6674F"/>
    <w:rsid w:val="00C667CC"/>
    <w:rsid w:val="00C668FC"/>
    <w:rsid w:val="00C669CB"/>
    <w:rsid w:val="00C66DCA"/>
    <w:rsid w:val="00C66E5D"/>
    <w:rsid w:val="00C66FA4"/>
    <w:rsid w:val="00C672B2"/>
    <w:rsid w:val="00C675DC"/>
    <w:rsid w:val="00C67693"/>
    <w:rsid w:val="00C67830"/>
    <w:rsid w:val="00C67A83"/>
    <w:rsid w:val="00C67C52"/>
    <w:rsid w:val="00C67F0A"/>
    <w:rsid w:val="00C70003"/>
    <w:rsid w:val="00C7028E"/>
    <w:rsid w:val="00C702C7"/>
    <w:rsid w:val="00C70301"/>
    <w:rsid w:val="00C7034B"/>
    <w:rsid w:val="00C704E8"/>
    <w:rsid w:val="00C70523"/>
    <w:rsid w:val="00C707DA"/>
    <w:rsid w:val="00C707EA"/>
    <w:rsid w:val="00C70962"/>
    <w:rsid w:val="00C70A37"/>
    <w:rsid w:val="00C70A6A"/>
    <w:rsid w:val="00C70B62"/>
    <w:rsid w:val="00C70D4E"/>
    <w:rsid w:val="00C70D7E"/>
    <w:rsid w:val="00C70D95"/>
    <w:rsid w:val="00C70EA6"/>
    <w:rsid w:val="00C70FC6"/>
    <w:rsid w:val="00C7117D"/>
    <w:rsid w:val="00C711C2"/>
    <w:rsid w:val="00C7161E"/>
    <w:rsid w:val="00C71ED0"/>
    <w:rsid w:val="00C71ED3"/>
    <w:rsid w:val="00C72166"/>
    <w:rsid w:val="00C723BA"/>
    <w:rsid w:val="00C7277D"/>
    <w:rsid w:val="00C72B56"/>
    <w:rsid w:val="00C72BD7"/>
    <w:rsid w:val="00C72EBB"/>
    <w:rsid w:val="00C72F40"/>
    <w:rsid w:val="00C7301F"/>
    <w:rsid w:val="00C73096"/>
    <w:rsid w:val="00C7322B"/>
    <w:rsid w:val="00C735CE"/>
    <w:rsid w:val="00C73804"/>
    <w:rsid w:val="00C73874"/>
    <w:rsid w:val="00C739C0"/>
    <w:rsid w:val="00C73A34"/>
    <w:rsid w:val="00C73B76"/>
    <w:rsid w:val="00C73C1E"/>
    <w:rsid w:val="00C73D85"/>
    <w:rsid w:val="00C73DD5"/>
    <w:rsid w:val="00C740CA"/>
    <w:rsid w:val="00C74244"/>
    <w:rsid w:val="00C74254"/>
    <w:rsid w:val="00C743CD"/>
    <w:rsid w:val="00C7477A"/>
    <w:rsid w:val="00C74821"/>
    <w:rsid w:val="00C74CA3"/>
    <w:rsid w:val="00C74D01"/>
    <w:rsid w:val="00C74E2D"/>
    <w:rsid w:val="00C752C4"/>
    <w:rsid w:val="00C75340"/>
    <w:rsid w:val="00C75843"/>
    <w:rsid w:val="00C7589C"/>
    <w:rsid w:val="00C7591E"/>
    <w:rsid w:val="00C75B10"/>
    <w:rsid w:val="00C75C6B"/>
    <w:rsid w:val="00C75E3E"/>
    <w:rsid w:val="00C75F4C"/>
    <w:rsid w:val="00C76012"/>
    <w:rsid w:val="00C761B7"/>
    <w:rsid w:val="00C7632C"/>
    <w:rsid w:val="00C76429"/>
    <w:rsid w:val="00C76504"/>
    <w:rsid w:val="00C76625"/>
    <w:rsid w:val="00C76773"/>
    <w:rsid w:val="00C7678F"/>
    <w:rsid w:val="00C76B8A"/>
    <w:rsid w:val="00C76D9E"/>
    <w:rsid w:val="00C76DD0"/>
    <w:rsid w:val="00C76E08"/>
    <w:rsid w:val="00C76F73"/>
    <w:rsid w:val="00C7700B"/>
    <w:rsid w:val="00C77376"/>
    <w:rsid w:val="00C775BE"/>
    <w:rsid w:val="00C775E1"/>
    <w:rsid w:val="00C77792"/>
    <w:rsid w:val="00C77AA8"/>
    <w:rsid w:val="00C77AEC"/>
    <w:rsid w:val="00C77B18"/>
    <w:rsid w:val="00C77B48"/>
    <w:rsid w:val="00C77BAF"/>
    <w:rsid w:val="00C77D21"/>
    <w:rsid w:val="00C77F35"/>
    <w:rsid w:val="00C80133"/>
    <w:rsid w:val="00C80307"/>
    <w:rsid w:val="00C80350"/>
    <w:rsid w:val="00C80393"/>
    <w:rsid w:val="00C80411"/>
    <w:rsid w:val="00C8045D"/>
    <w:rsid w:val="00C804A8"/>
    <w:rsid w:val="00C804DE"/>
    <w:rsid w:val="00C804F9"/>
    <w:rsid w:val="00C805AF"/>
    <w:rsid w:val="00C805FC"/>
    <w:rsid w:val="00C8061D"/>
    <w:rsid w:val="00C80685"/>
    <w:rsid w:val="00C80902"/>
    <w:rsid w:val="00C80924"/>
    <w:rsid w:val="00C80991"/>
    <w:rsid w:val="00C80A9D"/>
    <w:rsid w:val="00C80C73"/>
    <w:rsid w:val="00C80D4E"/>
    <w:rsid w:val="00C80E71"/>
    <w:rsid w:val="00C80F82"/>
    <w:rsid w:val="00C8113F"/>
    <w:rsid w:val="00C811A7"/>
    <w:rsid w:val="00C812EE"/>
    <w:rsid w:val="00C81455"/>
    <w:rsid w:val="00C81500"/>
    <w:rsid w:val="00C81759"/>
    <w:rsid w:val="00C81AC0"/>
    <w:rsid w:val="00C81BFC"/>
    <w:rsid w:val="00C81C09"/>
    <w:rsid w:val="00C81D97"/>
    <w:rsid w:val="00C820B3"/>
    <w:rsid w:val="00C82274"/>
    <w:rsid w:val="00C8232E"/>
    <w:rsid w:val="00C82379"/>
    <w:rsid w:val="00C8247F"/>
    <w:rsid w:val="00C824CC"/>
    <w:rsid w:val="00C8257E"/>
    <w:rsid w:val="00C82757"/>
    <w:rsid w:val="00C8287E"/>
    <w:rsid w:val="00C82893"/>
    <w:rsid w:val="00C82C0F"/>
    <w:rsid w:val="00C82CB4"/>
    <w:rsid w:val="00C82D30"/>
    <w:rsid w:val="00C82FD9"/>
    <w:rsid w:val="00C83024"/>
    <w:rsid w:val="00C83263"/>
    <w:rsid w:val="00C83539"/>
    <w:rsid w:val="00C837FF"/>
    <w:rsid w:val="00C83B0F"/>
    <w:rsid w:val="00C83E01"/>
    <w:rsid w:val="00C83E32"/>
    <w:rsid w:val="00C83FB9"/>
    <w:rsid w:val="00C840E1"/>
    <w:rsid w:val="00C84237"/>
    <w:rsid w:val="00C842E6"/>
    <w:rsid w:val="00C846C5"/>
    <w:rsid w:val="00C84851"/>
    <w:rsid w:val="00C84B48"/>
    <w:rsid w:val="00C84C52"/>
    <w:rsid w:val="00C84D6A"/>
    <w:rsid w:val="00C84F2A"/>
    <w:rsid w:val="00C84F51"/>
    <w:rsid w:val="00C84F78"/>
    <w:rsid w:val="00C85211"/>
    <w:rsid w:val="00C85281"/>
    <w:rsid w:val="00C8532C"/>
    <w:rsid w:val="00C85399"/>
    <w:rsid w:val="00C854D7"/>
    <w:rsid w:val="00C854F9"/>
    <w:rsid w:val="00C8550B"/>
    <w:rsid w:val="00C85957"/>
    <w:rsid w:val="00C859CA"/>
    <w:rsid w:val="00C85B86"/>
    <w:rsid w:val="00C85E07"/>
    <w:rsid w:val="00C86173"/>
    <w:rsid w:val="00C86231"/>
    <w:rsid w:val="00C86632"/>
    <w:rsid w:val="00C86691"/>
    <w:rsid w:val="00C867A7"/>
    <w:rsid w:val="00C86A44"/>
    <w:rsid w:val="00C86BFC"/>
    <w:rsid w:val="00C86C32"/>
    <w:rsid w:val="00C86DCA"/>
    <w:rsid w:val="00C86F8D"/>
    <w:rsid w:val="00C86FF5"/>
    <w:rsid w:val="00C87334"/>
    <w:rsid w:val="00C8754C"/>
    <w:rsid w:val="00C877F3"/>
    <w:rsid w:val="00C87888"/>
    <w:rsid w:val="00C87A4C"/>
    <w:rsid w:val="00C87AE9"/>
    <w:rsid w:val="00C87FEE"/>
    <w:rsid w:val="00C90289"/>
    <w:rsid w:val="00C90950"/>
    <w:rsid w:val="00C90DF9"/>
    <w:rsid w:val="00C90FBF"/>
    <w:rsid w:val="00C9113D"/>
    <w:rsid w:val="00C9115B"/>
    <w:rsid w:val="00C9170E"/>
    <w:rsid w:val="00C918B7"/>
    <w:rsid w:val="00C91B76"/>
    <w:rsid w:val="00C91E0B"/>
    <w:rsid w:val="00C91FA3"/>
    <w:rsid w:val="00C91FED"/>
    <w:rsid w:val="00C92267"/>
    <w:rsid w:val="00C92271"/>
    <w:rsid w:val="00C92486"/>
    <w:rsid w:val="00C9251E"/>
    <w:rsid w:val="00C92649"/>
    <w:rsid w:val="00C9269D"/>
    <w:rsid w:val="00C9270C"/>
    <w:rsid w:val="00C92786"/>
    <w:rsid w:val="00C92BD8"/>
    <w:rsid w:val="00C92C66"/>
    <w:rsid w:val="00C92C6A"/>
    <w:rsid w:val="00C92DDC"/>
    <w:rsid w:val="00C93110"/>
    <w:rsid w:val="00C931DF"/>
    <w:rsid w:val="00C932BD"/>
    <w:rsid w:val="00C935AA"/>
    <w:rsid w:val="00C935EE"/>
    <w:rsid w:val="00C93749"/>
    <w:rsid w:val="00C93C6B"/>
    <w:rsid w:val="00C93D4A"/>
    <w:rsid w:val="00C93F3E"/>
    <w:rsid w:val="00C942D0"/>
    <w:rsid w:val="00C94331"/>
    <w:rsid w:val="00C947AB"/>
    <w:rsid w:val="00C947C8"/>
    <w:rsid w:val="00C94867"/>
    <w:rsid w:val="00C94B7F"/>
    <w:rsid w:val="00C94E1D"/>
    <w:rsid w:val="00C94EF7"/>
    <w:rsid w:val="00C94F24"/>
    <w:rsid w:val="00C952BF"/>
    <w:rsid w:val="00C9552A"/>
    <w:rsid w:val="00C955CE"/>
    <w:rsid w:val="00C95642"/>
    <w:rsid w:val="00C9590D"/>
    <w:rsid w:val="00C95972"/>
    <w:rsid w:val="00C95A7B"/>
    <w:rsid w:val="00C95C4F"/>
    <w:rsid w:val="00C95C6E"/>
    <w:rsid w:val="00C95D2B"/>
    <w:rsid w:val="00C96007"/>
    <w:rsid w:val="00C96293"/>
    <w:rsid w:val="00C96353"/>
    <w:rsid w:val="00C96373"/>
    <w:rsid w:val="00C9682F"/>
    <w:rsid w:val="00C96D4A"/>
    <w:rsid w:val="00C970BA"/>
    <w:rsid w:val="00C9711E"/>
    <w:rsid w:val="00C97350"/>
    <w:rsid w:val="00C97562"/>
    <w:rsid w:val="00C97A24"/>
    <w:rsid w:val="00C97E79"/>
    <w:rsid w:val="00C97EBE"/>
    <w:rsid w:val="00CA01E0"/>
    <w:rsid w:val="00CA037C"/>
    <w:rsid w:val="00CA05E1"/>
    <w:rsid w:val="00CA06E3"/>
    <w:rsid w:val="00CA0720"/>
    <w:rsid w:val="00CA073B"/>
    <w:rsid w:val="00CA07A6"/>
    <w:rsid w:val="00CA0967"/>
    <w:rsid w:val="00CA0BE5"/>
    <w:rsid w:val="00CA0CCF"/>
    <w:rsid w:val="00CA0DF3"/>
    <w:rsid w:val="00CA0ED6"/>
    <w:rsid w:val="00CA10EA"/>
    <w:rsid w:val="00CA11AF"/>
    <w:rsid w:val="00CA1209"/>
    <w:rsid w:val="00CA1264"/>
    <w:rsid w:val="00CA137B"/>
    <w:rsid w:val="00CA17A4"/>
    <w:rsid w:val="00CA1AA5"/>
    <w:rsid w:val="00CA1BC4"/>
    <w:rsid w:val="00CA1BD5"/>
    <w:rsid w:val="00CA1F98"/>
    <w:rsid w:val="00CA1FA5"/>
    <w:rsid w:val="00CA2050"/>
    <w:rsid w:val="00CA20CF"/>
    <w:rsid w:val="00CA21DE"/>
    <w:rsid w:val="00CA230A"/>
    <w:rsid w:val="00CA24D6"/>
    <w:rsid w:val="00CA27BC"/>
    <w:rsid w:val="00CA2861"/>
    <w:rsid w:val="00CA2944"/>
    <w:rsid w:val="00CA2BB7"/>
    <w:rsid w:val="00CA2BE8"/>
    <w:rsid w:val="00CA2CEE"/>
    <w:rsid w:val="00CA2D05"/>
    <w:rsid w:val="00CA2EB6"/>
    <w:rsid w:val="00CA2EBA"/>
    <w:rsid w:val="00CA2F0D"/>
    <w:rsid w:val="00CA2F2A"/>
    <w:rsid w:val="00CA302B"/>
    <w:rsid w:val="00CA3079"/>
    <w:rsid w:val="00CA3313"/>
    <w:rsid w:val="00CA33EA"/>
    <w:rsid w:val="00CA3752"/>
    <w:rsid w:val="00CA3912"/>
    <w:rsid w:val="00CA3918"/>
    <w:rsid w:val="00CA3AF6"/>
    <w:rsid w:val="00CA3B90"/>
    <w:rsid w:val="00CA3D58"/>
    <w:rsid w:val="00CA3F8C"/>
    <w:rsid w:val="00CA3FBD"/>
    <w:rsid w:val="00CA424E"/>
    <w:rsid w:val="00CA43B5"/>
    <w:rsid w:val="00CA43E7"/>
    <w:rsid w:val="00CA4598"/>
    <w:rsid w:val="00CA4713"/>
    <w:rsid w:val="00CA498B"/>
    <w:rsid w:val="00CA4A79"/>
    <w:rsid w:val="00CA4B31"/>
    <w:rsid w:val="00CA4B35"/>
    <w:rsid w:val="00CA4BFD"/>
    <w:rsid w:val="00CA4CC6"/>
    <w:rsid w:val="00CA4DBB"/>
    <w:rsid w:val="00CA513C"/>
    <w:rsid w:val="00CA526F"/>
    <w:rsid w:val="00CA5534"/>
    <w:rsid w:val="00CA5579"/>
    <w:rsid w:val="00CA5961"/>
    <w:rsid w:val="00CA5A77"/>
    <w:rsid w:val="00CA5AE2"/>
    <w:rsid w:val="00CA5EEA"/>
    <w:rsid w:val="00CA6070"/>
    <w:rsid w:val="00CA60DC"/>
    <w:rsid w:val="00CA613D"/>
    <w:rsid w:val="00CA62B6"/>
    <w:rsid w:val="00CA6511"/>
    <w:rsid w:val="00CA6687"/>
    <w:rsid w:val="00CA6C78"/>
    <w:rsid w:val="00CA6CF8"/>
    <w:rsid w:val="00CA6E98"/>
    <w:rsid w:val="00CA6ED4"/>
    <w:rsid w:val="00CA70B2"/>
    <w:rsid w:val="00CA72D0"/>
    <w:rsid w:val="00CA750D"/>
    <w:rsid w:val="00CA7522"/>
    <w:rsid w:val="00CA7680"/>
    <w:rsid w:val="00CA780C"/>
    <w:rsid w:val="00CA7DE2"/>
    <w:rsid w:val="00CB0013"/>
    <w:rsid w:val="00CB0067"/>
    <w:rsid w:val="00CB0156"/>
    <w:rsid w:val="00CB01CE"/>
    <w:rsid w:val="00CB0640"/>
    <w:rsid w:val="00CB0C08"/>
    <w:rsid w:val="00CB108F"/>
    <w:rsid w:val="00CB1228"/>
    <w:rsid w:val="00CB1318"/>
    <w:rsid w:val="00CB1468"/>
    <w:rsid w:val="00CB14B2"/>
    <w:rsid w:val="00CB15B6"/>
    <w:rsid w:val="00CB1841"/>
    <w:rsid w:val="00CB19DB"/>
    <w:rsid w:val="00CB1EC4"/>
    <w:rsid w:val="00CB208C"/>
    <w:rsid w:val="00CB2131"/>
    <w:rsid w:val="00CB21CD"/>
    <w:rsid w:val="00CB21EA"/>
    <w:rsid w:val="00CB251C"/>
    <w:rsid w:val="00CB26B5"/>
    <w:rsid w:val="00CB2716"/>
    <w:rsid w:val="00CB2D00"/>
    <w:rsid w:val="00CB33C9"/>
    <w:rsid w:val="00CB3586"/>
    <w:rsid w:val="00CB36BE"/>
    <w:rsid w:val="00CB3705"/>
    <w:rsid w:val="00CB391D"/>
    <w:rsid w:val="00CB39E4"/>
    <w:rsid w:val="00CB39E7"/>
    <w:rsid w:val="00CB3A1A"/>
    <w:rsid w:val="00CB3BF4"/>
    <w:rsid w:val="00CB4220"/>
    <w:rsid w:val="00CB4285"/>
    <w:rsid w:val="00CB42C3"/>
    <w:rsid w:val="00CB431C"/>
    <w:rsid w:val="00CB438B"/>
    <w:rsid w:val="00CB44E2"/>
    <w:rsid w:val="00CB457B"/>
    <w:rsid w:val="00CB4693"/>
    <w:rsid w:val="00CB4748"/>
    <w:rsid w:val="00CB48DC"/>
    <w:rsid w:val="00CB4BB0"/>
    <w:rsid w:val="00CB4C2C"/>
    <w:rsid w:val="00CB4C2D"/>
    <w:rsid w:val="00CB4D6F"/>
    <w:rsid w:val="00CB4D87"/>
    <w:rsid w:val="00CB4DFB"/>
    <w:rsid w:val="00CB4E2F"/>
    <w:rsid w:val="00CB4EC2"/>
    <w:rsid w:val="00CB4F83"/>
    <w:rsid w:val="00CB4FF4"/>
    <w:rsid w:val="00CB5067"/>
    <w:rsid w:val="00CB5226"/>
    <w:rsid w:val="00CB526D"/>
    <w:rsid w:val="00CB5769"/>
    <w:rsid w:val="00CB57AB"/>
    <w:rsid w:val="00CB58D5"/>
    <w:rsid w:val="00CB591D"/>
    <w:rsid w:val="00CB5B7E"/>
    <w:rsid w:val="00CB5DB2"/>
    <w:rsid w:val="00CB5E3A"/>
    <w:rsid w:val="00CB5E56"/>
    <w:rsid w:val="00CB5EA5"/>
    <w:rsid w:val="00CB5F01"/>
    <w:rsid w:val="00CB5F40"/>
    <w:rsid w:val="00CB6203"/>
    <w:rsid w:val="00CB6259"/>
    <w:rsid w:val="00CB653A"/>
    <w:rsid w:val="00CB6578"/>
    <w:rsid w:val="00CB669E"/>
    <w:rsid w:val="00CB670C"/>
    <w:rsid w:val="00CB67FC"/>
    <w:rsid w:val="00CB6871"/>
    <w:rsid w:val="00CB68F3"/>
    <w:rsid w:val="00CB6998"/>
    <w:rsid w:val="00CB6ABB"/>
    <w:rsid w:val="00CB6BA4"/>
    <w:rsid w:val="00CB6D2C"/>
    <w:rsid w:val="00CB6DB9"/>
    <w:rsid w:val="00CB6E49"/>
    <w:rsid w:val="00CB6EA6"/>
    <w:rsid w:val="00CB6EDC"/>
    <w:rsid w:val="00CB6F84"/>
    <w:rsid w:val="00CB6FA5"/>
    <w:rsid w:val="00CB707E"/>
    <w:rsid w:val="00CB70C6"/>
    <w:rsid w:val="00CB74E9"/>
    <w:rsid w:val="00CB76F0"/>
    <w:rsid w:val="00CB7732"/>
    <w:rsid w:val="00CB78F6"/>
    <w:rsid w:val="00CB7DC6"/>
    <w:rsid w:val="00CC00E7"/>
    <w:rsid w:val="00CC0147"/>
    <w:rsid w:val="00CC01DF"/>
    <w:rsid w:val="00CC052C"/>
    <w:rsid w:val="00CC054A"/>
    <w:rsid w:val="00CC0560"/>
    <w:rsid w:val="00CC0C1C"/>
    <w:rsid w:val="00CC0D4B"/>
    <w:rsid w:val="00CC0E5B"/>
    <w:rsid w:val="00CC0E98"/>
    <w:rsid w:val="00CC10D7"/>
    <w:rsid w:val="00CC10DA"/>
    <w:rsid w:val="00CC1103"/>
    <w:rsid w:val="00CC1142"/>
    <w:rsid w:val="00CC115F"/>
    <w:rsid w:val="00CC1220"/>
    <w:rsid w:val="00CC1554"/>
    <w:rsid w:val="00CC17B0"/>
    <w:rsid w:val="00CC18AC"/>
    <w:rsid w:val="00CC1C0F"/>
    <w:rsid w:val="00CC1C58"/>
    <w:rsid w:val="00CC1E6A"/>
    <w:rsid w:val="00CC2076"/>
    <w:rsid w:val="00CC21C6"/>
    <w:rsid w:val="00CC2277"/>
    <w:rsid w:val="00CC23C8"/>
    <w:rsid w:val="00CC2498"/>
    <w:rsid w:val="00CC26CE"/>
    <w:rsid w:val="00CC2717"/>
    <w:rsid w:val="00CC273E"/>
    <w:rsid w:val="00CC27BE"/>
    <w:rsid w:val="00CC2AB5"/>
    <w:rsid w:val="00CC2B9B"/>
    <w:rsid w:val="00CC2BD5"/>
    <w:rsid w:val="00CC2CAA"/>
    <w:rsid w:val="00CC2E46"/>
    <w:rsid w:val="00CC2F09"/>
    <w:rsid w:val="00CC307D"/>
    <w:rsid w:val="00CC3A09"/>
    <w:rsid w:val="00CC3B74"/>
    <w:rsid w:val="00CC43B5"/>
    <w:rsid w:val="00CC43E0"/>
    <w:rsid w:val="00CC48F8"/>
    <w:rsid w:val="00CC492B"/>
    <w:rsid w:val="00CC4949"/>
    <w:rsid w:val="00CC5114"/>
    <w:rsid w:val="00CC524C"/>
    <w:rsid w:val="00CC52CF"/>
    <w:rsid w:val="00CC53C0"/>
    <w:rsid w:val="00CC54F8"/>
    <w:rsid w:val="00CC5721"/>
    <w:rsid w:val="00CC572E"/>
    <w:rsid w:val="00CC58C3"/>
    <w:rsid w:val="00CC5C2C"/>
    <w:rsid w:val="00CC5D31"/>
    <w:rsid w:val="00CC5E17"/>
    <w:rsid w:val="00CC5EDF"/>
    <w:rsid w:val="00CC6015"/>
    <w:rsid w:val="00CC6251"/>
    <w:rsid w:val="00CC62B5"/>
    <w:rsid w:val="00CC67A2"/>
    <w:rsid w:val="00CC687B"/>
    <w:rsid w:val="00CC6923"/>
    <w:rsid w:val="00CC6984"/>
    <w:rsid w:val="00CC6D2D"/>
    <w:rsid w:val="00CC6F4B"/>
    <w:rsid w:val="00CC7000"/>
    <w:rsid w:val="00CC7011"/>
    <w:rsid w:val="00CC7599"/>
    <w:rsid w:val="00CC7670"/>
    <w:rsid w:val="00CC77C0"/>
    <w:rsid w:val="00CC77CB"/>
    <w:rsid w:val="00CC79C9"/>
    <w:rsid w:val="00CC7D24"/>
    <w:rsid w:val="00CC7E3E"/>
    <w:rsid w:val="00CC7F4D"/>
    <w:rsid w:val="00CD0368"/>
    <w:rsid w:val="00CD03C9"/>
    <w:rsid w:val="00CD03E2"/>
    <w:rsid w:val="00CD05D9"/>
    <w:rsid w:val="00CD0616"/>
    <w:rsid w:val="00CD0641"/>
    <w:rsid w:val="00CD0802"/>
    <w:rsid w:val="00CD081A"/>
    <w:rsid w:val="00CD099B"/>
    <w:rsid w:val="00CD0C5D"/>
    <w:rsid w:val="00CD123D"/>
    <w:rsid w:val="00CD132E"/>
    <w:rsid w:val="00CD13CD"/>
    <w:rsid w:val="00CD1424"/>
    <w:rsid w:val="00CD1583"/>
    <w:rsid w:val="00CD168B"/>
    <w:rsid w:val="00CD16C6"/>
    <w:rsid w:val="00CD1A1E"/>
    <w:rsid w:val="00CD1D0B"/>
    <w:rsid w:val="00CD1D39"/>
    <w:rsid w:val="00CD1DD8"/>
    <w:rsid w:val="00CD1E00"/>
    <w:rsid w:val="00CD2045"/>
    <w:rsid w:val="00CD224C"/>
    <w:rsid w:val="00CD2761"/>
    <w:rsid w:val="00CD27DA"/>
    <w:rsid w:val="00CD2966"/>
    <w:rsid w:val="00CD2D97"/>
    <w:rsid w:val="00CD2E4A"/>
    <w:rsid w:val="00CD2F01"/>
    <w:rsid w:val="00CD3262"/>
    <w:rsid w:val="00CD3312"/>
    <w:rsid w:val="00CD336A"/>
    <w:rsid w:val="00CD35D6"/>
    <w:rsid w:val="00CD380A"/>
    <w:rsid w:val="00CD3ABF"/>
    <w:rsid w:val="00CD3B22"/>
    <w:rsid w:val="00CD3B73"/>
    <w:rsid w:val="00CD3F43"/>
    <w:rsid w:val="00CD4107"/>
    <w:rsid w:val="00CD4221"/>
    <w:rsid w:val="00CD4227"/>
    <w:rsid w:val="00CD46DB"/>
    <w:rsid w:val="00CD49AA"/>
    <w:rsid w:val="00CD4A0E"/>
    <w:rsid w:val="00CD4BA6"/>
    <w:rsid w:val="00CD4BFB"/>
    <w:rsid w:val="00CD4CD1"/>
    <w:rsid w:val="00CD4DB4"/>
    <w:rsid w:val="00CD4DFE"/>
    <w:rsid w:val="00CD4ED7"/>
    <w:rsid w:val="00CD503D"/>
    <w:rsid w:val="00CD5068"/>
    <w:rsid w:val="00CD51F8"/>
    <w:rsid w:val="00CD52F4"/>
    <w:rsid w:val="00CD544F"/>
    <w:rsid w:val="00CD554F"/>
    <w:rsid w:val="00CD55CD"/>
    <w:rsid w:val="00CD565C"/>
    <w:rsid w:val="00CD567B"/>
    <w:rsid w:val="00CD56E2"/>
    <w:rsid w:val="00CD5968"/>
    <w:rsid w:val="00CD596A"/>
    <w:rsid w:val="00CD5C3F"/>
    <w:rsid w:val="00CD5DE9"/>
    <w:rsid w:val="00CD5E64"/>
    <w:rsid w:val="00CD6134"/>
    <w:rsid w:val="00CD6135"/>
    <w:rsid w:val="00CD63AC"/>
    <w:rsid w:val="00CD64FE"/>
    <w:rsid w:val="00CD656E"/>
    <w:rsid w:val="00CD6783"/>
    <w:rsid w:val="00CD6B47"/>
    <w:rsid w:val="00CD6DAF"/>
    <w:rsid w:val="00CD712D"/>
    <w:rsid w:val="00CD7163"/>
    <w:rsid w:val="00CD71D3"/>
    <w:rsid w:val="00CD7202"/>
    <w:rsid w:val="00CD730D"/>
    <w:rsid w:val="00CD770F"/>
    <w:rsid w:val="00CD7809"/>
    <w:rsid w:val="00CD7BB6"/>
    <w:rsid w:val="00CD7C13"/>
    <w:rsid w:val="00CD7D58"/>
    <w:rsid w:val="00CD7F2E"/>
    <w:rsid w:val="00CE00EE"/>
    <w:rsid w:val="00CE011E"/>
    <w:rsid w:val="00CE0164"/>
    <w:rsid w:val="00CE02B1"/>
    <w:rsid w:val="00CE0355"/>
    <w:rsid w:val="00CE0A09"/>
    <w:rsid w:val="00CE0AF0"/>
    <w:rsid w:val="00CE0C86"/>
    <w:rsid w:val="00CE0E6B"/>
    <w:rsid w:val="00CE0F3A"/>
    <w:rsid w:val="00CE102D"/>
    <w:rsid w:val="00CE10D3"/>
    <w:rsid w:val="00CE11A4"/>
    <w:rsid w:val="00CE1389"/>
    <w:rsid w:val="00CE13CF"/>
    <w:rsid w:val="00CE1AF4"/>
    <w:rsid w:val="00CE1DC4"/>
    <w:rsid w:val="00CE1E8F"/>
    <w:rsid w:val="00CE2041"/>
    <w:rsid w:val="00CE2192"/>
    <w:rsid w:val="00CE21D5"/>
    <w:rsid w:val="00CE21EE"/>
    <w:rsid w:val="00CE2204"/>
    <w:rsid w:val="00CE28D0"/>
    <w:rsid w:val="00CE29FE"/>
    <w:rsid w:val="00CE2B5A"/>
    <w:rsid w:val="00CE2C4B"/>
    <w:rsid w:val="00CE2CE2"/>
    <w:rsid w:val="00CE2D34"/>
    <w:rsid w:val="00CE2E13"/>
    <w:rsid w:val="00CE32DF"/>
    <w:rsid w:val="00CE34A1"/>
    <w:rsid w:val="00CE356F"/>
    <w:rsid w:val="00CE374B"/>
    <w:rsid w:val="00CE3773"/>
    <w:rsid w:val="00CE38FE"/>
    <w:rsid w:val="00CE3930"/>
    <w:rsid w:val="00CE3A0F"/>
    <w:rsid w:val="00CE3B50"/>
    <w:rsid w:val="00CE3B66"/>
    <w:rsid w:val="00CE3BA2"/>
    <w:rsid w:val="00CE3C51"/>
    <w:rsid w:val="00CE3E36"/>
    <w:rsid w:val="00CE3E9C"/>
    <w:rsid w:val="00CE478C"/>
    <w:rsid w:val="00CE4AC1"/>
    <w:rsid w:val="00CE4B8E"/>
    <w:rsid w:val="00CE4DE3"/>
    <w:rsid w:val="00CE5010"/>
    <w:rsid w:val="00CE52C0"/>
    <w:rsid w:val="00CE5381"/>
    <w:rsid w:val="00CE5514"/>
    <w:rsid w:val="00CE5875"/>
    <w:rsid w:val="00CE58BC"/>
    <w:rsid w:val="00CE5B17"/>
    <w:rsid w:val="00CE5B7B"/>
    <w:rsid w:val="00CE5FF5"/>
    <w:rsid w:val="00CE6176"/>
    <w:rsid w:val="00CE6270"/>
    <w:rsid w:val="00CE6452"/>
    <w:rsid w:val="00CE64A6"/>
    <w:rsid w:val="00CE64ED"/>
    <w:rsid w:val="00CE676E"/>
    <w:rsid w:val="00CE6780"/>
    <w:rsid w:val="00CE68B4"/>
    <w:rsid w:val="00CE69AF"/>
    <w:rsid w:val="00CE6BAF"/>
    <w:rsid w:val="00CE6BCF"/>
    <w:rsid w:val="00CE6D4E"/>
    <w:rsid w:val="00CE6D86"/>
    <w:rsid w:val="00CE6D9B"/>
    <w:rsid w:val="00CE6DAB"/>
    <w:rsid w:val="00CE71B9"/>
    <w:rsid w:val="00CE7995"/>
    <w:rsid w:val="00CE7DF3"/>
    <w:rsid w:val="00CF00DE"/>
    <w:rsid w:val="00CF00F5"/>
    <w:rsid w:val="00CF0492"/>
    <w:rsid w:val="00CF0810"/>
    <w:rsid w:val="00CF0976"/>
    <w:rsid w:val="00CF09B1"/>
    <w:rsid w:val="00CF09CC"/>
    <w:rsid w:val="00CF0A58"/>
    <w:rsid w:val="00CF0DD5"/>
    <w:rsid w:val="00CF10DC"/>
    <w:rsid w:val="00CF1186"/>
    <w:rsid w:val="00CF1319"/>
    <w:rsid w:val="00CF144B"/>
    <w:rsid w:val="00CF16C7"/>
    <w:rsid w:val="00CF1843"/>
    <w:rsid w:val="00CF189F"/>
    <w:rsid w:val="00CF1AC8"/>
    <w:rsid w:val="00CF1B7F"/>
    <w:rsid w:val="00CF1E76"/>
    <w:rsid w:val="00CF2121"/>
    <w:rsid w:val="00CF2269"/>
    <w:rsid w:val="00CF2387"/>
    <w:rsid w:val="00CF2697"/>
    <w:rsid w:val="00CF2729"/>
    <w:rsid w:val="00CF2AE4"/>
    <w:rsid w:val="00CF2B39"/>
    <w:rsid w:val="00CF2C8F"/>
    <w:rsid w:val="00CF2E9F"/>
    <w:rsid w:val="00CF2F63"/>
    <w:rsid w:val="00CF311A"/>
    <w:rsid w:val="00CF3503"/>
    <w:rsid w:val="00CF378C"/>
    <w:rsid w:val="00CF394F"/>
    <w:rsid w:val="00CF3994"/>
    <w:rsid w:val="00CF39CE"/>
    <w:rsid w:val="00CF3C86"/>
    <w:rsid w:val="00CF3DD1"/>
    <w:rsid w:val="00CF3DDD"/>
    <w:rsid w:val="00CF3FD2"/>
    <w:rsid w:val="00CF4172"/>
    <w:rsid w:val="00CF418F"/>
    <w:rsid w:val="00CF4194"/>
    <w:rsid w:val="00CF4323"/>
    <w:rsid w:val="00CF43F0"/>
    <w:rsid w:val="00CF4419"/>
    <w:rsid w:val="00CF446F"/>
    <w:rsid w:val="00CF4557"/>
    <w:rsid w:val="00CF45D4"/>
    <w:rsid w:val="00CF4647"/>
    <w:rsid w:val="00CF47F4"/>
    <w:rsid w:val="00CF4922"/>
    <w:rsid w:val="00CF494F"/>
    <w:rsid w:val="00CF4BBB"/>
    <w:rsid w:val="00CF4E20"/>
    <w:rsid w:val="00CF4F0C"/>
    <w:rsid w:val="00CF4FD2"/>
    <w:rsid w:val="00CF51FD"/>
    <w:rsid w:val="00CF5202"/>
    <w:rsid w:val="00CF55C1"/>
    <w:rsid w:val="00CF56B2"/>
    <w:rsid w:val="00CF586D"/>
    <w:rsid w:val="00CF5D97"/>
    <w:rsid w:val="00CF5FB1"/>
    <w:rsid w:val="00CF6114"/>
    <w:rsid w:val="00CF6222"/>
    <w:rsid w:val="00CF63A7"/>
    <w:rsid w:val="00CF646B"/>
    <w:rsid w:val="00CF65C5"/>
    <w:rsid w:val="00CF67AB"/>
    <w:rsid w:val="00CF69E6"/>
    <w:rsid w:val="00CF6BD1"/>
    <w:rsid w:val="00CF6C5D"/>
    <w:rsid w:val="00CF6CF1"/>
    <w:rsid w:val="00CF6DBE"/>
    <w:rsid w:val="00CF6DC4"/>
    <w:rsid w:val="00CF6F7B"/>
    <w:rsid w:val="00CF772C"/>
    <w:rsid w:val="00CF774D"/>
    <w:rsid w:val="00CF776F"/>
    <w:rsid w:val="00CF777B"/>
    <w:rsid w:val="00CF7D1D"/>
    <w:rsid w:val="00CF7D6D"/>
    <w:rsid w:val="00CF7FCB"/>
    <w:rsid w:val="00D0003C"/>
    <w:rsid w:val="00D00116"/>
    <w:rsid w:val="00D00129"/>
    <w:rsid w:val="00D001DE"/>
    <w:rsid w:val="00D0021B"/>
    <w:rsid w:val="00D0022C"/>
    <w:rsid w:val="00D00293"/>
    <w:rsid w:val="00D002B5"/>
    <w:rsid w:val="00D002F0"/>
    <w:rsid w:val="00D003D0"/>
    <w:rsid w:val="00D0065A"/>
    <w:rsid w:val="00D0067B"/>
    <w:rsid w:val="00D007CD"/>
    <w:rsid w:val="00D0087D"/>
    <w:rsid w:val="00D008F8"/>
    <w:rsid w:val="00D00A60"/>
    <w:rsid w:val="00D00BB9"/>
    <w:rsid w:val="00D00C00"/>
    <w:rsid w:val="00D00F0B"/>
    <w:rsid w:val="00D00F1E"/>
    <w:rsid w:val="00D00F5A"/>
    <w:rsid w:val="00D00F82"/>
    <w:rsid w:val="00D011D0"/>
    <w:rsid w:val="00D01229"/>
    <w:rsid w:val="00D01BD0"/>
    <w:rsid w:val="00D01C86"/>
    <w:rsid w:val="00D01DE9"/>
    <w:rsid w:val="00D01E5F"/>
    <w:rsid w:val="00D01EE4"/>
    <w:rsid w:val="00D01F03"/>
    <w:rsid w:val="00D01F6D"/>
    <w:rsid w:val="00D02003"/>
    <w:rsid w:val="00D020C4"/>
    <w:rsid w:val="00D0219F"/>
    <w:rsid w:val="00D02541"/>
    <w:rsid w:val="00D0255B"/>
    <w:rsid w:val="00D026D8"/>
    <w:rsid w:val="00D02843"/>
    <w:rsid w:val="00D02CC7"/>
    <w:rsid w:val="00D02DD7"/>
    <w:rsid w:val="00D02E5A"/>
    <w:rsid w:val="00D03077"/>
    <w:rsid w:val="00D030B3"/>
    <w:rsid w:val="00D034CB"/>
    <w:rsid w:val="00D03620"/>
    <w:rsid w:val="00D03625"/>
    <w:rsid w:val="00D036F3"/>
    <w:rsid w:val="00D03946"/>
    <w:rsid w:val="00D03B9C"/>
    <w:rsid w:val="00D03BCE"/>
    <w:rsid w:val="00D03C1E"/>
    <w:rsid w:val="00D03D45"/>
    <w:rsid w:val="00D04719"/>
    <w:rsid w:val="00D04A61"/>
    <w:rsid w:val="00D04D62"/>
    <w:rsid w:val="00D04E6C"/>
    <w:rsid w:val="00D04FAC"/>
    <w:rsid w:val="00D0502A"/>
    <w:rsid w:val="00D0506C"/>
    <w:rsid w:val="00D052E4"/>
    <w:rsid w:val="00D05421"/>
    <w:rsid w:val="00D05641"/>
    <w:rsid w:val="00D056F6"/>
    <w:rsid w:val="00D057A1"/>
    <w:rsid w:val="00D058F4"/>
    <w:rsid w:val="00D05ACD"/>
    <w:rsid w:val="00D05B6A"/>
    <w:rsid w:val="00D05B75"/>
    <w:rsid w:val="00D05C29"/>
    <w:rsid w:val="00D05C70"/>
    <w:rsid w:val="00D063A1"/>
    <w:rsid w:val="00D06620"/>
    <w:rsid w:val="00D06722"/>
    <w:rsid w:val="00D06784"/>
    <w:rsid w:val="00D06884"/>
    <w:rsid w:val="00D068E1"/>
    <w:rsid w:val="00D0699B"/>
    <w:rsid w:val="00D06BD8"/>
    <w:rsid w:val="00D06D71"/>
    <w:rsid w:val="00D06F32"/>
    <w:rsid w:val="00D06FAC"/>
    <w:rsid w:val="00D07195"/>
    <w:rsid w:val="00D072B3"/>
    <w:rsid w:val="00D076C3"/>
    <w:rsid w:val="00D078A2"/>
    <w:rsid w:val="00D078B6"/>
    <w:rsid w:val="00D07BEF"/>
    <w:rsid w:val="00D07E1D"/>
    <w:rsid w:val="00D07ED2"/>
    <w:rsid w:val="00D07F17"/>
    <w:rsid w:val="00D10090"/>
    <w:rsid w:val="00D103DC"/>
    <w:rsid w:val="00D103DE"/>
    <w:rsid w:val="00D1069D"/>
    <w:rsid w:val="00D10725"/>
    <w:rsid w:val="00D10827"/>
    <w:rsid w:val="00D10947"/>
    <w:rsid w:val="00D10DAE"/>
    <w:rsid w:val="00D10E6F"/>
    <w:rsid w:val="00D10F48"/>
    <w:rsid w:val="00D11044"/>
    <w:rsid w:val="00D11303"/>
    <w:rsid w:val="00D1132C"/>
    <w:rsid w:val="00D113E1"/>
    <w:rsid w:val="00D114A3"/>
    <w:rsid w:val="00D11A7E"/>
    <w:rsid w:val="00D11B49"/>
    <w:rsid w:val="00D11C1E"/>
    <w:rsid w:val="00D11CAB"/>
    <w:rsid w:val="00D11D16"/>
    <w:rsid w:val="00D11F48"/>
    <w:rsid w:val="00D11FB6"/>
    <w:rsid w:val="00D12204"/>
    <w:rsid w:val="00D12361"/>
    <w:rsid w:val="00D124CA"/>
    <w:rsid w:val="00D127A8"/>
    <w:rsid w:val="00D128AE"/>
    <w:rsid w:val="00D12940"/>
    <w:rsid w:val="00D129E3"/>
    <w:rsid w:val="00D12BF9"/>
    <w:rsid w:val="00D12EA7"/>
    <w:rsid w:val="00D12EE5"/>
    <w:rsid w:val="00D130D6"/>
    <w:rsid w:val="00D130DF"/>
    <w:rsid w:val="00D131A8"/>
    <w:rsid w:val="00D1324B"/>
    <w:rsid w:val="00D13257"/>
    <w:rsid w:val="00D1337C"/>
    <w:rsid w:val="00D1342A"/>
    <w:rsid w:val="00D137AF"/>
    <w:rsid w:val="00D137FC"/>
    <w:rsid w:val="00D1387A"/>
    <w:rsid w:val="00D139B8"/>
    <w:rsid w:val="00D13D29"/>
    <w:rsid w:val="00D13DD7"/>
    <w:rsid w:val="00D13E99"/>
    <w:rsid w:val="00D13FFD"/>
    <w:rsid w:val="00D14099"/>
    <w:rsid w:val="00D140E8"/>
    <w:rsid w:val="00D14393"/>
    <w:rsid w:val="00D1448A"/>
    <w:rsid w:val="00D1474C"/>
    <w:rsid w:val="00D1493C"/>
    <w:rsid w:val="00D14A92"/>
    <w:rsid w:val="00D14C37"/>
    <w:rsid w:val="00D14C96"/>
    <w:rsid w:val="00D14C9D"/>
    <w:rsid w:val="00D156E7"/>
    <w:rsid w:val="00D15EAD"/>
    <w:rsid w:val="00D15F1C"/>
    <w:rsid w:val="00D15F23"/>
    <w:rsid w:val="00D1616E"/>
    <w:rsid w:val="00D16424"/>
    <w:rsid w:val="00D16805"/>
    <w:rsid w:val="00D16A75"/>
    <w:rsid w:val="00D16C21"/>
    <w:rsid w:val="00D16E0A"/>
    <w:rsid w:val="00D16E90"/>
    <w:rsid w:val="00D16EDA"/>
    <w:rsid w:val="00D16F43"/>
    <w:rsid w:val="00D16F4D"/>
    <w:rsid w:val="00D17366"/>
    <w:rsid w:val="00D1739C"/>
    <w:rsid w:val="00D1740F"/>
    <w:rsid w:val="00D17824"/>
    <w:rsid w:val="00D178CC"/>
    <w:rsid w:val="00D178D7"/>
    <w:rsid w:val="00D17A2B"/>
    <w:rsid w:val="00D17B66"/>
    <w:rsid w:val="00D17C58"/>
    <w:rsid w:val="00D17D39"/>
    <w:rsid w:val="00D17DA9"/>
    <w:rsid w:val="00D17DE1"/>
    <w:rsid w:val="00D17E2C"/>
    <w:rsid w:val="00D20010"/>
    <w:rsid w:val="00D200FF"/>
    <w:rsid w:val="00D201F4"/>
    <w:rsid w:val="00D20321"/>
    <w:rsid w:val="00D2049A"/>
    <w:rsid w:val="00D205F9"/>
    <w:rsid w:val="00D20673"/>
    <w:rsid w:val="00D20712"/>
    <w:rsid w:val="00D20742"/>
    <w:rsid w:val="00D20762"/>
    <w:rsid w:val="00D207C6"/>
    <w:rsid w:val="00D20956"/>
    <w:rsid w:val="00D209BD"/>
    <w:rsid w:val="00D20BF2"/>
    <w:rsid w:val="00D20CD9"/>
    <w:rsid w:val="00D20DD9"/>
    <w:rsid w:val="00D20E38"/>
    <w:rsid w:val="00D20FD3"/>
    <w:rsid w:val="00D20FD5"/>
    <w:rsid w:val="00D210BE"/>
    <w:rsid w:val="00D2112C"/>
    <w:rsid w:val="00D215B9"/>
    <w:rsid w:val="00D21668"/>
    <w:rsid w:val="00D218DA"/>
    <w:rsid w:val="00D21922"/>
    <w:rsid w:val="00D219B6"/>
    <w:rsid w:val="00D21A4B"/>
    <w:rsid w:val="00D21B90"/>
    <w:rsid w:val="00D21C8C"/>
    <w:rsid w:val="00D22268"/>
    <w:rsid w:val="00D223FA"/>
    <w:rsid w:val="00D2244E"/>
    <w:rsid w:val="00D224B2"/>
    <w:rsid w:val="00D2260C"/>
    <w:rsid w:val="00D22A46"/>
    <w:rsid w:val="00D22B0E"/>
    <w:rsid w:val="00D22DCC"/>
    <w:rsid w:val="00D230FC"/>
    <w:rsid w:val="00D2318B"/>
    <w:rsid w:val="00D232D0"/>
    <w:rsid w:val="00D232EC"/>
    <w:rsid w:val="00D2349A"/>
    <w:rsid w:val="00D237A4"/>
    <w:rsid w:val="00D23826"/>
    <w:rsid w:val="00D23833"/>
    <w:rsid w:val="00D23B32"/>
    <w:rsid w:val="00D23E7E"/>
    <w:rsid w:val="00D24115"/>
    <w:rsid w:val="00D242B3"/>
    <w:rsid w:val="00D24313"/>
    <w:rsid w:val="00D24361"/>
    <w:rsid w:val="00D243B9"/>
    <w:rsid w:val="00D245D0"/>
    <w:rsid w:val="00D245DF"/>
    <w:rsid w:val="00D24AF2"/>
    <w:rsid w:val="00D24BE7"/>
    <w:rsid w:val="00D24F38"/>
    <w:rsid w:val="00D25005"/>
    <w:rsid w:val="00D252A6"/>
    <w:rsid w:val="00D2530E"/>
    <w:rsid w:val="00D2535B"/>
    <w:rsid w:val="00D25921"/>
    <w:rsid w:val="00D25BCA"/>
    <w:rsid w:val="00D25C9E"/>
    <w:rsid w:val="00D26095"/>
    <w:rsid w:val="00D26125"/>
    <w:rsid w:val="00D26137"/>
    <w:rsid w:val="00D262FE"/>
    <w:rsid w:val="00D26356"/>
    <w:rsid w:val="00D26365"/>
    <w:rsid w:val="00D264B3"/>
    <w:rsid w:val="00D26509"/>
    <w:rsid w:val="00D26661"/>
    <w:rsid w:val="00D26983"/>
    <w:rsid w:val="00D26A3B"/>
    <w:rsid w:val="00D26AB4"/>
    <w:rsid w:val="00D26CBE"/>
    <w:rsid w:val="00D26E98"/>
    <w:rsid w:val="00D27139"/>
    <w:rsid w:val="00D2725F"/>
    <w:rsid w:val="00D27419"/>
    <w:rsid w:val="00D27472"/>
    <w:rsid w:val="00D27498"/>
    <w:rsid w:val="00D27703"/>
    <w:rsid w:val="00D27722"/>
    <w:rsid w:val="00D27B2E"/>
    <w:rsid w:val="00D27C05"/>
    <w:rsid w:val="00D27CE3"/>
    <w:rsid w:val="00D27E48"/>
    <w:rsid w:val="00D27F81"/>
    <w:rsid w:val="00D3069F"/>
    <w:rsid w:val="00D30856"/>
    <w:rsid w:val="00D3095A"/>
    <w:rsid w:val="00D30B05"/>
    <w:rsid w:val="00D30CC8"/>
    <w:rsid w:val="00D30D77"/>
    <w:rsid w:val="00D3116F"/>
    <w:rsid w:val="00D31211"/>
    <w:rsid w:val="00D31502"/>
    <w:rsid w:val="00D31555"/>
    <w:rsid w:val="00D31565"/>
    <w:rsid w:val="00D31A55"/>
    <w:rsid w:val="00D31AC9"/>
    <w:rsid w:val="00D31B91"/>
    <w:rsid w:val="00D31D34"/>
    <w:rsid w:val="00D31D69"/>
    <w:rsid w:val="00D31D93"/>
    <w:rsid w:val="00D31E36"/>
    <w:rsid w:val="00D31E94"/>
    <w:rsid w:val="00D321C2"/>
    <w:rsid w:val="00D321DD"/>
    <w:rsid w:val="00D3233D"/>
    <w:rsid w:val="00D3233F"/>
    <w:rsid w:val="00D32561"/>
    <w:rsid w:val="00D32744"/>
    <w:rsid w:val="00D32B43"/>
    <w:rsid w:val="00D32D4D"/>
    <w:rsid w:val="00D32E91"/>
    <w:rsid w:val="00D3300E"/>
    <w:rsid w:val="00D33040"/>
    <w:rsid w:val="00D33386"/>
    <w:rsid w:val="00D336AF"/>
    <w:rsid w:val="00D337F5"/>
    <w:rsid w:val="00D33883"/>
    <w:rsid w:val="00D33B23"/>
    <w:rsid w:val="00D33B31"/>
    <w:rsid w:val="00D33B5C"/>
    <w:rsid w:val="00D33BAB"/>
    <w:rsid w:val="00D33D9E"/>
    <w:rsid w:val="00D33EF4"/>
    <w:rsid w:val="00D33FBE"/>
    <w:rsid w:val="00D3410F"/>
    <w:rsid w:val="00D343C6"/>
    <w:rsid w:val="00D34462"/>
    <w:rsid w:val="00D344D7"/>
    <w:rsid w:val="00D345B5"/>
    <w:rsid w:val="00D3485D"/>
    <w:rsid w:val="00D34B59"/>
    <w:rsid w:val="00D351F7"/>
    <w:rsid w:val="00D35200"/>
    <w:rsid w:val="00D35222"/>
    <w:rsid w:val="00D354C6"/>
    <w:rsid w:val="00D35598"/>
    <w:rsid w:val="00D35859"/>
    <w:rsid w:val="00D3593E"/>
    <w:rsid w:val="00D35A1B"/>
    <w:rsid w:val="00D35A38"/>
    <w:rsid w:val="00D35BFB"/>
    <w:rsid w:val="00D35EA5"/>
    <w:rsid w:val="00D36036"/>
    <w:rsid w:val="00D36300"/>
    <w:rsid w:val="00D36674"/>
    <w:rsid w:val="00D36762"/>
    <w:rsid w:val="00D368B8"/>
    <w:rsid w:val="00D36AC0"/>
    <w:rsid w:val="00D37006"/>
    <w:rsid w:val="00D37491"/>
    <w:rsid w:val="00D3760C"/>
    <w:rsid w:val="00D37652"/>
    <w:rsid w:val="00D376F4"/>
    <w:rsid w:val="00D3776E"/>
    <w:rsid w:val="00D37813"/>
    <w:rsid w:val="00D37914"/>
    <w:rsid w:val="00D37CB6"/>
    <w:rsid w:val="00D37FC0"/>
    <w:rsid w:val="00D400D8"/>
    <w:rsid w:val="00D4012F"/>
    <w:rsid w:val="00D4014F"/>
    <w:rsid w:val="00D401B2"/>
    <w:rsid w:val="00D40614"/>
    <w:rsid w:val="00D406C4"/>
    <w:rsid w:val="00D408CE"/>
    <w:rsid w:val="00D40C3F"/>
    <w:rsid w:val="00D40CF2"/>
    <w:rsid w:val="00D40D52"/>
    <w:rsid w:val="00D40DB7"/>
    <w:rsid w:val="00D40EAC"/>
    <w:rsid w:val="00D410BA"/>
    <w:rsid w:val="00D412BC"/>
    <w:rsid w:val="00D4137A"/>
    <w:rsid w:val="00D41519"/>
    <w:rsid w:val="00D416BF"/>
    <w:rsid w:val="00D41833"/>
    <w:rsid w:val="00D41BD8"/>
    <w:rsid w:val="00D41C73"/>
    <w:rsid w:val="00D41CDD"/>
    <w:rsid w:val="00D4237B"/>
    <w:rsid w:val="00D42532"/>
    <w:rsid w:val="00D42681"/>
    <w:rsid w:val="00D42791"/>
    <w:rsid w:val="00D42851"/>
    <w:rsid w:val="00D4297C"/>
    <w:rsid w:val="00D4297E"/>
    <w:rsid w:val="00D42D09"/>
    <w:rsid w:val="00D431CC"/>
    <w:rsid w:val="00D43210"/>
    <w:rsid w:val="00D43267"/>
    <w:rsid w:val="00D43437"/>
    <w:rsid w:val="00D43662"/>
    <w:rsid w:val="00D43672"/>
    <w:rsid w:val="00D43752"/>
    <w:rsid w:val="00D438D2"/>
    <w:rsid w:val="00D43A9B"/>
    <w:rsid w:val="00D43DB5"/>
    <w:rsid w:val="00D43EC0"/>
    <w:rsid w:val="00D43ECE"/>
    <w:rsid w:val="00D4457C"/>
    <w:rsid w:val="00D44606"/>
    <w:rsid w:val="00D4462B"/>
    <w:rsid w:val="00D446BA"/>
    <w:rsid w:val="00D44851"/>
    <w:rsid w:val="00D448D5"/>
    <w:rsid w:val="00D44956"/>
    <w:rsid w:val="00D44C82"/>
    <w:rsid w:val="00D44E35"/>
    <w:rsid w:val="00D44E7F"/>
    <w:rsid w:val="00D4514E"/>
    <w:rsid w:val="00D45168"/>
    <w:rsid w:val="00D453C4"/>
    <w:rsid w:val="00D455B1"/>
    <w:rsid w:val="00D456B8"/>
    <w:rsid w:val="00D456DF"/>
    <w:rsid w:val="00D456FB"/>
    <w:rsid w:val="00D458CB"/>
    <w:rsid w:val="00D459DF"/>
    <w:rsid w:val="00D45A57"/>
    <w:rsid w:val="00D45A7B"/>
    <w:rsid w:val="00D45BB8"/>
    <w:rsid w:val="00D45C66"/>
    <w:rsid w:val="00D45C82"/>
    <w:rsid w:val="00D45CA3"/>
    <w:rsid w:val="00D45FC7"/>
    <w:rsid w:val="00D46026"/>
    <w:rsid w:val="00D460CC"/>
    <w:rsid w:val="00D4618C"/>
    <w:rsid w:val="00D46362"/>
    <w:rsid w:val="00D46444"/>
    <w:rsid w:val="00D467BB"/>
    <w:rsid w:val="00D468E1"/>
    <w:rsid w:val="00D469EB"/>
    <w:rsid w:val="00D46C84"/>
    <w:rsid w:val="00D46C99"/>
    <w:rsid w:val="00D46D54"/>
    <w:rsid w:val="00D47111"/>
    <w:rsid w:val="00D47290"/>
    <w:rsid w:val="00D473DA"/>
    <w:rsid w:val="00D473EF"/>
    <w:rsid w:val="00D4755B"/>
    <w:rsid w:val="00D47593"/>
    <w:rsid w:val="00D47687"/>
    <w:rsid w:val="00D478DC"/>
    <w:rsid w:val="00D47A1F"/>
    <w:rsid w:val="00D47DB0"/>
    <w:rsid w:val="00D47FF8"/>
    <w:rsid w:val="00D50029"/>
    <w:rsid w:val="00D5015F"/>
    <w:rsid w:val="00D50381"/>
    <w:rsid w:val="00D503D5"/>
    <w:rsid w:val="00D504D2"/>
    <w:rsid w:val="00D50563"/>
    <w:rsid w:val="00D50759"/>
    <w:rsid w:val="00D507E0"/>
    <w:rsid w:val="00D50937"/>
    <w:rsid w:val="00D50942"/>
    <w:rsid w:val="00D509F0"/>
    <w:rsid w:val="00D50A7C"/>
    <w:rsid w:val="00D50ADF"/>
    <w:rsid w:val="00D50B3D"/>
    <w:rsid w:val="00D50D90"/>
    <w:rsid w:val="00D50DBA"/>
    <w:rsid w:val="00D50F67"/>
    <w:rsid w:val="00D50FE5"/>
    <w:rsid w:val="00D51099"/>
    <w:rsid w:val="00D511C9"/>
    <w:rsid w:val="00D511FB"/>
    <w:rsid w:val="00D51308"/>
    <w:rsid w:val="00D513D1"/>
    <w:rsid w:val="00D513E2"/>
    <w:rsid w:val="00D5171B"/>
    <w:rsid w:val="00D519B8"/>
    <w:rsid w:val="00D51ACC"/>
    <w:rsid w:val="00D51BC6"/>
    <w:rsid w:val="00D51BF6"/>
    <w:rsid w:val="00D51F33"/>
    <w:rsid w:val="00D5208A"/>
    <w:rsid w:val="00D52291"/>
    <w:rsid w:val="00D522E0"/>
    <w:rsid w:val="00D52415"/>
    <w:rsid w:val="00D528B5"/>
    <w:rsid w:val="00D528E6"/>
    <w:rsid w:val="00D52C65"/>
    <w:rsid w:val="00D52FCF"/>
    <w:rsid w:val="00D531B6"/>
    <w:rsid w:val="00D536CB"/>
    <w:rsid w:val="00D53861"/>
    <w:rsid w:val="00D5388F"/>
    <w:rsid w:val="00D53959"/>
    <w:rsid w:val="00D53A8B"/>
    <w:rsid w:val="00D53C74"/>
    <w:rsid w:val="00D53D4F"/>
    <w:rsid w:val="00D53DBD"/>
    <w:rsid w:val="00D53DE6"/>
    <w:rsid w:val="00D53E89"/>
    <w:rsid w:val="00D53FCA"/>
    <w:rsid w:val="00D540DE"/>
    <w:rsid w:val="00D542AB"/>
    <w:rsid w:val="00D543FF"/>
    <w:rsid w:val="00D54585"/>
    <w:rsid w:val="00D5459E"/>
    <w:rsid w:val="00D54638"/>
    <w:rsid w:val="00D54BFA"/>
    <w:rsid w:val="00D54CA8"/>
    <w:rsid w:val="00D54D11"/>
    <w:rsid w:val="00D54DB7"/>
    <w:rsid w:val="00D55047"/>
    <w:rsid w:val="00D550C7"/>
    <w:rsid w:val="00D5536C"/>
    <w:rsid w:val="00D55718"/>
    <w:rsid w:val="00D55A9E"/>
    <w:rsid w:val="00D55B50"/>
    <w:rsid w:val="00D55D53"/>
    <w:rsid w:val="00D56015"/>
    <w:rsid w:val="00D56043"/>
    <w:rsid w:val="00D560F7"/>
    <w:rsid w:val="00D562DD"/>
    <w:rsid w:val="00D56392"/>
    <w:rsid w:val="00D563FE"/>
    <w:rsid w:val="00D5662F"/>
    <w:rsid w:val="00D56814"/>
    <w:rsid w:val="00D569EB"/>
    <w:rsid w:val="00D56C1A"/>
    <w:rsid w:val="00D56C46"/>
    <w:rsid w:val="00D56EBE"/>
    <w:rsid w:val="00D56FC0"/>
    <w:rsid w:val="00D57050"/>
    <w:rsid w:val="00D570EF"/>
    <w:rsid w:val="00D57222"/>
    <w:rsid w:val="00D5755F"/>
    <w:rsid w:val="00D57588"/>
    <w:rsid w:val="00D575BD"/>
    <w:rsid w:val="00D5767C"/>
    <w:rsid w:val="00D57696"/>
    <w:rsid w:val="00D57815"/>
    <w:rsid w:val="00D57819"/>
    <w:rsid w:val="00D57BB3"/>
    <w:rsid w:val="00D57BE8"/>
    <w:rsid w:val="00D57D32"/>
    <w:rsid w:val="00D57D4C"/>
    <w:rsid w:val="00D57F03"/>
    <w:rsid w:val="00D60254"/>
    <w:rsid w:val="00D602B5"/>
    <w:rsid w:val="00D60797"/>
    <w:rsid w:val="00D60AB4"/>
    <w:rsid w:val="00D60D81"/>
    <w:rsid w:val="00D60E0F"/>
    <w:rsid w:val="00D614B0"/>
    <w:rsid w:val="00D61685"/>
    <w:rsid w:val="00D616CF"/>
    <w:rsid w:val="00D61714"/>
    <w:rsid w:val="00D61C3C"/>
    <w:rsid w:val="00D61F5D"/>
    <w:rsid w:val="00D62377"/>
    <w:rsid w:val="00D627CC"/>
    <w:rsid w:val="00D62B92"/>
    <w:rsid w:val="00D62EFF"/>
    <w:rsid w:val="00D62F9D"/>
    <w:rsid w:val="00D632FD"/>
    <w:rsid w:val="00D6333E"/>
    <w:rsid w:val="00D63701"/>
    <w:rsid w:val="00D6374D"/>
    <w:rsid w:val="00D63C0F"/>
    <w:rsid w:val="00D63F8D"/>
    <w:rsid w:val="00D63FA5"/>
    <w:rsid w:val="00D6405F"/>
    <w:rsid w:val="00D64141"/>
    <w:rsid w:val="00D6418D"/>
    <w:rsid w:val="00D644A0"/>
    <w:rsid w:val="00D6487C"/>
    <w:rsid w:val="00D648A1"/>
    <w:rsid w:val="00D648FA"/>
    <w:rsid w:val="00D64A69"/>
    <w:rsid w:val="00D64AA3"/>
    <w:rsid w:val="00D64BC8"/>
    <w:rsid w:val="00D64C19"/>
    <w:rsid w:val="00D64DDC"/>
    <w:rsid w:val="00D64EAA"/>
    <w:rsid w:val="00D651BB"/>
    <w:rsid w:val="00D651EE"/>
    <w:rsid w:val="00D652A9"/>
    <w:rsid w:val="00D65443"/>
    <w:rsid w:val="00D654D8"/>
    <w:rsid w:val="00D65632"/>
    <w:rsid w:val="00D658BC"/>
    <w:rsid w:val="00D658FF"/>
    <w:rsid w:val="00D659CD"/>
    <w:rsid w:val="00D65B7E"/>
    <w:rsid w:val="00D65C89"/>
    <w:rsid w:val="00D65DE3"/>
    <w:rsid w:val="00D65E97"/>
    <w:rsid w:val="00D65ED9"/>
    <w:rsid w:val="00D66025"/>
    <w:rsid w:val="00D6616E"/>
    <w:rsid w:val="00D661A8"/>
    <w:rsid w:val="00D66348"/>
    <w:rsid w:val="00D66AC9"/>
    <w:rsid w:val="00D66E67"/>
    <w:rsid w:val="00D67021"/>
    <w:rsid w:val="00D67078"/>
    <w:rsid w:val="00D67103"/>
    <w:rsid w:val="00D6718F"/>
    <w:rsid w:val="00D67482"/>
    <w:rsid w:val="00D6748A"/>
    <w:rsid w:val="00D6752C"/>
    <w:rsid w:val="00D678E4"/>
    <w:rsid w:val="00D67AC0"/>
    <w:rsid w:val="00D67AFB"/>
    <w:rsid w:val="00D67B3E"/>
    <w:rsid w:val="00D67C7A"/>
    <w:rsid w:val="00D67C98"/>
    <w:rsid w:val="00D67CEE"/>
    <w:rsid w:val="00D67DAE"/>
    <w:rsid w:val="00D7015C"/>
    <w:rsid w:val="00D70234"/>
    <w:rsid w:val="00D7038E"/>
    <w:rsid w:val="00D704D9"/>
    <w:rsid w:val="00D7055E"/>
    <w:rsid w:val="00D7056A"/>
    <w:rsid w:val="00D705F9"/>
    <w:rsid w:val="00D70848"/>
    <w:rsid w:val="00D70A8A"/>
    <w:rsid w:val="00D70B28"/>
    <w:rsid w:val="00D70C3C"/>
    <w:rsid w:val="00D70E9D"/>
    <w:rsid w:val="00D70EA2"/>
    <w:rsid w:val="00D71039"/>
    <w:rsid w:val="00D710DF"/>
    <w:rsid w:val="00D71224"/>
    <w:rsid w:val="00D716B7"/>
    <w:rsid w:val="00D716FB"/>
    <w:rsid w:val="00D717C6"/>
    <w:rsid w:val="00D71868"/>
    <w:rsid w:val="00D71A0C"/>
    <w:rsid w:val="00D71A9E"/>
    <w:rsid w:val="00D71B92"/>
    <w:rsid w:val="00D71BF7"/>
    <w:rsid w:val="00D71E63"/>
    <w:rsid w:val="00D72032"/>
    <w:rsid w:val="00D720BE"/>
    <w:rsid w:val="00D720CE"/>
    <w:rsid w:val="00D721D3"/>
    <w:rsid w:val="00D721EC"/>
    <w:rsid w:val="00D7254C"/>
    <w:rsid w:val="00D725D9"/>
    <w:rsid w:val="00D7268F"/>
    <w:rsid w:val="00D72B5E"/>
    <w:rsid w:val="00D72F88"/>
    <w:rsid w:val="00D730FE"/>
    <w:rsid w:val="00D73119"/>
    <w:rsid w:val="00D73541"/>
    <w:rsid w:val="00D736F0"/>
    <w:rsid w:val="00D73775"/>
    <w:rsid w:val="00D7387F"/>
    <w:rsid w:val="00D73937"/>
    <w:rsid w:val="00D739B2"/>
    <w:rsid w:val="00D73C66"/>
    <w:rsid w:val="00D7424C"/>
    <w:rsid w:val="00D74284"/>
    <w:rsid w:val="00D7481E"/>
    <w:rsid w:val="00D74924"/>
    <w:rsid w:val="00D74B41"/>
    <w:rsid w:val="00D74BF8"/>
    <w:rsid w:val="00D74E0B"/>
    <w:rsid w:val="00D74FA6"/>
    <w:rsid w:val="00D75412"/>
    <w:rsid w:val="00D75470"/>
    <w:rsid w:val="00D7550F"/>
    <w:rsid w:val="00D75577"/>
    <w:rsid w:val="00D75598"/>
    <w:rsid w:val="00D758A3"/>
    <w:rsid w:val="00D75B13"/>
    <w:rsid w:val="00D7604A"/>
    <w:rsid w:val="00D764DF"/>
    <w:rsid w:val="00D76661"/>
    <w:rsid w:val="00D7682B"/>
    <w:rsid w:val="00D76925"/>
    <w:rsid w:val="00D76BE5"/>
    <w:rsid w:val="00D76C06"/>
    <w:rsid w:val="00D76D0B"/>
    <w:rsid w:val="00D76D6B"/>
    <w:rsid w:val="00D76DAA"/>
    <w:rsid w:val="00D76EF5"/>
    <w:rsid w:val="00D76F0E"/>
    <w:rsid w:val="00D76F3B"/>
    <w:rsid w:val="00D77200"/>
    <w:rsid w:val="00D77369"/>
    <w:rsid w:val="00D77406"/>
    <w:rsid w:val="00D774B9"/>
    <w:rsid w:val="00D7766C"/>
    <w:rsid w:val="00D77707"/>
    <w:rsid w:val="00D779E3"/>
    <w:rsid w:val="00D77A51"/>
    <w:rsid w:val="00D77C3B"/>
    <w:rsid w:val="00D77E61"/>
    <w:rsid w:val="00D77FAF"/>
    <w:rsid w:val="00D77FEA"/>
    <w:rsid w:val="00D80078"/>
    <w:rsid w:val="00D8017E"/>
    <w:rsid w:val="00D802B4"/>
    <w:rsid w:val="00D803D5"/>
    <w:rsid w:val="00D807D5"/>
    <w:rsid w:val="00D807EB"/>
    <w:rsid w:val="00D80961"/>
    <w:rsid w:val="00D80977"/>
    <w:rsid w:val="00D80A9D"/>
    <w:rsid w:val="00D80BFB"/>
    <w:rsid w:val="00D80E1D"/>
    <w:rsid w:val="00D80F92"/>
    <w:rsid w:val="00D81121"/>
    <w:rsid w:val="00D8115C"/>
    <w:rsid w:val="00D81334"/>
    <w:rsid w:val="00D81339"/>
    <w:rsid w:val="00D814F7"/>
    <w:rsid w:val="00D8156B"/>
    <w:rsid w:val="00D81715"/>
    <w:rsid w:val="00D81718"/>
    <w:rsid w:val="00D817A0"/>
    <w:rsid w:val="00D81827"/>
    <w:rsid w:val="00D819D8"/>
    <w:rsid w:val="00D81AA3"/>
    <w:rsid w:val="00D81D8A"/>
    <w:rsid w:val="00D81DD8"/>
    <w:rsid w:val="00D81E1A"/>
    <w:rsid w:val="00D81E6B"/>
    <w:rsid w:val="00D81E72"/>
    <w:rsid w:val="00D81F0F"/>
    <w:rsid w:val="00D822B9"/>
    <w:rsid w:val="00D823C3"/>
    <w:rsid w:val="00D823E9"/>
    <w:rsid w:val="00D82470"/>
    <w:rsid w:val="00D824F7"/>
    <w:rsid w:val="00D82516"/>
    <w:rsid w:val="00D82581"/>
    <w:rsid w:val="00D82871"/>
    <w:rsid w:val="00D8296F"/>
    <w:rsid w:val="00D82A16"/>
    <w:rsid w:val="00D82E99"/>
    <w:rsid w:val="00D831E2"/>
    <w:rsid w:val="00D83676"/>
    <w:rsid w:val="00D837AA"/>
    <w:rsid w:val="00D83855"/>
    <w:rsid w:val="00D8386A"/>
    <w:rsid w:val="00D839CB"/>
    <w:rsid w:val="00D83B31"/>
    <w:rsid w:val="00D83B88"/>
    <w:rsid w:val="00D83C47"/>
    <w:rsid w:val="00D83E95"/>
    <w:rsid w:val="00D83FDA"/>
    <w:rsid w:val="00D84078"/>
    <w:rsid w:val="00D84239"/>
    <w:rsid w:val="00D843AD"/>
    <w:rsid w:val="00D84552"/>
    <w:rsid w:val="00D84569"/>
    <w:rsid w:val="00D847AB"/>
    <w:rsid w:val="00D847D7"/>
    <w:rsid w:val="00D8487C"/>
    <w:rsid w:val="00D8489E"/>
    <w:rsid w:val="00D84948"/>
    <w:rsid w:val="00D84A61"/>
    <w:rsid w:val="00D84C33"/>
    <w:rsid w:val="00D84CC3"/>
    <w:rsid w:val="00D84CE8"/>
    <w:rsid w:val="00D84D2D"/>
    <w:rsid w:val="00D84DEA"/>
    <w:rsid w:val="00D84E12"/>
    <w:rsid w:val="00D84E30"/>
    <w:rsid w:val="00D8508A"/>
    <w:rsid w:val="00D852BC"/>
    <w:rsid w:val="00D853CB"/>
    <w:rsid w:val="00D857FF"/>
    <w:rsid w:val="00D8581D"/>
    <w:rsid w:val="00D85863"/>
    <w:rsid w:val="00D85B55"/>
    <w:rsid w:val="00D85B6D"/>
    <w:rsid w:val="00D85E9F"/>
    <w:rsid w:val="00D86163"/>
    <w:rsid w:val="00D86610"/>
    <w:rsid w:val="00D86919"/>
    <w:rsid w:val="00D869AC"/>
    <w:rsid w:val="00D86ABB"/>
    <w:rsid w:val="00D86C05"/>
    <w:rsid w:val="00D86C39"/>
    <w:rsid w:val="00D86C88"/>
    <w:rsid w:val="00D86E7E"/>
    <w:rsid w:val="00D871A6"/>
    <w:rsid w:val="00D87488"/>
    <w:rsid w:val="00D87982"/>
    <w:rsid w:val="00D90150"/>
    <w:rsid w:val="00D90227"/>
    <w:rsid w:val="00D902A8"/>
    <w:rsid w:val="00D9057C"/>
    <w:rsid w:val="00D90648"/>
    <w:rsid w:val="00D90696"/>
    <w:rsid w:val="00D90872"/>
    <w:rsid w:val="00D90897"/>
    <w:rsid w:val="00D908E9"/>
    <w:rsid w:val="00D908F9"/>
    <w:rsid w:val="00D90A30"/>
    <w:rsid w:val="00D90B38"/>
    <w:rsid w:val="00D90E7C"/>
    <w:rsid w:val="00D912E3"/>
    <w:rsid w:val="00D913BD"/>
    <w:rsid w:val="00D91500"/>
    <w:rsid w:val="00D9156A"/>
    <w:rsid w:val="00D9172D"/>
    <w:rsid w:val="00D919A3"/>
    <w:rsid w:val="00D91CEE"/>
    <w:rsid w:val="00D92177"/>
    <w:rsid w:val="00D921D7"/>
    <w:rsid w:val="00D92265"/>
    <w:rsid w:val="00D925F1"/>
    <w:rsid w:val="00D92636"/>
    <w:rsid w:val="00D926CC"/>
    <w:rsid w:val="00D9270C"/>
    <w:rsid w:val="00D92A65"/>
    <w:rsid w:val="00D92A66"/>
    <w:rsid w:val="00D92A7F"/>
    <w:rsid w:val="00D92CE9"/>
    <w:rsid w:val="00D92F3A"/>
    <w:rsid w:val="00D93016"/>
    <w:rsid w:val="00D930CF"/>
    <w:rsid w:val="00D93419"/>
    <w:rsid w:val="00D934D0"/>
    <w:rsid w:val="00D934E3"/>
    <w:rsid w:val="00D935A9"/>
    <w:rsid w:val="00D9365A"/>
    <w:rsid w:val="00D93687"/>
    <w:rsid w:val="00D93A74"/>
    <w:rsid w:val="00D93B90"/>
    <w:rsid w:val="00D93BB9"/>
    <w:rsid w:val="00D93BF3"/>
    <w:rsid w:val="00D93D1D"/>
    <w:rsid w:val="00D93DBA"/>
    <w:rsid w:val="00D93E4B"/>
    <w:rsid w:val="00D941C5"/>
    <w:rsid w:val="00D9442F"/>
    <w:rsid w:val="00D94896"/>
    <w:rsid w:val="00D948DF"/>
    <w:rsid w:val="00D94B62"/>
    <w:rsid w:val="00D94BE8"/>
    <w:rsid w:val="00D94E7E"/>
    <w:rsid w:val="00D95497"/>
    <w:rsid w:val="00D95592"/>
    <w:rsid w:val="00D95705"/>
    <w:rsid w:val="00D95920"/>
    <w:rsid w:val="00D95CBF"/>
    <w:rsid w:val="00D95E34"/>
    <w:rsid w:val="00D9628B"/>
    <w:rsid w:val="00D96782"/>
    <w:rsid w:val="00D96A07"/>
    <w:rsid w:val="00D96AB5"/>
    <w:rsid w:val="00D96EE9"/>
    <w:rsid w:val="00D97198"/>
    <w:rsid w:val="00D97465"/>
    <w:rsid w:val="00D974B3"/>
    <w:rsid w:val="00D975CD"/>
    <w:rsid w:val="00D97651"/>
    <w:rsid w:val="00D9772B"/>
    <w:rsid w:val="00D977C7"/>
    <w:rsid w:val="00D97C21"/>
    <w:rsid w:val="00D97EC5"/>
    <w:rsid w:val="00D97F5C"/>
    <w:rsid w:val="00DA000C"/>
    <w:rsid w:val="00DA0031"/>
    <w:rsid w:val="00DA01B6"/>
    <w:rsid w:val="00DA01FC"/>
    <w:rsid w:val="00DA021B"/>
    <w:rsid w:val="00DA0326"/>
    <w:rsid w:val="00DA039B"/>
    <w:rsid w:val="00DA0771"/>
    <w:rsid w:val="00DA0926"/>
    <w:rsid w:val="00DA099D"/>
    <w:rsid w:val="00DA0D5B"/>
    <w:rsid w:val="00DA0DCF"/>
    <w:rsid w:val="00DA0F06"/>
    <w:rsid w:val="00DA11EA"/>
    <w:rsid w:val="00DA11EF"/>
    <w:rsid w:val="00DA135A"/>
    <w:rsid w:val="00DA137C"/>
    <w:rsid w:val="00DA151D"/>
    <w:rsid w:val="00DA16EE"/>
    <w:rsid w:val="00DA198B"/>
    <w:rsid w:val="00DA19C2"/>
    <w:rsid w:val="00DA1CE1"/>
    <w:rsid w:val="00DA1D9A"/>
    <w:rsid w:val="00DA1DF7"/>
    <w:rsid w:val="00DA1EA3"/>
    <w:rsid w:val="00DA1F0F"/>
    <w:rsid w:val="00DA207D"/>
    <w:rsid w:val="00DA25D4"/>
    <w:rsid w:val="00DA262A"/>
    <w:rsid w:val="00DA2659"/>
    <w:rsid w:val="00DA26F0"/>
    <w:rsid w:val="00DA2782"/>
    <w:rsid w:val="00DA278B"/>
    <w:rsid w:val="00DA2AAF"/>
    <w:rsid w:val="00DA2E24"/>
    <w:rsid w:val="00DA2F82"/>
    <w:rsid w:val="00DA31B5"/>
    <w:rsid w:val="00DA3258"/>
    <w:rsid w:val="00DA33E5"/>
    <w:rsid w:val="00DA3429"/>
    <w:rsid w:val="00DA342A"/>
    <w:rsid w:val="00DA3711"/>
    <w:rsid w:val="00DA37DA"/>
    <w:rsid w:val="00DA3867"/>
    <w:rsid w:val="00DA3890"/>
    <w:rsid w:val="00DA3893"/>
    <w:rsid w:val="00DA3997"/>
    <w:rsid w:val="00DA39B7"/>
    <w:rsid w:val="00DA3ACA"/>
    <w:rsid w:val="00DA3D26"/>
    <w:rsid w:val="00DA3DAB"/>
    <w:rsid w:val="00DA3E3C"/>
    <w:rsid w:val="00DA3EE8"/>
    <w:rsid w:val="00DA3F00"/>
    <w:rsid w:val="00DA3F36"/>
    <w:rsid w:val="00DA4104"/>
    <w:rsid w:val="00DA4314"/>
    <w:rsid w:val="00DA4352"/>
    <w:rsid w:val="00DA4501"/>
    <w:rsid w:val="00DA45E7"/>
    <w:rsid w:val="00DA4984"/>
    <w:rsid w:val="00DA4C1D"/>
    <w:rsid w:val="00DA4D14"/>
    <w:rsid w:val="00DA4F9B"/>
    <w:rsid w:val="00DA525C"/>
    <w:rsid w:val="00DA549D"/>
    <w:rsid w:val="00DA56ED"/>
    <w:rsid w:val="00DA5898"/>
    <w:rsid w:val="00DA5B98"/>
    <w:rsid w:val="00DA5DC9"/>
    <w:rsid w:val="00DA60AA"/>
    <w:rsid w:val="00DA62FD"/>
    <w:rsid w:val="00DA6460"/>
    <w:rsid w:val="00DA6519"/>
    <w:rsid w:val="00DA6655"/>
    <w:rsid w:val="00DA66E0"/>
    <w:rsid w:val="00DA67BF"/>
    <w:rsid w:val="00DA68D3"/>
    <w:rsid w:val="00DA6DF5"/>
    <w:rsid w:val="00DA6EAC"/>
    <w:rsid w:val="00DA7103"/>
    <w:rsid w:val="00DA735D"/>
    <w:rsid w:val="00DA7786"/>
    <w:rsid w:val="00DA7923"/>
    <w:rsid w:val="00DA7963"/>
    <w:rsid w:val="00DA79F7"/>
    <w:rsid w:val="00DA7A28"/>
    <w:rsid w:val="00DA7C2B"/>
    <w:rsid w:val="00DA7E7A"/>
    <w:rsid w:val="00DB0091"/>
    <w:rsid w:val="00DB0129"/>
    <w:rsid w:val="00DB0526"/>
    <w:rsid w:val="00DB0678"/>
    <w:rsid w:val="00DB0706"/>
    <w:rsid w:val="00DB0844"/>
    <w:rsid w:val="00DB094F"/>
    <w:rsid w:val="00DB0A0A"/>
    <w:rsid w:val="00DB0B33"/>
    <w:rsid w:val="00DB0BDD"/>
    <w:rsid w:val="00DB0EF8"/>
    <w:rsid w:val="00DB1055"/>
    <w:rsid w:val="00DB1313"/>
    <w:rsid w:val="00DB13BB"/>
    <w:rsid w:val="00DB148D"/>
    <w:rsid w:val="00DB14F5"/>
    <w:rsid w:val="00DB1653"/>
    <w:rsid w:val="00DB1765"/>
    <w:rsid w:val="00DB1A92"/>
    <w:rsid w:val="00DB1AE0"/>
    <w:rsid w:val="00DB1B19"/>
    <w:rsid w:val="00DB1D41"/>
    <w:rsid w:val="00DB1E19"/>
    <w:rsid w:val="00DB1E65"/>
    <w:rsid w:val="00DB1F12"/>
    <w:rsid w:val="00DB1FE1"/>
    <w:rsid w:val="00DB20EF"/>
    <w:rsid w:val="00DB2308"/>
    <w:rsid w:val="00DB233C"/>
    <w:rsid w:val="00DB2769"/>
    <w:rsid w:val="00DB2A8B"/>
    <w:rsid w:val="00DB2CDA"/>
    <w:rsid w:val="00DB2CE0"/>
    <w:rsid w:val="00DB2DDA"/>
    <w:rsid w:val="00DB3105"/>
    <w:rsid w:val="00DB3C30"/>
    <w:rsid w:val="00DB3E9B"/>
    <w:rsid w:val="00DB3F44"/>
    <w:rsid w:val="00DB3F7C"/>
    <w:rsid w:val="00DB3FA7"/>
    <w:rsid w:val="00DB4036"/>
    <w:rsid w:val="00DB4100"/>
    <w:rsid w:val="00DB427E"/>
    <w:rsid w:val="00DB4596"/>
    <w:rsid w:val="00DB4620"/>
    <w:rsid w:val="00DB4629"/>
    <w:rsid w:val="00DB4658"/>
    <w:rsid w:val="00DB46AB"/>
    <w:rsid w:val="00DB46DD"/>
    <w:rsid w:val="00DB470A"/>
    <w:rsid w:val="00DB498C"/>
    <w:rsid w:val="00DB49C4"/>
    <w:rsid w:val="00DB4A5C"/>
    <w:rsid w:val="00DB4BC6"/>
    <w:rsid w:val="00DB4C53"/>
    <w:rsid w:val="00DB4E70"/>
    <w:rsid w:val="00DB51C3"/>
    <w:rsid w:val="00DB5433"/>
    <w:rsid w:val="00DB54AE"/>
    <w:rsid w:val="00DB558F"/>
    <w:rsid w:val="00DB5B9C"/>
    <w:rsid w:val="00DB5C7A"/>
    <w:rsid w:val="00DB606C"/>
    <w:rsid w:val="00DB6089"/>
    <w:rsid w:val="00DB67AB"/>
    <w:rsid w:val="00DB6AC9"/>
    <w:rsid w:val="00DB6DE3"/>
    <w:rsid w:val="00DB6DF8"/>
    <w:rsid w:val="00DB6F3D"/>
    <w:rsid w:val="00DB76B0"/>
    <w:rsid w:val="00DB772E"/>
    <w:rsid w:val="00DB7919"/>
    <w:rsid w:val="00DB7B03"/>
    <w:rsid w:val="00DB7F5B"/>
    <w:rsid w:val="00DC0002"/>
    <w:rsid w:val="00DC017F"/>
    <w:rsid w:val="00DC01D8"/>
    <w:rsid w:val="00DC0369"/>
    <w:rsid w:val="00DC0556"/>
    <w:rsid w:val="00DC06A2"/>
    <w:rsid w:val="00DC07AD"/>
    <w:rsid w:val="00DC0966"/>
    <w:rsid w:val="00DC0A9F"/>
    <w:rsid w:val="00DC0AFD"/>
    <w:rsid w:val="00DC0B19"/>
    <w:rsid w:val="00DC0E5B"/>
    <w:rsid w:val="00DC0EB2"/>
    <w:rsid w:val="00DC0F7C"/>
    <w:rsid w:val="00DC109C"/>
    <w:rsid w:val="00DC1173"/>
    <w:rsid w:val="00DC1312"/>
    <w:rsid w:val="00DC143D"/>
    <w:rsid w:val="00DC1486"/>
    <w:rsid w:val="00DC15A1"/>
    <w:rsid w:val="00DC1639"/>
    <w:rsid w:val="00DC16E3"/>
    <w:rsid w:val="00DC1C9F"/>
    <w:rsid w:val="00DC1E72"/>
    <w:rsid w:val="00DC1F0F"/>
    <w:rsid w:val="00DC1FB2"/>
    <w:rsid w:val="00DC205E"/>
    <w:rsid w:val="00DC21E6"/>
    <w:rsid w:val="00DC2532"/>
    <w:rsid w:val="00DC26C9"/>
    <w:rsid w:val="00DC272D"/>
    <w:rsid w:val="00DC2B4D"/>
    <w:rsid w:val="00DC2D2A"/>
    <w:rsid w:val="00DC3078"/>
    <w:rsid w:val="00DC308F"/>
    <w:rsid w:val="00DC38DD"/>
    <w:rsid w:val="00DC38FD"/>
    <w:rsid w:val="00DC3B1F"/>
    <w:rsid w:val="00DC3CD7"/>
    <w:rsid w:val="00DC3D3B"/>
    <w:rsid w:val="00DC3DB2"/>
    <w:rsid w:val="00DC3E7B"/>
    <w:rsid w:val="00DC3F06"/>
    <w:rsid w:val="00DC40EA"/>
    <w:rsid w:val="00DC43BC"/>
    <w:rsid w:val="00DC43C7"/>
    <w:rsid w:val="00DC43FB"/>
    <w:rsid w:val="00DC4555"/>
    <w:rsid w:val="00DC4588"/>
    <w:rsid w:val="00DC4B1D"/>
    <w:rsid w:val="00DC4C48"/>
    <w:rsid w:val="00DC4DF9"/>
    <w:rsid w:val="00DC4E5C"/>
    <w:rsid w:val="00DC4FA8"/>
    <w:rsid w:val="00DC4FB5"/>
    <w:rsid w:val="00DC4FFC"/>
    <w:rsid w:val="00DC509C"/>
    <w:rsid w:val="00DC51FA"/>
    <w:rsid w:val="00DC5365"/>
    <w:rsid w:val="00DC53EB"/>
    <w:rsid w:val="00DC555B"/>
    <w:rsid w:val="00DC5611"/>
    <w:rsid w:val="00DC5645"/>
    <w:rsid w:val="00DC578E"/>
    <w:rsid w:val="00DC57BE"/>
    <w:rsid w:val="00DC5AA5"/>
    <w:rsid w:val="00DC5E67"/>
    <w:rsid w:val="00DC61D8"/>
    <w:rsid w:val="00DC6305"/>
    <w:rsid w:val="00DC6539"/>
    <w:rsid w:val="00DC65A6"/>
    <w:rsid w:val="00DC65BC"/>
    <w:rsid w:val="00DC661C"/>
    <w:rsid w:val="00DC66B9"/>
    <w:rsid w:val="00DC6706"/>
    <w:rsid w:val="00DC6739"/>
    <w:rsid w:val="00DC675F"/>
    <w:rsid w:val="00DC68DB"/>
    <w:rsid w:val="00DC696E"/>
    <w:rsid w:val="00DC6993"/>
    <w:rsid w:val="00DC6C8C"/>
    <w:rsid w:val="00DC6F41"/>
    <w:rsid w:val="00DC7144"/>
    <w:rsid w:val="00DC73B5"/>
    <w:rsid w:val="00DC7540"/>
    <w:rsid w:val="00DC75ED"/>
    <w:rsid w:val="00DC79A3"/>
    <w:rsid w:val="00DC7A2F"/>
    <w:rsid w:val="00DC7CDA"/>
    <w:rsid w:val="00DC7D46"/>
    <w:rsid w:val="00DC7F31"/>
    <w:rsid w:val="00DD0002"/>
    <w:rsid w:val="00DD006D"/>
    <w:rsid w:val="00DD0095"/>
    <w:rsid w:val="00DD0286"/>
    <w:rsid w:val="00DD04BD"/>
    <w:rsid w:val="00DD0706"/>
    <w:rsid w:val="00DD08EB"/>
    <w:rsid w:val="00DD0B43"/>
    <w:rsid w:val="00DD0BD3"/>
    <w:rsid w:val="00DD0D3D"/>
    <w:rsid w:val="00DD10E1"/>
    <w:rsid w:val="00DD1283"/>
    <w:rsid w:val="00DD1361"/>
    <w:rsid w:val="00DD161E"/>
    <w:rsid w:val="00DD176A"/>
    <w:rsid w:val="00DD177F"/>
    <w:rsid w:val="00DD18C6"/>
    <w:rsid w:val="00DD1A99"/>
    <w:rsid w:val="00DD1B40"/>
    <w:rsid w:val="00DD1B88"/>
    <w:rsid w:val="00DD1C33"/>
    <w:rsid w:val="00DD1D35"/>
    <w:rsid w:val="00DD1DB3"/>
    <w:rsid w:val="00DD1FFC"/>
    <w:rsid w:val="00DD20E0"/>
    <w:rsid w:val="00DD2183"/>
    <w:rsid w:val="00DD2230"/>
    <w:rsid w:val="00DD2296"/>
    <w:rsid w:val="00DD22E3"/>
    <w:rsid w:val="00DD253A"/>
    <w:rsid w:val="00DD2664"/>
    <w:rsid w:val="00DD26B4"/>
    <w:rsid w:val="00DD2769"/>
    <w:rsid w:val="00DD2D3A"/>
    <w:rsid w:val="00DD2F6E"/>
    <w:rsid w:val="00DD2F75"/>
    <w:rsid w:val="00DD308D"/>
    <w:rsid w:val="00DD30DE"/>
    <w:rsid w:val="00DD3159"/>
    <w:rsid w:val="00DD32B3"/>
    <w:rsid w:val="00DD3548"/>
    <w:rsid w:val="00DD3586"/>
    <w:rsid w:val="00DD35B4"/>
    <w:rsid w:val="00DD39BC"/>
    <w:rsid w:val="00DD3A73"/>
    <w:rsid w:val="00DD3D9E"/>
    <w:rsid w:val="00DD3DA1"/>
    <w:rsid w:val="00DD3E1C"/>
    <w:rsid w:val="00DD4037"/>
    <w:rsid w:val="00DD42C7"/>
    <w:rsid w:val="00DD4586"/>
    <w:rsid w:val="00DD471C"/>
    <w:rsid w:val="00DD4815"/>
    <w:rsid w:val="00DD4A5A"/>
    <w:rsid w:val="00DD4BDF"/>
    <w:rsid w:val="00DD4E62"/>
    <w:rsid w:val="00DD4F1B"/>
    <w:rsid w:val="00DD5140"/>
    <w:rsid w:val="00DD51A0"/>
    <w:rsid w:val="00DD51C1"/>
    <w:rsid w:val="00DD53B2"/>
    <w:rsid w:val="00DD55CD"/>
    <w:rsid w:val="00DD5A17"/>
    <w:rsid w:val="00DD5BB6"/>
    <w:rsid w:val="00DD5C0F"/>
    <w:rsid w:val="00DD5DD3"/>
    <w:rsid w:val="00DD6003"/>
    <w:rsid w:val="00DD60B8"/>
    <w:rsid w:val="00DD6428"/>
    <w:rsid w:val="00DD6569"/>
    <w:rsid w:val="00DD6607"/>
    <w:rsid w:val="00DD671C"/>
    <w:rsid w:val="00DD67FE"/>
    <w:rsid w:val="00DD68FD"/>
    <w:rsid w:val="00DD6A28"/>
    <w:rsid w:val="00DD6ABC"/>
    <w:rsid w:val="00DD704B"/>
    <w:rsid w:val="00DD704C"/>
    <w:rsid w:val="00DD7123"/>
    <w:rsid w:val="00DD729D"/>
    <w:rsid w:val="00DD74CE"/>
    <w:rsid w:val="00DD75F6"/>
    <w:rsid w:val="00DD760B"/>
    <w:rsid w:val="00DD784A"/>
    <w:rsid w:val="00DD78A5"/>
    <w:rsid w:val="00DD7CA2"/>
    <w:rsid w:val="00DD7DB0"/>
    <w:rsid w:val="00DD7DBB"/>
    <w:rsid w:val="00DD7DE3"/>
    <w:rsid w:val="00DD7FAF"/>
    <w:rsid w:val="00DE0073"/>
    <w:rsid w:val="00DE0158"/>
    <w:rsid w:val="00DE0200"/>
    <w:rsid w:val="00DE02BD"/>
    <w:rsid w:val="00DE039A"/>
    <w:rsid w:val="00DE03A6"/>
    <w:rsid w:val="00DE03AC"/>
    <w:rsid w:val="00DE09FE"/>
    <w:rsid w:val="00DE0A11"/>
    <w:rsid w:val="00DE0A19"/>
    <w:rsid w:val="00DE0A76"/>
    <w:rsid w:val="00DE0BF1"/>
    <w:rsid w:val="00DE0CF9"/>
    <w:rsid w:val="00DE1100"/>
    <w:rsid w:val="00DE1180"/>
    <w:rsid w:val="00DE126C"/>
    <w:rsid w:val="00DE16E6"/>
    <w:rsid w:val="00DE1B78"/>
    <w:rsid w:val="00DE1D08"/>
    <w:rsid w:val="00DE1D88"/>
    <w:rsid w:val="00DE1E9C"/>
    <w:rsid w:val="00DE1FB3"/>
    <w:rsid w:val="00DE2133"/>
    <w:rsid w:val="00DE2755"/>
    <w:rsid w:val="00DE2975"/>
    <w:rsid w:val="00DE2D41"/>
    <w:rsid w:val="00DE2E01"/>
    <w:rsid w:val="00DE2FB8"/>
    <w:rsid w:val="00DE3214"/>
    <w:rsid w:val="00DE3228"/>
    <w:rsid w:val="00DE34D8"/>
    <w:rsid w:val="00DE386E"/>
    <w:rsid w:val="00DE388A"/>
    <w:rsid w:val="00DE39DB"/>
    <w:rsid w:val="00DE3B86"/>
    <w:rsid w:val="00DE3C7E"/>
    <w:rsid w:val="00DE3D52"/>
    <w:rsid w:val="00DE3E79"/>
    <w:rsid w:val="00DE3F21"/>
    <w:rsid w:val="00DE3FFD"/>
    <w:rsid w:val="00DE40B6"/>
    <w:rsid w:val="00DE43A9"/>
    <w:rsid w:val="00DE457E"/>
    <w:rsid w:val="00DE4643"/>
    <w:rsid w:val="00DE468F"/>
    <w:rsid w:val="00DE4D66"/>
    <w:rsid w:val="00DE4E80"/>
    <w:rsid w:val="00DE4E9A"/>
    <w:rsid w:val="00DE4EC6"/>
    <w:rsid w:val="00DE5401"/>
    <w:rsid w:val="00DE564E"/>
    <w:rsid w:val="00DE56BE"/>
    <w:rsid w:val="00DE5709"/>
    <w:rsid w:val="00DE571D"/>
    <w:rsid w:val="00DE595B"/>
    <w:rsid w:val="00DE59FB"/>
    <w:rsid w:val="00DE5A42"/>
    <w:rsid w:val="00DE5AC2"/>
    <w:rsid w:val="00DE5B0F"/>
    <w:rsid w:val="00DE5B43"/>
    <w:rsid w:val="00DE5BF1"/>
    <w:rsid w:val="00DE5D89"/>
    <w:rsid w:val="00DE5DE7"/>
    <w:rsid w:val="00DE5EF1"/>
    <w:rsid w:val="00DE69DD"/>
    <w:rsid w:val="00DE6AB8"/>
    <w:rsid w:val="00DE6DA1"/>
    <w:rsid w:val="00DE6E51"/>
    <w:rsid w:val="00DE6ED0"/>
    <w:rsid w:val="00DE6FA5"/>
    <w:rsid w:val="00DE72C9"/>
    <w:rsid w:val="00DE79D5"/>
    <w:rsid w:val="00DE7A4E"/>
    <w:rsid w:val="00DE7C62"/>
    <w:rsid w:val="00DE7D5B"/>
    <w:rsid w:val="00DE7DDE"/>
    <w:rsid w:val="00DE7E91"/>
    <w:rsid w:val="00DE7EF7"/>
    <w:rsid w:val="00DF00D5"/>
    <w:rsid w:val="00DF036B"/>
    <w:rsid w:val="00DF06EE"/>
    <w:rsid w:val="00DF07BC"/>
    <w:rsid w:val="00DF0A12"/>
    <w:rsid w:val="00DF0B65"/>
    <w:rsid w:val="00DF0BE3"/>
    <w:rsid w:val="00DF0D84"/>
    <w:rsid w:val="00DF11B1"/>
    <w:rsid w:val="00DF12B4"/>
    <w:rsid w:val="00DF147E"/>
    <w:rsid w:val="00DF1537"/>
    <w:rsid w:val="00DF1655"/>
    <w:rsid w:val="00DF16DA"/>
    <w:rsid w:val="00DF196F"/>
    <w:rsid w:val="00DF1E01"/>
    <w:rsid w:val="00DF1E66"/>
    <w:rsid w:val="00DF1EC7"/>
    <w:rsid w:val="00DF1FC1"/>
    <w:rsid w:val="00DF2050"/>
    <w:rsid w:val="00DF20FF"/>
    <w:rsid w:val="00DF226D"/>
    <w:rsid w:val="00DF265D"/>
    <w:rsid w:val="00DF2731"/>
    <w:rsid w:val="00DF2883"/>
    <w:rsid w:val="00DF28D6"/>
    <w:rsid w:val="00DF2A22"/>
    <w:rsid w:val="00DF2B24"/>
    <w:rsid w:val="00DF2BF9"/>
    <w:rsid w:val="00DF2EF2"/>
    <w:rsid w:val="00DF2F0B"/>
    <w:rsid w:val="00DF2F54"/>
    <w:rsid w:val="00DF3019"/>
    <w:rsid w:val="00DF3064"/>
    <w:rsid w:val="00DF311E"/>
    <w:rsid w:val="00DF31F4"/>
    <w:rsid w:val="00DF3426"/>
    <w:rsid w:val="00DF347A"/>
    <w:rsid w:val="00DF3F55"/>
    <w:rsid w:val="00DF4147"/>
    <w:rsid w:val="00DF417D"/>
    <w:rsid w:val="00DF41DD"/>
    <w:rsid w:val="00DF42CF"/>
    <w:rsid w:val="00DF440E"/>
    <w:rsid w:val="00DF44BE"/>
    <w:rsid w:val="00DF456C"/>
    <w:rsid w:val="00DF4637"/>
    <w:rsid w:val="00DF4792"/>
    <w:rsid w:val="00DF479C"/>
    <w:rsid w:val="00DF490F"/>
    <w:rsid w:val="00DF49F7"/>
    <w:rsid w:val="00DF4A3A"/>
    <w:rsid w:val="00DF4C02"/>
    <w:rsid w:val="00DF4E1C"/>
    <w:rsid w:val="00DF4EC2"/>
    <w:rsid w:val="00DF53D2"/>
    <w:rsid w:val="00DF544E"/>
    <w:rsid w:val="00DF5730"/>
    <w:rsid w:val="00DF57CE"/>
    <w:rsid w:val="00DF5966"/>
    <w:rsid w:val="00DF59B4"/>
    <w:rsid w:val="00DF5BE2"/>
    <w:rsid w:val="00DF5C85"/>
    <w:rsid w:val="00DF6201"/>
    <w:rsid w:val="00DF6310"/>
    <w:rsid w:val="00DF65DB"/>
    <w:rsid w:val="00DF68CB"/>
    <w:rsid w:val="00DF68D3"/>
    <w:rsid w:val="00DF6B7E"/>
    <w:rsid w:val="00DF6DB7"/>
    <w:rsid w:val="00DF6DC1"/>
    <w:rsid w:val="00DF6ED5"/>
    <w:rsid w:val="00DF6F71"/>
    <w:rsid w:val="00DF7915"/>
    <w:rsid w:val="00DF796C"/>
    <w:rsid w:val="00DF7A63"/>
    <w:rsid w:val="00DF7F9F"/>
    <w:rsid w:val="00DF7FD2"/>
    <w:rsid w:val="00E00106"/>
    <w:rsid w:val="00E00272"/>
    <w:rsid w:val="00E002B1"/>
    <w:rsid w:val="00E002B4"/>
    <w:rsid w:val="00E00466"/>
    <w:rsid w:val="00E0067F"/>
    <w:rsid w:val="00E00694"/>
    <w:rsid w:val="00E00815"/>
    <w:rsid w:val="00E0089F"/>
    <w:rsid w:val="00E00A54"/>
    <w:rsid w:val="00E00BDF"/>
    <w:rsid w:val="00E00C31"/>
    <w:rsid w:val="00E00ED3"/>
    <w:rsid w:val="00E00F0F"/>
    <w:rsid w:val="00E00FDF"/>
    <w:rsid w:val="00E01206"/>
    <w:rsid w:val="00E0122E"/>
    <w:rsid w:val="00E01659"/>
    <w:rsid w:val="00E01664"/>
    <w:rsid w:val="00E01AF1"/>
    <w:rsid w:val="00E01BF5"/>
    <w:rsid w:val="00E01C03"/>
    <w:rsid w:val="00E01EA4"/>
    <w:rsid w:val="00E01F6F"/>
    <w:rsid w:val="00E01FB4"/>
    <w:rsid w:val="00E01FBF"/>
    <w:rsid w:val="00E02147"/>
    <w:rsid w:val="00E021D9"/>
    <w:rsid w:val="00E02465"/>
    <w:rsid w:val="00E024C6"/>
    <w:rsid w:val="00E025DE"/>
    <w:rsid w:val="00E02736"/>
    <w:rsid w:val="00E028B8"/>
    <w:rsid w:val="00E028CE"/>
    <w:rsid w:val="00E029A2"/>
    <w:rsid w:val="00E02D90"/>
    <w:rsid w:val="00E02DA2"/>
    <w:rsid w:val="00E02F89"/>
    <w:rsid w:val="00E03377"/>
    <w:rsid w:val="00E03384"/>
    <w:rsid w:val="00E03426"/>
    <w:rsid w:val="00E0370D"/>
    <w:rsid w:val="00E03866"/>
    <w:rsid w:val="00E03A47"/>
    <w:rsid w:val="00E03A96"/>
    <w:rsid w:val="00E03BAA"/>
    <w:rsid w:val="00E03D47"/>
    <w:rsid w:val="00E03D53"/>
    <w:rsid w:val="00E03DA6"/>
    <w:rsid w:val="00E03E30"/>
    <w:rsid w:val="00E03FC1"/>
    <w:rsid w:val="00E04003"/>
    <w:rsid w:val="00E041EB"/>
    <w:rsid w:val="00E046EA"/>
    <w:rsid w:val="00E047AB"/>
    <w:rsid w:val="00E04B92"/>
    <w:rsid w:val="00E04F51"/>
    <w:rsid w:val="00E04F6B"/>
    <w:rsid w:val="00E052E0"/>
    <w:rsid w:val="00E057FD"/>
    <w:rsid w:val="00E0595E"/>
    <w:rsid w:val="00E05FEF"/>
    <w:rsid w:val="00E06297"/>
    <w:rsid w:val="00E063BE"/>
    <w:rsid w:val="00E0643A"/>
    <w:rsid w:val="00E06505"/>
    <w:rsid w:val="00E066D1"/>
    <w:rsid w:val="00E06719"/>
    <w:rsid w:val="00E067B4"/>
    <w:rsid w:val="00E0691E"/>
    <w:rsid w:val="00E06EB3"/>
    <w:rsid w:val="00E06EC7"/>
    <w:rsid w:val="00E07188"/>
    <w:rsid w:val="00E071DC"/>
    <w:rsid w:val="00E07860"/>
    <w:rsid w:val="00E07935"/>
    <w:rsid w:val="00E10164"/>
    <w:rsid w:val="00E101F7"/>
    <w:rsid w:val="00E10632"/>
    <w:rsid w:val="00E1077E"/>
    <w:rsid w:val="00E10899"/>
    <w:rsid w:val="00E109B4"/>
    <w:rsid w:val="00E10B80"/>
    <w:rsid w:val="00E10BBB"/>
    <w:rsid w:val="00E10CBC"/>
    <w:rsid w:val="00E10F1B"/>
    <w:rsid w:val="00E10FB1"/>
    <w:rsid w:val="00E10FFA"/>
    <w:rsid w:val="00E1119F"/>
    <w:rsid w:val="00E1131B"/>
    <w:rsid w:val="00E113A1"/>
    <w:rsid w:val="00E1141B"/>
    <w:rsid w:val="00E11563"/>
    <w:rsid w:val="00E116C9"/>
    <w:rsid w:val="00E1188D"/>
    <w:rsid w:val="00E11904"/>
    <w:rsid w:val="00E119D7"/>
    <w:rsid w:val="00E11FB2"/>
    <w:rsid w:val="00E121BD"/>
    <w:rsid w:val="00E122AD"/>
    <w:rsid w:val="00E122BB"/>
    <w:rsid w:val="00E1238F"/>
    <w:rsid w:val="00E124AE"/>
    <w:rsid w:val="00E12B44"/>
    <w:rsid w:val="00E12B71"/>
    <w:rsid w:val="00E12C97"/>
    <w:rsid w:val="00E12D06"/>
    <w:rsid w:val="00E12D0E"/>
    <w:rsid w:val="00E12ED6"/>
    <w:rsid w:val="00E12F10"/>
    <w:rsid w:val="00E12F17"/>
    <w:rsid w:val="00E12FA7"/>
    <w:rsid w:val="00E1322D"/>
    <w:rsid w:val="00E1332E"/>
    <w:rsid w:val="00E1340E"/>
    <w:rsid w:val="00E136CF"/>
    <w:rsid w:val="00E13A14"/>
    <w:rsid w:val="00E13B66"/>
    <w:rsid w:val="00E13BD7"/>
    <w:rsid w:val="00E13D7E"/>
    <w:rsid w:val="00E13F80"/>
    <w:rsid w:val="00E14389"/>
    <w:rsid w:val="00E1444A"/>
    <w:rsid w:val="00E145AF"/>
    <w:rsid w:val="00E14767"/>
    <w:rsid w:val="00E1476E"/>
    <w:rsid w:val="00E1490C"/>
    <w:rsid w:val="00E14951"/>
    <w:rsid w:val="00E14A7E"/>
    <w:rsid w:val="00E14B11"/>
    <w:rsid w:val="00E14BE9"/>
    <w:rsid w:val="00E14D0C"/>
    <w:rsid w:val="00E14DD4"/>
    <w:rsid w:val="00E14ED2"/>
    <w:rsid w:val="00E152F5"/>
    <w:rsid w:val="00E15487"/>
    <w:rsid w:val="00E1554E"/>
    <w:rsid w:val="00E158E9"/>
    <w:rsid w:val="00E159AA"/>
    <w:rsid w:val="00E15FAD"/>
    <w:rsid w:val="00E16091"/>
    <w:rsid w:val="00E160B2"/>
    <w:rsid w:val="00E163D2"/>
    <w:rsid w:val="00E1653F"/>
    <w:rsid w:val="00E16779"/>
    <w:rsid w:val="00E168D0"/>
    <w:rsid w:val="00E16F39"/>
    <w:rsid w:val="00E170ED"/>
    <w:rsid w:val="00E1754B"/>
    <w:rsid w:val="00E175CD"/>
    <w:rsid w:val="00E1787B"/>
    <w:rsid w:val="00E17D5F"/>
    <w:rsid w:val="00E17D9D"/>
    <w:rsid w:val="00E17DA6"/>
    <w:rsid w:val="00E200A4"/>
    <w:rsid w:val="00E20698"/>
    <w:rsid w:val="00E2078A"/>
    <w:rsid w:val="00E20796"/>
    <w:rsid w:val="00E208F4"/>
    <w:rsid w:val="00E20938"/>
    <w:rsid w:val="00E20BE6"/>
    <w:rsid w:val="00E20C5A"/>
    <w:rsid w:val="00E20DF7"/>
    <w:rsid w:val="00E20E13"/>
    <w:rsid w:val="00E20E15"/>
    <w:rsid w:val="00E20E27"/>
    <w:rsid w:val="00E20E2E"/>
    <w:rsid w:val="00E20F1D"/>
    <w:rsid w:val="00E20FBE"/>
    <w:rsid w:val="00E20FD7"/>
    <w:rsid w:val="00E20FEC"/>
    <w:rsid w:val="00E21015"/>
    <w:rsid w:val="00E21017"/>
    <w:rsid w:val="00E2108D"/>
    <w:rsid w:val="00E21352"/>
    <w:rsid w:val="00E21522"/>
    <w:rsid w:val="00E215EE"/>
    <w:rsid w:val="00E217C7"/>
    <w:rsid w:val="00E21A19"/>
    <w:rsid w:val="00E21BB7"/>
    <w:rsid w:val="00E21C9C"/>
    <w:rsid w:val="00E21CF9"/>
    <w:rsid w:val="00E22066"/>
    <w:rsid w:val="00E22124"/>
    <w:rsid w:val="00E221E5"/>
    <w:rsid w:val="00E2234C"/>
    <w:rsid w:val="00E224B6"/>
    <w:rsid w:val="00E22718"/>
    <w:rsid w:val="00E227F9"/>
    <w:rsid w:val="00E229C6"/>
    <w:rsid w:val="00E22BB8"/>
    <w:rsid w:val="00E22BF4"/>
    <w:rsid w:val="00E22CB7"/>
    <w:rsid w:val="00E22E31"/>
    <w:rsid w:val="00E22F5E"/>
    <w:rsid w:val="00E23001"/>
    <w:rsid w:val="00E2305D"/>
    <w:rsid w:val="00E23101"/>
    <w:rsid w:val="00E23182"/>
    <w:rsid w:val="00E232D3"/>
    <w:rsid w:val="00E23400"/>
    <w:rsid w:val="00E2341C"/>
    <w:rsid w:val="00E2352E"/>
    <w:rsid w:val="00E23547"/>
    <w:rsid w:val="00E2358B"/>
    <w:rsid w:val="00E236BE"/>
    <w:rsid w:val="00E23825"/>
    <w:rsid w:val="00E2399C"/>
    <w:rsid w:val="00E23B68"/>
    <w:rsid w:val="00E23D55"/>
    <w:rsid w:val="00E23EAF"/>
    <w:rsid w:val="00E23EB2"/>
    <w:rsid w:val="00E23ED3"/>
    <w:rsid w:val="00E23F9A"/>
    <w:rsid w:val="00E24177"/>
    <w:rsid w:val="00E2426F"/>
    <w:rsid w:val="00E242DE"/>
    <w:rsid w:val="00E245EC"/>
    <w:rsid w:val="00E2466B"/>
    <w:rsid w:val="00E2477B"/>
    <w:rsid w:val="00E2485B"/>
    <w:rsid w:val="00E24A91"/>
    <w:rsid w:val="00E24CE5"/>
    <w:rsid w:val="00E24EC1"/>
    <w:rsid w:val="00E24FA8"/>
    <w:rsid w:val="00E24FB4"/>
    <w:rsid w:val="00E255D1"/>
    <w:rsid w:val="00E25615"/>
    <w:rsid w:val="00E25629"/>
    <w:rsid w:val="00E256AA"/>
    <w:rsid w:val="00E2598B"/>
    <w:rsid w:val="00E25FC4"/>
    <w:rsid w:val="00E26246"/>
    <w:rsid w:val="00E2676C"/>
    <w:rsid w:val="00E267A0"/>
    <w:rsid w:val="00E26850"/>
    <w:rsid w:val="00E26851"/>
    <w:rsid w:val="00E268C3"/>
    <w:rsid w:val="00E269AA"/>
    <w:rsid w:val="00E26A90"/>
    <w:rsid w:val="00E26B33"/>
    <w:rsid w:val="00E26B76"/>
    <w:rsid w:val="00E26D2E"/>
    <w:rsid w:val="00E26DBA"/>
    <w:rsid w:val="00E27003"/>
    <w:rsid w:val="00E270B5"/>
    <w:rsid w:val="00E2732C"/>
    <w:rsid w:val="00E2771C"/>
    <w:rsid w:val="00E2789D"/>
    <w:rsid w:val="00E27C10"/>
    <w:rsid w:val="00E27DD6"/>
    <w:rsid w:val="00E27E11"/>
    <w:rsid w:val="00E300D2"/>
    <w:rsid w:val="00E303A8"/>
    <w:rsid w:val="00E3052C"/>
    <w:rsid w:val="00E30581"/>
    <w:rsid w:val="00E30584"/>
    <w:rsid w:val="00E305EA"/>
    <w:rsid w:val="00E3087D"/>
    <w:rsid w:val="00E30B4F"/>
    <w:rsid w:val="00E30E41"/>
    <w:rsid w:val="00E30F40"/>
    <w:rsid w:val="00E31096"/>
    <w:rsid w:val="00E3119F"/>
    <w:rsid w:val="00E31793"/>
    <w:rsid w:val="00E31A5D"/>
    <w:rsid w:val="00E31B73"/>
    <w:rsid w:val="00E31CD5"/>
    <w:rsid w:val="00E31DA2"/>
    <w:rsid w:val="00E31E11"/>
    <w:rsid w:val="00E31E7F"/>
    <w:rsid w:val="00E31EDD"/>
    <w:rsid w:val="00E32163"/>
    <w:rsid w:val="00E3228A"/>
    <w:rsid w:val="00E322A8"/>
    <w:rsid w:val="00E327F4"/>
    <w:rsid w:val="00E32AAE"/>
    <w:rsid w:val="00E32B67"/>
    <w:rsid w:val="00E32E59"/>
    <w:rsid w:val="00E32FA2"/>
    <w:rsid w:val="00E332A6"/>
    <w:rsid w:val="00E3357D"/>
    <w:rsid w:val="00E336B6"/>
    <w:rsid w:val="00E33798"/>
    <w:rsid w:val="00E3398C"/>
    <w:rsid w:val="00E339A3"/>
    <w:rsid w:val="00E339C9"/>
    <w:rsid w:val="00E33AC9"/>
    <w:rsid w:val="00E33C5B"/>
    <w:rsid w:val="00E33E38"/>
    <w:rsid w:val="00E33E93"/>
    <w:rsid w:val="00E34128"/>
    <w:rsid w:val="00E3424E"/>
    <w:rsid w:val="00E34278"/>
    <w:rsid w:val="00E345A1"/>
    <w:rsid w:val="00E34652"/>
    <w:rsid w:val="00E3466A"/>
    <w:rsid w:val="00E347F4"/>
    <w:rsid w:val="00E34922"/>
    <w:rsid w:val="00E34A2A"/>
    <w:rsid w:val="00E34C62"/>
    <w:rsid w:val="00E34CD8"/>
    <w:rsid w:val="00E34DD4"/>
    <w:rsid w:val="00E34E3F"/>
    <w:rsid w:val="00E3502F"/>
    <w:rsid w:val="00E35081"/>
    <w:rsid w:val="00E35161"/>
    <w:rsid w:val="00E352B3"/>
    <w:rsid w:val="00E35569"/>
    <w:rsid w:val="00E35888"/>
    <w:rsid w:val="00E3592C"/>
    <w:rsid w:val="00E35E4E"/>
    <w:rsid w:val="00E36137"/>
    <w:rsid w:val="00E36176"/>
    <w:rsid w:val="00E363EE"/>
    <w:rsid w:val="00E3690B"/>
    <w:rsid w:val="00E36A31"/>
    <w:rsid w:val="00E36AD2"/>
    <w:rsid w:val="00E36CEA"/>
    <w:rsid w:val="00E36ED9"/>
    <w:rsid w:val="00E36F06"/>
    <w:rsid w:val="00E36F43"/>
    <w:rsid w:val="00E3710C"/>
    <w:rsid w:val="00E372CF"/>
    <w:rsid w:val="00E373CB"/>
    <w:rsid w:val="00E3749D"/>
    <w:rsid w:val="00E374CB"/>
    <w:rsid w:val="00E374E0"/>
    <w:rsid w:val="00E377D6"/>
    <w:rsid w:val="00E378BC"/>
    <w:rsid w:val="00E37900"/>
    <w:rsid w:val="00E379BB"/>
    <w:rsid w:val="00E37BE7"/>
    <w:rsid w:val="00E37EFE"/>
    <w:rsid w:val="00E40032"/>
    <w:rsid w:val="00E4028C"/>
    <w:rsid w:val="00E4029C"/>
    <w:rsid w:val="00E40C65"/>
    <w:rsid w:val="00E40F50"/>
    <w:rsid w:val="00E40F9B"/>
    <w:rsid w:val="00E40FA5"/>
    <w:rsid w:val="00E41097"/>
    <w:rsid w:val="00E41152"/>
    <w:rsid w:val="00E411DC"/>
    <w:rsid w:val="00E411ED"/>
    <w:rsid w:val="00E4139E"/>
    <w:rsid w:val="00E416D0"/>
    <w:rsid w:val="00E4190F"/>
    <w:rsid w:val="00E41922"/>
    <w:rsid w:val="00E41960"/>
    <w:rsid w:val="00E41978"/>
    <w:rsid w:val="00E419AC"/>
    <w:rsid w:val="00E41BBC"/>
    <w:rsid w:val="00E41DC2"/>
    <w:rsid w:val="00E41EE1"/>
    <w:rsid w:val="00E41F98"/>
    <w:rsid w:val="00E41FE3"/>
    <w:rsid w:val="00E42007"/>
    <w:rsid w:val="00E42196"/>
    <w:rsid w:val="00E4226A"/>
    <w:rsid w:val="00E423D2"/>
    <w:rsid w:val="00E4249D"/>
    <w:rsid w:val="00E42798"/>
    <w:rsid w:val="00E428A7"/>
    <w:rsid w:val="00E429AF"/>
    <w:rsid w:val="00E42B98"/>
    <w:rsid w:val="00E42C27"/>
    <w:rsid w:val="00E42CB9"/>
    <w:rsid w:val="00E42E5D"/>
    <w:rsid w:val="00E42FDA"/>
    <w:rsid w:val="00E42FEA"/>
    <w:rsid w:val="00E4309A"/>
    <w:rsid w:val="00E431AC"/>
    <w:rsid w:val="00E431D8"/>
    <w:rsid w:val="00E435B9"/>
    <w:rsid w:val="00E43634"/>
    <w:rsid w:val="00E43B72"/>
    <w:rsid w:val="00E43CEB"/>
    <w:rsid w:val="00E43DA2"/>
    <w:rsid w:val="00E43FC7"/>
    <w:rsid w:val="00E4414B"/>
    <w:rsid w:val="00E44646"/>
    <w:rsid w:val="00E44744"/>
    <w:rsid w:val="00E448C7"/>
    <w:rsid w:val="00E449CA"/>
    <w:rsid w:val="00E44BE0"/>
    <w:rsid w:val="00E44C20"/>
    <w:rsid w:val="00E44C8C"/>
    <w:rsid w:val="00E44D15"/>
    <w:rsid w:val="00E44F50"/>
    <w:rsid w:val="00E44F61"/>
    <w:rsid w:val="00E4512D"/>
    <w:rsid w:val="00E45138"/>
    <w:rsid w:val="00E451F3"/>
    <w:rsid w:val="00E45389"/>
    <w:rsid w:val="00E4557C"/>
    <w:rsid w:val="00E455FE"/>
    <w:rsid w:val="00E45878"/>
    <w:rsid w:val="00E45905"/>
    <w:rsid w:val="00E4592F"/>
    <w:rsid w:val="00E4598B"/>
    <w:rsid w:val="00E459D4"/>
    <w:rsid w:val="00E45FE5"/>
    <w:rsid w:val="00E4606B"/>
    <w:rsid w:val="00E46115"/>
    <w:rsid w:val="00E46187"/>
    <w:rsid w:val="00E462BE"/>
    <w:rsid w:val="00E46387"/>
    <w:rsid w:val="00E463F8"/>
    <w:rsid w:val="00E46415"/>
    <w:rsid w:val="00E4656C"/>
    <w:rsid w:val="00E4666F"/>
    <w:rsid w:val="00E466EF"/>
    <w:rsid w:val="00E467DE"/>
    <w:rsid w:val="00E46995"/>
    <w:rsid w:val="00E46A50"/>
    <w:rsid w:val="00E46B72"/>
    <w:rsid w:val="00E46C30"/>
    <w:rsid w:val="00E46CC7"/>
    <w:rsid w:val="00E46D51"/>
    <w:rsid w:val="00E46DC4"/>
    <w:rsid w:val="00E47099"/>
    <w:rsid w:val="00E473FE"/>
    <w:rsid w:val="00E47453"/>
    <w:rsid w:val="00E4794E"/>
    <w:rsid w:val="00E47B3F"/>
    <w:rsid w:val="00E47E02"/>
    <w:rsid w:val="00E47F56"/>
    <w:rsid w:val="00E50183"/>
    <w:rsid w:val="00E5055E"/>
    <w:rsid w:val="00E50752"/>
    <w:rsid w:val="00E50B5D"/>
    <w:rsid w:val="00E50E49"/>
    <w:rsid w:val="00E50EA7"/>
    <w:rsid w:val="00E51031"/>
    <w:rsid w:val="00E510A2"/>
    <w:rsid w:val="00E5167C"/>
    <w:rsid w:val="00E51784"/>
    <w:rsid w:val="00E517D4"/>
    <w:rsid w:val="00E517E2"/>
    <w:rsid w:val="00E5199D"/>
    <w:rsid w:val="00E51A72"/>
    <w:rsid w:val="00E51B60"/>
    <w:rsid w:val="00E51D72"/>
    <w:rsid w:val="00E51EB6"/>
    <w:rsid w:val="00E51F9F"/>
    <w:rsid w:val="00E51FD2"/>
    <w:rsid w:val="00E52410"/>
    <w:rsid w:val="00E52629"/>
    <w:rsid w:val="00E52892"/>
    <w:rsid w:val="00E52A99"/>
    <w:rsid w:val="00E52C26"/>
    <w:rsid w:val="00E52C6C"/>
    <w:rsid w:val="00E52F03"/>
    <w:rsid w:val="00E532E1"/>
    <w:rsid w:val="00E53313"/>
    <w:rsid w:val="00E533E9"/>
    <w:rsid w:val="00E5365D"/>
    <w:rsid w:val="00E5373E"/>
    <w:rsid w:val="00E538AA"/>
    <w:rsid w:val="00E53949"/>
    <w:rsid w:val="00E53998"/>
    <w:rsid w:val="00E539D5"/>
    <w:rsid w:val="00E53BE0"/>
    <w:rsid w:val="00E53D41"/>
    <w:rsid w:val="00E53D8A"/>
    <w:rsid w:val="00E53E29"/>
    <w:rsid w:val="00E53E61"/>
    <w:rsid w:val="00E53ED9"/>
    <w:rsid w:val="00E53EE1"/>
    <w:rsid w:val="00E53F68"/>
    <w:rsid w:val="00E54143"/>
    <w:rsid w:val="00E5434D"/>
    <w:rsid w:val="00E5449E"/>
    <w:rsid w:val="00E549F1"/>
    <w:rsid w:val="00E54B3C"/>
    <w:rsid w:val="00E54B88"/>
    <w:rsid w:val="00E54C2E"/>
    <w:rsid w:val="00E54EA0"/>
    <w:rsid w:val="00E54F99"/>
    <w:rsid w:val="00E54FC5"/>
    <w:rsid w:val="00E5541C"/>
    <w:rsid w:val="00E55469"/>
    <w:rsid w:val="00E55741"/>
    <w:rsid w:val="00E55839"/>
    <w:rsid w:val="00E55867"/>
    <w:rsid w:val="00E558E7"/>
    <w:rsid w:val="00E5598A"/>
    <w:rsid w:val="00E559F0"/>
    <w:rsid w:val="00E55CBF"/>
    <w:rsid w:val="00E55D4D"/>
    <w:rsid w:val="00E560A7"/>
    <w:rsid w:val="00E561E6"/>
    <w:rsid w:val="00E565C7"/>
    <w:rsid w:val="00E567F7"/>
    <w:rsid w:val="00E5684B"/>
    <w:rsid w:val="00E57033"/>
    <w:rsid w:val="00E571E2"/>
    <w:rsid w:val="00E571F7"/>
    <w:rsid w:val="00E572AC"/>
    <w:rsid w:val="00E5738C"/>
    <w:rsid w:val="00E5746E"/>
    <w:rsid w:val="00E574B4"/>
    <w:rsid w:val="00E5750F"/>
    <w:rsid w:val="00E57570"/>
    <w:rsid w:val="00E57859"/>
    <w:rsid w:val="00E579D8"/>
    <w:rsid w:val="00E57A41"/>
    <w:rsid w:val="00E57A6C"/>
    <w:rsid w:val="00E57BF4"/>
    <w:rsid w:val="00E57D0C"/>
    <w:rsid w:val="00E57D45"/>
    <w:rsid w:val="00E57D9D"/>
    <w:rsid w:val="00E57FA9"/>
    <w:rsid w:val="00E60014"/>
    <w:rsid w:val="00E6020B"/>
    <w:rsid w:val="00E60541"/>
    <w:rsid w:val="00E605E3"/>
    <w:rsid w:val="00E608C6"/>
    <w:rsid w:val="00E608C9"/>
    <w:rsid w:val="00E60AD2"/>
    <w:rsid w:val="00E60AE2"/>
    <w:rsid w:val="00E60B4D"/>
    <w:rsid w:val="00E60E0F"/>
    <w:rsid w:val="00E60E50"/>
    <w:rsid w:val="00E61000"/>
    <w:rsid w:val="00E61488"/>
    <w:rsid w:val="00E61525"/>
    <w:rsid w:val="00E618A9"/>
    <w:rsid w:val="00E619C6"/>
    <w:rsid w:val="00E61F9E"/>
    <w:rsid w:val="00E61FEB"/>
    <w:rsid w:val="00E62189"/>
    <w:rsid w:val="00E62193"/>
    <w:rsid w:val="00E621F7"/>
    <w:rsid w:val="00E62227"/>
    <w:rsid w:val="00E6241F"/>
    <w:rsid w:val="00E628C7"/>
    <w:rsid w:val="00E629D4"/>
    <w:rsid w:val="00E62A21"/>
    <w:rsid w:val="00E62AA3"/>
    <w:rsid w:val="00E62B0B"/>
    <w:rsid w:val="00E62FDC"/>
    <w:rsid w:val="00E63056"/>
    <w:rsid w:val="00E631CE"/>
    <w:rsid w:val="00E6348B"/>
    <w:rsid w:val="00E634A5"/>
    <w:rsid w:val="00E63634"/>
    <w:rsid w:val="00E63683"/>
    <w:rsid w:val="00E638C4"/>
    <w:rsid w:val="00E639E5"/>
    <w:rsid w:val="00E63A2C"/>
    <w:rsid w:val="00E63B79"/>
    <w:rsid w:val="00E63B91"/>
    <w:rsid w:val="00E63B95"/>
    <w:rsid w:val="00E63C64"/>
    <w:rsid w:val="00E63C7D"/>
    <w:rsid w:val="00E63DB1"/>
    <w:rsid w:val="00E63E53"/>
    <w:rsid w:val="00E63E79"/>
    <w:rsid w:val="00E63FC6"/>
    <w:rsid w:val="00E6411D"/>
    <w:rsid w:val="00E64198"/>
    <w:rsid w:val="00E6422F"/>
    <w:rsid w:val="00E64577"/>
    <w:rsid w:val="00E646AC"/>
    <w:rsid w:val="00E64880"/>
    <w:rsid w:val="00E649B7"/>
    <w:rsid w:val="00E64A6B"/>
    <w:rsid w:val="00E64BDB"/>
    <w:rsid w:val="00E64CC3"/>
    <w:rsid w:val="00E64D47"/>
    <w:rsid w:val="00E6500F"/>
    <w:rsid w:val="00E65183"/>
    <w:rsid w:val="00E6518A"/>
    <w:rsid w:val="00E651A3"/>
    <w:rsid w:val="00E651CC"/>
    <w:rsid w:val="00E65339"/>
    <w:rsid w:val="00E6544A"/>
    <w:rsid w:val="00E655F3"/>
    <w:rsid w:val="00E6567C"/>
    <w:rsid w:val="00E65698"/>
    <w:rsid w:val="00E656A3"/>
    <w:rsid w:val="00E656FF"/>
    <w:rsid w:val="00E6580A"/>
    <w:rsid w:val="00E658CC"/>
    <w:rsid w:val="00E65AB7"/>
    <w:rsid w:val="00E65BF0"/>
    <w:rsid w:val="00E65C20"/>
    <w:rsid w:val="00E65D9B"/>
    <w:rsid w:val="00E65E57"/>
    <w:rsid w:val="00E660F7"/>
    <w:rsid w:val="00E661F3"/>
    <w:rsid w:val="00E66216"/>
    <w:rsid w:val="00E6621C"/>
    <w:rsid w:val="00E66548"/>
    <w:rsid w:val="00E669E1"/>
    <w:rsid w:val="00E66AE0"/>
    <w:rsid w:val="00E66C18"/>
    <w:rsid w:val="00E6717E"/>
    <w:rsid w:val="00E67461"/>
    <w:rsid w:val="00E6760B"/>
    <w:rsid w:val="00E677F9"/>
    <w:rsid w:val="00E67B34"/>
    <w:rsid w:val="00E67F59"/>
    <w:rsid w:val="00E67F71"/>
    <w:rsid w:val="00E67FCF"/>
    <w:rsid w:val="00E70301"/>
    <w:rsid w:val="00E70576"/>
    <w:rsid w:val="00E706D6"/>
    <w:rsid w:val="00E707C7"/>
    <w:rsid w:val="00E70852"/>
    <w:rsid w:val="00E708D6"/>
    <w:rsid w:val="00E70C1B"/>
    <w:rsid w:val="00E70E09"/>
    <w:rsid w:val="00E71235"/>
    <w:rsid w:val="00E71356"/>
    <w:rsid w:val="00E713EB"/>
    <w:rsid w:val="00E713F7"/>
    <w:rsid w:val="00E71848"/>
    <w:rsid w:val="00E7193F"/>
    <w:rsid w:val="00E71D24"/>
    <w:rsid w:val="00E71DB2"/>
    <w:rsid w:val="00E71F40"/>
    <w:rsid w:val="00E7219B"/>
    <w:rsid w:val="00E7235D"/>
    <w:rsid w:val="00E72413"/>
    <w:rsid w:val="00E724AB"/>
    <w:rsid w:val="00E72533"/>
    <w:rsid w:val="00E72621"/>
    <w:rsid w:val="00E7265A"/>
    <w:rsid w:val="00E7267F"/>
    <w:rsid w:val="00E7280F"/>
    <w:rsid w:val="00E72886"/>
    <w:rsid w:val="00E728BF"/>
    <w:rsid w:val="00E728C1"/>
    <w:rsid w:val="00E72B1C"/>
    <w:rsid w:val="00E72B4B"/>
    <w:rsid w:val="00E72DD6"/>
    <w:rsid w:val="00E72F1B"/>
    <w:rsid w:val="00E7319E"/>
    <w:rsid w:val="00E7333C"/>
    <w:rsid w:val="00E73342"/>
    <w:rsid w:val="00E7339E"/>
    <w:rsid w:val="00E733F5"/>
    <w:rsid w:val="00E734DF"/>
    <w:rsid w:val="00E7360C"/>
    <w:rsid w:val="00E738E2"/>
    <w:rsid w:val="00E739DC"/>
    <w:rsid w:val="00E739EE"/>
    <w:rsid w:val="00E73AF8"/>
    <w:rsid w:val="00E73B91"/>
    <w:rsid w:val="00E73E21"/>
    <w:rsid w:val="00E7409B"/>
    <w:rsid w:val="00E74526"/>
    <w:rsid w:val="00E745C0"/>
    <w:rsid w:val="00E746F9"/>
    <w:rsid w:val="00E7483E"/>
    <w:rsid w:val="00E7492E"/>
    <w:rsid w:val="00E74EDA"/>
    <w:rsid w:val="00E751FC"/>
    <w:rsid w:val="00E7532F"/>
    <w:rsid w:val="00E7534C"/>
    <w:rsid w:val="00E758AB"/>
    <w:rsid w:val="00E75C3C"/>
    <w:rsid w:val="00E75CC1"/>
    <w:rsid w:val="00E75CC3"/>
    <w:rsid w:val="00E75CDF"/>
    <w:rsid w:val="00E760CF"/>
    <w:rsid w:val="00E7612E"/>
    <w:rsid w:val="00E76155"/>
    <w:rsid w:val="00E7620B"/>
    <w:rsid w:val="00E76276"/>
    <w:rsid w:val="00E76360"/>
    <w:rsid w:val="00E76893"/>
    <w:rsid w:val="00E7691E"/>
    <w:rsid w:val="00E76A34"/>
    <w:rsid w:val="00E76B9C"/>
    <w:rsid w:val="00E76D12"/>
    <w:rsid w:val="00E7732E"/>
    <w:rsid w:val="00E77332"/>
    <w:rsid w:val="00E773F3"/>
    <w:rsid w:val="00E776B0"/>
    <w:rsid w:val="00E77ACD"/>
    <w:rsid w:val="00E77C37"/>
    <w:rsid w:val="00E77E6D"/>
    <w:rsid w:val="00E77EF5"/>
    <w:rsid w:val="00E77FED"/>
    <w:rsid w:val="00E80693"/>
    <w:rsid w:val="00E8079D"/>
    <w:rsid w:val="00E8089E"/>
    <w:rsid w:val="00E809E0"/>
    <w:rsid w:val="00E80A41"/>
    <w:rsid w:val="00E80AA0"/>
    <w:rsid w:val="00E80B8C"/>
    <w:rsid w:val="00E80BF4"/>
    <w:rsid w:val="00E81055"/>
    <w:rsid w:val="00E81283"/>
    <w:rsid w:val="00E81494"/>
    <w:rsid w:val="00E814C5"/>
    <w:rsid w:val="00E81532"/>
    <w:rsid w:val="00E81674"/>
    <w:rsid w:val="00E818E3"/>
    <w:rsid w:val="00E81C2B"/>
    <w:rsid w:val="00E81DCE"/>
    <w:rsid w:val="00E822F0"/>
    <w:rsid w:val="00E8263F"/>
    <w:rsid w:val="00E8275F"/>
    <w:rsid w:val="00E828F7"/>
    <w:rsid w:val="00E82BDE"/>
    <w:rsid w:val="00E82C42"/>
    <w:rsid w:val="00E82CB4"/>
    <w:rsid w:val="00E82EEE"/>
    <w:rsid w:val="00E83019"/>
    <w:rsid w:val="00E83364"/>
    <w:rsid w:val="00E83573"/>
    <w:rsid w:val="00E83667"/>
    <w:rsid w:val="00E83743"/>
    <w:rsid w:val="00E837A0"/>
    <w:rsid w:val="00E837EC"/>
    <w:rsid w:val="00E838A1"/>
    <w:rsid w:val="00E838A7"/>
    <w:rsid w:val="00E83DE9"/>
    <w:rsid w:val="00E84059"/>
    <w:rsid w:val="00E84254"/>
    <w:rsid w:val="00E842F7"/>
    <w:rsid w:val="00E84481"/>
    <w:rsid w:val="00E84629"/>
    <w:rsid w:val="00E84787"/>
    <w:rsid w:val="00E8495C"/>
    <w:rsid w:val="00E84C21"/>
    <w:rsid w:val="00E84C4B"/>
    <w:rsid w:val="00E84C69"/>
    <w:rsid w:val="00E84E6C"/>
    <w:rsid w:val="00E84FF2"/>
    <w:rsid w:val="00E850FF"/>
    <w:rsid w:val="00E85108"/>
    <w:rsid w:val="00E85264"/>
    <w:rsid w:val="00E85378"/>
    <w:rsid w:val="00E85467"/>
    <w:rsid w:val="00E854F8"/>
    <w:rsid w:val="00E856D5"/>
    <w:rsid w:val="00E85725"/>
    <w:rsid w:val="00E85B55"/>
    <w:rsid w:val="00E85CB4"/>
    <w:rsid w:val="00E85D80"/>
    <w:rsid w:val="00E85DDD"/>
    <w:rsid w:val="00E85E2B"/>
    <w:rsid w:val="00E85E8C"/>
    <w:rsid w:val="00E85FCA"/>
    <w:rsid w:val="00E86192"/>
    <w:rsid w:val="00E8639B"/>
    <w:rsid w:val="00E86867"/>
    <w:rsid w:val="00E8688B"/>
    <w:rsid w:val="00E869ED"/>
    <w:rsid w:val="00E86AD7"/>
    <w:rsid w:val="00E86BA9"/>
    <w:rsid w:val="00E86C40"/>
    <w:rsid w:val="00E87046"/>
    <w:rsid w:val="00E87305"/>
    <w:rsid w:val="00E87351"/>
    <w:rsid w:val="00E873EC"/>
    <w:rsid w:val="00E87977"/>
    <w:rsid w:val="00E87A9A"/>
    <w:rsid w:val="00E87B04"/>
    <w:rsid w:val="00E87CFD"/>
    <w:rsid w:val="00E87DEA"/>
    <w:rsid w:val="00E90009"/>
    <w:rsid w:val="00E90155"/>
    <w:rsid w:val="00E90180"/>
    <w:rsid w:val="00E90184"/>
    <w:rsid w:val="00E903CB"/>
    <w:rsid w:val="00E90454"/>
    <w:rsid w:val="00E90484"/>
    <w:rsid w:val="00E905A3"/>
    <w:rsid w:val="00E90781"/>
    <w:rsid w:val="00E90834"/>
    <w:rsid w:val="00E909AE"/>
    <w:rsid w:val="00E90A6F"/>
    <w:rsid w:val="00E90BC3"/>
    <w:rsid w:val="00E9170A"/>
    <w:rsid w:val="00E9171E"/>
    <w:rsid w:val="00E91A22"/>
    <w:rsid w:val="00E91D7D"/>
    <w:rsid w:val="00E91FC3"/>
    <w:rsid w:val="00E92559"/>
    <w:rsid w:val="00E92612"/>
    <w:rsid w:val="00E926B8"/>
    <w:rsid w:val="00E926BD"/>
    <w:rsid w:val="00E92941"/>
    <w:rsid w:val="00E929D2"/>
    <w:rsid w:val="00E92DD7"/>
    <w:rsid w:val="00E92E3D"/>
    <w:rsid w:val="00E92E52"/>
    <w:rsid w:val="00E93226"/>
    <w:rsid w:val="00E93321"/>
    <w:rsid w:val="00E933F9"/>
    <w:rsid w:val="00E9372E"/>
    <w:rsid w:val="00E9388D"/>
    <w:rsid w:val="00E93990"/>
    <w:rsid w:val="00E93A75"/>
    <w:rsid w:val="00E93AC1"/>
    <w:rsid w:val="00E93D6B"/>
    <w:rsid w:val="00E9406A"/>
    <w:rsid w:val="00E940C5"/>
    <w:rsid w:val="00E94119"/>
    <w:rsid w:val="00E941BB"/>
    <w:rsid w:val="00E941CA"/>
    <w:rsid w:val="00E94260"/>
    <w:rsid w:val="00E94335"/>
    <w:rsid w:val="00E943C0"/>
    <w:rsid w:val="00E94625"/>
    <w:rsid w:val="00E948BB"/>
    <w:rsid w:val="00E94C2F"/>
    <w:rsid w:val="00E94EB8"/>
    <w:rsid w:val="00E94F7D"/>
    <w:rsid w:val="00E95384"/>
    <w:rsid w:val="00E953DB"/>
    <w:rsid w:val="00E954ED"/>
    <w:rsid w:val="00E955BC"/>
    <w:rsid w:val="00E956F2"/>
    <w:rsid w:val="00E95718"/>
    <w:rsid w:val="00E95B44"/>
    <w:rsid w:val="00E95B4E"/>
    <w:rsid w:val="00E95B85"/>
    <w:rsid w:val="00E95BE5"/>
    <w:rsid w:val="00E95E46"/>
    <w:rsid w:val="00E9618C"/>
    <w:rsid w:val="00E96329"/>
    <w:rsid w:val="00E96348"/>
    <w:rsid w:val="00E964D4"/>
    <w:rsid w:val="00E96545"/>
    <w:rsid w:val="00E96640"/>
    <w:rsid w:val="00E96C5B"/>
    <w:rsid w:val="00E96E16"/>
    <w:rsid w:val="00E96F95"/>
    <w:rsid w:val="00E97233"/>
    <w:rsid w:val="00E9724F"/>
    <w:rsid w:val="00E9728B"/>
    <w:rsid w:val="00E972AB"/>
    <w:rsid w:val="00E973F4"/>
    <w:rsid w:val="00E973F5"/>
    <w:rsid w:val="00E975D1"/>
    <w:rsid w:val="00E97619"/>
    <w:rsid w:val="00E9776E"/>
    <w:rsid w:val="00E97807"/>
    <w:rsid w:val="00E978C9"/>
    <w:rsid w:val="00E97A71"/>
    <w:rsid w:val="00E97AD4"/>
    <w:rsid w:val="00E97D10"/>
    <w:rsid w:val="00E97D5D"/>
    <w:rsid w:val="00E97E99"/>
    <w:rsid w:val="00E97F99"/>
    <w:rsid w:val="00EA03FC"/>
    <w:rsid w:val="00EA064B"/>
    <w:rsid w:val="00EA0761"/>
    <w:rsid w:val="00EA07B5"/>
    <w:rsid w:val="00EA07E6"/>
    <w:rsid w:val="00EA07E8"/>
    <w:rsid w:val="00EA0B86"/>
    <w:rsid w:val="00EA0E5B"/>
    <w:rsid w:val="00EA1076"/>
    <w:rsid w:val="00EA11FE"/>
    <w:rsid w:val="00EA132D"/>
    <w:rsid w:val="00EA13B7"/>
    <w:rsid w:val="00EA1438"/>
    <w:rsid w:val="00EA1873"/>
    <w:rsid w:val="00EA189B"/>
    <w:rsid w:val="00EA18C3"/>
    <w:rsid w:val="00EA1964"/>
    <w:rsid w:val="00EA1991"/>
    <w:rsid w:val="00EA1B6C"/>
    <w:rsid w:val="00EA1EEE"/>
    <w:rsid w:val="00EA23C8"/>
    <w:rsid w:val="00EA29D2"/>
    <w:rsid w:val="00EA2C77"/>
    <w:rsid w:val="00EA2CAE"/>
    <w:rsid w:val="00EA2E91"/>
    <w:rsid w:val="00EA2F94"/>
    <w:rsid w:val="00EA31A8"/>
    <w:rsid w:val="00EA348E"/>
    <w:rsid w:val="00EA360A"/>
    <w:rsid w:val="00EA3663"/>
    <w:rsid w:val="00EA3699"/>
    <w:rsid w:val="00EA3708"/>
    <w:rsid w:val="00EA3982"/>
    <w:rsid w:val="00EA3AFD"/>
    <w:rsid w:val="00EA3B95"/>
    <w:rsid w:val="00EA3CAE"/>
    <w:rsid w:val="00EA3FF5"/>
    <w:rsid w:val="00EA434B"/>
    <w:rsid w:val="00EA460F"/>
    <w:rsid w:val="00EA48F8"/>
    <w:rsid w:val="00EA4923"/>
    <w:rsid w:val="00EA4988"/>
    <w:rsid w:val="00EA499F"/>
    <w:rsid w:val="00EA4CE0"/>
    <w:rsid w:val="00EA4FAD"/>
    <w:rsid w:val="00EA504B"/>
    <w:rsid w:val="00EA50F4"/>
    <w:rsid w:val="00EA51E7"/>
    <w:rsid w:val="00EA52B7"/>
    <w:rsid w:val="00EA5357"/>
    <w:rsid w:val="00EA5474"/>
    <w:rsid w:val="00EA557E"/>
    <w:rsid w:val="00EA564E"/>
    <w:rsid w:val="00EA566D"/>
    <w:rsid w:val="00EA569D"/>
    <w:rsid w:val="00EA5722"/>
    <w:rsid w:val="00EA59AE"/>
    <w:rsid w:val="00EA5BC0"/>
    <w:rsid w:val="00EA5D47"/>
    <w:rsid w:val="00EA5E6E"/>
    <w:rsid w:val="00EA6002"/>
    <w:rsid w:val="00EA661B"/>
    <w:rsid w:val="00EA66B5"/>
    <w:rsid w:val="00EA6764"/>
    <w:rsid w:val="00EA67D9"/>
    <w:rsid w:val="00EA6846"/>
    <w:rsid w:val="00EA6912"/>
    <w:rsid w:val="00EA6A1B"/>
    <w:rsid w:val="00EA6ADB"/>
    <w:rsid w:val="00EA6BA1"/>
    <w:rsid w:val="00EA6C11"/>
    <w:rsid w:val="00EA6E55"/>
    <w:rsid w:val="00EA6FCB"/>
    <w:rsid w:val="00EA7066"/>
    <w:rsid w:val="00EA734F"/>
    <w:rsid w:val="00EA7420"/>
    <w:rsid w:val="00EA7647"/>
    <w:rsid w:val="00EA7B4D"/>
    <w:rsid w:val="00EA7B67"/>
    <w:rsid w:val="00EA7BE4"/>
    <w:rsid w:val="00EA7E0E"/>
    <w:rsid w:val="00EA7E56"/>
    <w:rsid w:val="00EA7E71"/>
    <w:rsid w:val="00EA7EE0"/>
    <w:rsid w:val="00EB0116"/>
    <w:rsid w:val="00EB013D"/>
    <w:rsid w:val="00EB0599"/>
    <w:rsid w:val="00EB0604"/>
    <w:rsid w:val="00EB0625"/>
    <w:rsid w:val="00EB0732"/>
    <w:rsid w:val="00EB08D4"/>
    <w:rsid w:val="00EB0A58"/>
    <w:rsid w:val="00EB0B9A"/>
    <w:rsid w:val="00EB0CA6"/>
    <w:rsid w:val="00EB0DB9"/>
    <w:rsid w:val="00EB0DF9"/>
    <w:rsid w:val="00EB0E12"/>
    <w:rsid w:val="00EB0FD5"/>
    <w:rsid w:val="00EB1322"/>
    <w:rsid w:val="00EB1357"/>
    <w:rsid w:val="00EB13BF"/>
    <w:rsid w:val="00EB1593"/>
    <w:rsid w:val="00EB17FB"/>
    <w:rsid w:val="00EB19E6"/>
    <w:rsid w:val="00EB1BBB"/>
    <w:rsid w:val="00EB1C55"/>
    <w:rsid w:val="00EB1E34"/>
    <w:rsid w:val="00EB208D"/>
    <w:rsid w:val="00EB20A6"/>
    <w:rsid w:val="00EB222D"/>
    <w:rsid w:val="00EB22DA"/>
    <w:rsid w:val="00EB2319"/>
    <w:rsid w:val="00EB247E"/>
    <w:rsid w:val="00EB2481"/>
    <w:rsid w:val="00EB2515"/>
    <w:rsid w:val="00EB2632"/>
    <w:rsid w:val="00EB281C"/>
    <w:rsid w:val="00EB29D8"/>
    <w:rsid w:val="00EB2C0E"/>
    <w:rsid w:val="00EB2CEC"/>
    <w:rsid w:val="00EB303C"/>
    <w:rsid w:val="00EB31D9"/>
    <w:rsid w:val="00EB3358"/>
    <w:rsid w:val="00EB33A1"/>
    <w:rsid w:val="00EB34D5"/>
    <w:rsid w:val="00EB34E8"/>
    <w:rsid w:val="00EB3611"/>
    <w:rsid w:val="00EB3787"/>
    <w:rsid w:val="00EB38C4"/>
    <w:rsid w:val="00EB3BB8"/>
    <w:rsid w:val="00EB3C64"/>
    <w:rsid w:val="00EB3C83"/>
    <w:rsid w:val="00EB3DF9"/>
    <w:rsid w:val="00EB41DF"/>
    <w:rsid w:val="00EB46A3"/>
    <w:rsid w:val="00EB476E"/>
    <w:rsid w:val="00EB4857"/>
    <w:rsid w:val="00EB4948"/>
    <w:rsid w:val="00EB4BE6"/>
    <w:rsid w:val="00EB4C8E"/>
    <w:rsid w:val="00EB4CF2"/>
    <w:rsid w:val="00EB5111"/>
    <w:rsid w:val="00EB511A"/>
    <w:rsid w:val="00EB5129"/>
    <w:rsid w:val="00EB512C"/>
    <w:rsid w:val="00EB512F"/>
    <w:rsid w:val="00EB519C"/>
    <w:rsid w:val="00EB5452"/>
    <w:rsid w:val="00EB54AA"/>
    <w:rsid w:val="00EB583C"/>
    <w:rsid w:val="00EB5AFE"/>
    <w:rsid w:val="00EB5C8F"/>
    <w:rsid w:val="00EB5D45"/>
    <w:rsid w:val="00EB5D97"/>
    <w:rsid w:val="00EB5E40"/>
    <w:rsid w:val="00EB5EEE"/>
    <w:rsid w:val="00EB6264"/>
    <w:rsid w:val="00EB626A"/>
    <w:rsid w:val="00EB633C"/>
    <w:rsid w:val="00EB6447"/>
    <w:rsid w:val="00EB65C9"/>
    <w:rsid w:val="00EB671A"/>
    <w:rsid w:val="00EB6B59"/>
    <w:rsid w:val="00EB6B9A"/>
    <w:rsid w:val="00EB6C22"/>
    <w:rsid w:val="00EB6C5B"/>
    <w:rsid w:val="00EB724E"/>
    <w:rsid w:val="00EB7316"/>
    <w:rsid w:val="00EB7467"/>
    <w:rsid w:val="00EB7616"/>
    <w:rsid w:val="00EB770A"/>
    <w:rsid w:val="00EB7754"/>
    <w:rsid w:val="00EB78F7"/>
    <w:rsid w:val="00EB7984"/>
    <w:rsid w:val="00EB7A24"/>
    <w:rsid w:val="00EB7A39"/>
    <w:rsid w:val="00EB7A43"/>
    <w:rsid w:val="00EB7A48"/>
    <w:rsid w:val="00EB7B21"/>
    <w:rsid w:val="00EB7CBA"/>
    <w:rsid w:val="00EC0154"/>
    <w:rsid w:val="00EC02AE"/>
    <w:rsid w:val="00EC0332"/>
    <w:rsid w:val="00EC03AE"/>
    <w:rsid w:val="00EC03FB"/>
    <w:rsid w:val="00EC05DF"/>
    <w:rsid w:val="00EC06A3"/>
    <w:rsid w:val="00EC0779"/>
    <w:rsid w:val="00EC0A2A"/>
    <w:rsid w:val="00EC0A6E"/>
    <w:rsid w:val="00EC110A"/>
    <w:rsid w:val="00EC113B"/>
    <w:rsid w:val="00EC119A"/>
    <w:rsid w:val="00EC1232"/>
    <w:rsid w:val="00EC1239"/>
    <w:rsid w:val="00EC128C"/>
    <w:rsid w:val="00EC169A"/>
    <w:rsid w:val="00EC1736"/>
    <w:rsid w:val="00EC1871"/>
    <w:rsid w:val="00EC193C"/>
    <w:rsid w:val="00EC1E32"/>
    <w:rsid w:val="00EC1F81"/>
    <w:rsid w:val="00EC22CD"/>
    <w:rsid w:val="00EC231D"/>
    <w:rsid w:val="00EC23C3"/>
    <w:rsid w:val="00EC24A3"/>
    <w:rsid w:val="00EC2501"/>
    <w:rsid w:val="00EC273C"/>
    <w:rsid w:val="00EC2867"/>
    <w:rsid w:val="00EC29C1"/>
    <w:rsid w:val="00EC29DC"/>
    <w:rsid w:val="00EC2C8E"/>
    <w:rsid w:val="00EC2D0A"/>
    <w:rsid w:val="00EC2ED8"/>
    <w:rsid w:val="00EC2EDF"/>
    <w:rsid w:val="00EC3004"/>
    <w:rsid w:val="00EC3213"/>
    <w:rsid w:val="00EC3229"/>
    <w:rsid w:val="00EC350F"/>
    <w:rsid w:val="00EC3709"/>
    <w:rsid w:val="00EC38EF"/>
    <w:rsid w:val="00EC3BDA"/>
    <w:rsid w:val="00EC3C0A"/>
    <w:rsid w:val="00EC3C6E"/>
    <w:rsid w:val="00EC3C9B"/>
    <w:rsid w:val="00EC3EC1"/>
    <w:rsid w:val="00EC3FD0"/>
    <w:rsid w:val="00EC40C1"/>
    <w:rsid w:val="00EC41EC"/>
    <w:rsid w:val="00EC4806"/>
    <w:rsid w:val="00EC482D"/>
    <w:rsid w:val="00EC4A58"/>
    <w:rsid w:val="00EC4DC2"/>
    <w:rsid w:val="00EC4FB6"/>
    <w:rsid w:val="00EC4FF4"/>
    <w:rsid w:val="00EC5027"/>
    <w:rsid w:val="00EC50C2"/>
    <w:rsid w:val="00EC50C4"/>
    <w:rsid w:val="00EC5269"/>
    <w:rsid w:val="00EC55CC"/>
    <w:rsid w:val="00EC580D"/>
    <w:rsid w:val="00EC5997"/>
    <w:rsid w:val="00EC5A9B"/>
    <w:rsid w:val="00EC5ADF"/>
    <w:rsid w:val="00EC5B76"/>
    <w:rsid w:val="00EC5C40"/>
    <w:rsid w:val="00EC5F35"/>
    <w:rsid w:val="00EC6096"/>
    <w:rsid w:val="00EC6622"/>
    <w:rsid w:val="00EC6AEB"/>
    <w:rsid w:val="00EC7063"/>
    <w:rsid w:val="00EC7646"/>
    <w:rsid w:val="00EC7B61"/>
    <w:rsid w:val="00EC7B9B"/>
    <w:rsid w:val="00EC7BB1"/>
    <w:rsid w:val="00EC7DA6"/>
    <w:rsid w:val="00EC7DC0"/>
    <w:rsid w:val="00EC7E3B"/>
    <w:rsid w:val="00EC7F8C"/>
    <w:rsid w:val="00ED0047"/>
    <w:rsid w:val="00ED00F2"/>
    <w:rsid w:val="00ED0298"/>
    <w:rsid w:val="00ED04DC"/>
    <w:rsid w:val="00ED050E"/>
    <w:rsid w:val="00ED056A"/>
    <w:rsid w:val="00ED068C"/>
    <w:rsid w:val="00ED068D"/>
    <w:rsid w:val="00ED06DC"/>
    <w:rsid w:val="00ED0799"/>
    <w:rsid w:val="00ED0869"/>
    <w:rsid w:val="00ED11BC"/>
    <w:rsid w:val="00ED1262"/>
    <w:rsid w:val="00ED12C6"/>
    <w:rsid w:val="00ED1390"/>
    <w:rsid w:val="00ED198D"/>
    <w:rsid w:val="00ED1B8F"/>
    <w:rsid w:val="00ED1CB3"/>
    <w:rsid w:val="00ED1E9F"/>
    <w:rsid w:val="00ED207F"/>
    <w:rsid w:val="00ED221B"/>
    <w:rsid w:val="00ED2312"/>
    <w:rsid w:val="00ED24D3"/>
    <w:rsid w:val="00ED2610"/>
    <w:rsid w:val="00ED26CB"/>
    <w:rsid w:val="00ED286E"/>
    <w:rsid w:val="00ED293A"/>
    <w:rsid w:val="00ED298F"/>
    <w:rsid w:val="00ED2A4A"/>
    <w:rsid w:val="00ED2B78"/>
    <w:rsid w:val="00ED2E43"/>
    <w:rsid w:val="00ED2E4D"/>
    <w:rsid w:val="00ED2F1D"/>
    <w:rsid w:val="00ED345B"/>
    <w:rsid w:val="00ED363F"/>
    <w:rsid w:val="00ED3724"/>
    <w:rsid w:val="00ED3776"/>
    <w:rsid w:val="00ED3B02"/>
    <w:rsid w:val="00ED3CF2"/>
    <w:rsid w:val="00ED3F24"/>
    <w:rsid w:val="00ED4256"/>
    <w:rsid w:val="00ED42EF"/>
    <w:rsid w:val="00ED43B1"/>
    <w:rsid w:val="00ED4738"/>
    <w:rsid w:val="00ED48AA"/>
    <w:rsid w:val="00ED4C13"/>
    <w:rsid w:val="00ED4F7B"/>
    <w:rsid w:val="00ED4FC7"/>
    <w:rsid w:val="00ED4FDF"/>
    <w:rsid w:val="00ED4FEF"/>
    <w:rsid w:val="00ED5194"/>
    <w:rsid w:val="00ED5702"/>
    <w:rsid w:val="00ED5989"/>
    <w:rsid w:val="00ED5A76"/>
    <w:rsid w:val="00ED5ACC"/>
    <w:rsid w:val="00ED5B05"/>
    <w:rsid w:val="00ED5BC4"/>
    <w:rsid w:val="00ED5D11"/>
    <w:rsid w:val="00ED6245"/>
    <w:rsid w:val="00ED6284"/>
    <w:rsid w:val="00ED64F6"/>
    <w:rsid w:val="00ED6721"/>
    <w:rsid w:val="00ED67DB"/>
    <w:rsid w:val="00ED6A06"/>
    <w:rsid w:val="00ED6A44"/>
    <w:rsid w:val="00ED6B9F"/>
    <w:rsid w:val="00ED6BBB"/>
    <w:rsid w:val="00ED6CF6"/>
    <w:rsid w:val="00ED704F"/>
    <w:rsid w:val="00ED7443"/>
    <w:rsid w:val="00ED7668"/>
    <w:rsid w:val="00ED76FB"/>
    <w:rsid w:val="00ED7743"/>
    <w:rsid w:val="00ED7AFD"/>
    <w:rsid w:val="00EE01D0"/>
    <w:rsid w:val="00EE05EE"/>
    <w:rsid w:val="00EE0626"/>
    <w:rsid w:val="00EE08F6"/>
    <w:rsid w:val="00EE0AA4"/>
    <w:rsid w:val="00EE0B9C"/>
    <w:rsid w:val="00EE0BC5"/>
    <w:rsid w:val="00EE1485"/>
    <w:rsid w:val="00EE14BB"/>
    <w:rsid w:val="00EE15CF"/>
    <w:rsid w:val="00EE1675"/>
    <w:rsid w:val="00EE1716"/>
    <w:rsid w:val="00EE17DC"/>
    <w:rsid w:val="00EE1896"/>
    <w:rsid w:val="00EE1934"/>
    <w:rsid w:val="00EE197A"/>
    <w:rsid w:val="00EE1AC1"/>
    <w:rsid w:val="00EE1BA5"/>
    <w:rsid w:val="00EE1C9F"/>
    <w:rsid w:val="00EE1D60"/>
    <w:rsid w:val="00EE1E21"/>
    <w:rsid w:val="00EE1F98"/>
    <w:rsid w:val="00EE2074"/>
    <w:rsid w:val="00EE20A3"/>
    <w:rsid w:val="00EE2388"/>
    <w:rsid w:val="00EE2405"/>
    <w:rsid w:val="00EE2407"/>
    <w:rsid w:val="00EE24CC"/>
    <w:rsid w:val="00EE25FC"/>
    <w:rsid w:val="00EE265A"/>
    <w:rsid w:val="00EE2733"/>
    <w:rsid w:val="00EE2753"/>
    <w:rsid w:val="00EE28A5"/>
    <w:rsid w:val="00EE28B8"/>
    <w:rsid w:val="00EE2BD1"/>
    <w:rsid w:val="00EE2C6A"/>
    <w:rsid w:val="00EE2CBD"/>
    <w:rsid w:val="00EE2CE5"/>
    <w:rsid w:val="00EE2D2A"/>
    <w:rsid w:val="00EE2DD5"/>
    <w:rsid w:val="00EE2E0B"/>
    <w:rsid w:val="00EE2E88"/>
    <w:rsid w:val="00EE2F58"/>
    <w:rsid w:val="00EE317C"/>
    <w:rsid w:val="00EE3441"/>
    <w:rsid w:val="00EE3513"/>
    <w:rsid w:val="00EE37BC"/>
    <w:rsid w:val="00EE3968"/>
    <w:rsid w:val="00EE3AD1"/>
    <w:rsid w:val="00EE3C24"/>
    <w:rsid w:val="00EE3C50"/>
    <w:rsid w:val="00EE3CDC"/>
    <w:rsid w:val="00EE3D3F"/>
    <w:rsid w:val="00EE3E6A"/>
    <w:rsid w:val="00EE3FBB"/>
    <w:rsid w:val="00EE401C"/>
    <w:rsid w:val="00EE4102"/>
    <w:rsid w:val="00EE42BF"/>
    <w:rsid w:val="00EE43A6"/>
    <w:rsid w:val="00EE45A2"/>
    <w:rsid w:val="00EE45D4"/>
    <w:rsid w:val="00EE45E7"/>
    <w:rsid w:val="00EE45EC"/>
    <w:rsid w:val="00EE4618"/>
    <w:rsid w:val="00EE4733"/>
    <w:rsid w:val="00EE4919"/>
    <w:rsid w:val="00EE4B26"/>
    <w:rsid w:val="00EE4B2F"/>
    <w:rsid w:val="00EE4BFC"/>
    <w:rsid w:val="00EE4C6A"/>
    <w:rsid w:val="00EE4E32"/>
    <w:rsid w:val="00EE4F08"/>
    <w:rsid w:val="00EE517A"/>
    <w:rsid w:val="00EE51E7"/>
    <w:rsid w:val="00EE527E"/>
    <w:rsid w:val="00EE5414"/>
    <w:rsid w:val="00EE542D"/>
    <w:rsid w:val="00EE5618"/>
    <w:rsid w:val="00EE5665"/>
    <w:rsid w:val="00EE5762"/>
    <w:rsid w:val="00EE5800"/>
    <w:rsid w:val="00EE5811"/>
    <w:rsid w:val="00EE5876"/>
    <w:rsid w:val="00EE5DAE"/>
    <w:rsid w:val="00EE612A"/>
    <w:rsid w:val="00EE61B5"/>
    <w:rsid w:val="00EE6230"/>
    <w:rsid w:val="00EE62F3"/>
    <w:rsid w:val="00EE6604"/>
    <w:rsid w:val="00EE676D"/>
    <w:rsid w:val="00EE67FE"/>
    <w:rsid w:val="00EE6B55"/>
    <w:rsid w:val="00EE6BF2"/>
    <w:rsid w:val="00EE6C85"/>
    <w:rsid w:val="00EE6D71"/>
    <w:rsid w:val="00EE6DEA"/>
    <w:rsid w:val="00EE7023"/>
    <w:rsid w:val="00EE749B"/>
    <w:rsid w:val="00EE74EB"/>
    <w:rsid w:val="00EE750B"/>
    <w:rsid w:val="00EE7871"/>
    <w:rsid w:val="00EE79FD"/>
    <w:rsid w:val="00EE7F31"/>
    <w:rsid w:val="00EF00D3"/>
    <w:rsid w:val="00EF0390"/>
    <w:rsid w:val="00EF0495"/>
    <w:rsid w:val="00EF0780"/>
    <w:rsid w:val="00EF086E"/>
    <w:rsid w:val="00EF0896"/>
    <w:rsid w:val="00EF0BD3"/>
    <w:rsid w:val="00EF0C3F"/>
    <w:rsid w:val="00EF0C83"/>
    <w:rsid w:val="00EF0C92"/>
    <w:rsid w:val="00EF0DBB"/>
    <w:rsid w:val="00EF0E9D"/>
    <w:rsid w:val="00EF0FFE"/>
    <w:rsid w:val="00EF1075"/>
    <w:rsid w:val="00EF10AD"/>
    <w:rsid w:val="00EF110A"/>
    <w:rsid w:val="00EF1221"/>
    <w:rsid w:val="00EF1458"/>
    <w:rsid w:val="00EF1671"/>
    <w:rsid w:val="00EF17B2"/>
    <w:rsid w:val="00EF197F"/>
    <w:rsid w:val="00EF19E3"/>
    <w:rsid w:val="00EF1A45"/>
    <w:rsid w:val="00EF1AB3"/>
    <w:rsid w:val="00EF1B50"/>
    <w:rsid w:val="00EF1BC0"/>
    <w:rsid w:val="00EF1DCC"/>
    <w:rsid w:val="00EF20A8"/>
    <w:rsid w:val="00EF222C"/>
    <w:rsid w:val="00EF23BB"/>
    <w:rsid w:val="00EF2576"/>
    <w:rsid w:val="00EF2962"/>
    <w:rsid w:val="00EF2A13"/>
    <w:rsid w:val="00EF2A29"/>
    <w:rsid w:val="00EF31E8"/>
    <w:rsid w:val="00EF320E"/>
    <w:rsid w:val="00EF3212"/>
    <w:rsid w:val="00EF334E"/>
    <w:rsid w:val="00EF345E"/>
    <w:rsid w:val="00EF3619"/>
    <w:rsid w:val="00EF3658"/>
    <w:rsid w:val="00EF36B0"/>
    <w:rsid w:val="00EF3810"/>
    <w:rsid w:val="00EF391B"/>
    <w:rsid w:val="00EF3B75"/>
    <w:rsid w:val="00EF3DE9"/>
    <w:rsid w:val="00EF3FCB"/>
    <w:rsid w:val="00EF42CB"/>
    <w:rsid w:val="00EF47EF"/>
    <w:rsid w:val="00EF490E"/>
    <w:rsid w:val="00EF4BF2"/>
    <w:rsid w:val="00EF4C02"/>
    <w:rsid w:val="00EF4D41"/>
    <w:rsid w:val="00EF4E2C"/>
    <w:rsid w:val="00EF4ED4"/>
    <w:rsid w:val="00EF4EEB"/>
    <w:rsid w:val="00EF504D"/>
    <w:rsid w:val="00EF52C2"/>
    <w:rsid w:val="00EF52EB"/>
    <w:rsid w:val="00EF53DB"/>
    <w:rsid w:val="00EF54AC"/>
    <w:rsid w:val="00EF5520"/>
    <w:rsid w:val="00EF561D"/>
    <w:rsid w:val="00EF5624"/>
    <w:rsid w:val="00EF58EA"/>
    <w:rsid w:val="00EF58EE"/>
    <w:rsid w:val="00EF59D2"/>
    <w:rsid w:val="00EF5BA0"/>
    <w:rsid w:val="00EF5C14"/>
    <w:rsid w:val="00EF5D01"/>
    <w:rsid w:val="00EF5F64"/>
    <w:rsid w:val="00EF610E"/>
    <w:rsid w:val="00EF613F"/>
    <w:rsid w:val="00EF6263"/>
    <w:rsid w:val="00EF63D9"/>
    <w:rsid w:val="00EF6414"/>
    <w:rsid w:val="00EF69A9"/>
    <w:rsid w:val="00EF6B8C"/>
    <w:rsid w:val="00EF6CC6"/>
    <w:rsid w:val="00EF6E4B"/>
    <w:rsid w:val="00EF6E9A"/>
    <w:rsid w:val="00EF7067"/>
    <w:rsid w:val="00EF70C3"/>
    <w:rsid w:val="00EF7120"/>
    <w:rsid w:val="00EF7311"/>
    <w:rsid w:val="00EF7362"/>
    <w:rsid w:val="00EF75CF"/>
    <w:rsid w:val="00EF76E5"/>
    <w:rsid w:val="00EF7932"/>
    <w:rsid w:val="00EF7A7A"/>
    <w:rsid w:val="00EF7AAC"/>
    <w:rsid w:val="00EF7AE8"/>
    <w:rsid w:val="00EF7B4F"/>
    <w:rsid w:val="00EF7C22"/>
    <w:rsid w:val="00EF7FE7"/>
    <w:rsid w:val="00F00079"/>
    <w:rsid w:val="00F000FA"/>
    <w:rsid w:val="00F00296"/>
    <w:rsid w:val="00F00470"/>
    <w:rsid w:val="00F005A4"/>
    <w:rsid w:val="00F005DC"/>
    <w:rsid w:val="00F0068B"/>
    <w:rsid w:val="00F0079A"/>
    <w:rsid w:val="00F008ED"/>
    <w:rsid w:val="00F011BA"/>
    <w:rsid w:val="00F01313"/>
    <w:rsid w:val="00F0137F"/>
    <w:rsid w:val="00F01390"/>
    <w:rsid w:val="00F0139F"/>
    <w:rsid w:val="00F013DF"/>
    <w:rsid w:val="00F01412"/>
    <w:rsid w:val="00F01972"/>
    <w:rsid w:val="00F019FA"/>
    <w:rsid w:val="00F01A5C"/>
    <w:rsid w:val="00F01AB5"/>
    <w:rsid w:val="00F01B8B"/>
    <w:rsid w:val="00F01DAE"/>
    <w:rsid w:val="00F01DE0"/>
    <w:rsid w:val="00F0270C"/>
    <w:rsid w:val="00F0270F"/>
    <w:rsid w:val="00F02C7C"/>
    <w:rsid w:val="00F02CBE"/>
    <w:rsid w:val="00F02CE8"/>
    <w:rsid w:val="00F031CE"/>
    <w:rsid w:val="00F033B9"/>
    <w:rsid w:val="00F034E0"/>
    <w:rsid w:val="00F03560"/>
    <w:rsid w:val="00F036D6"/>
    <w:rsid w:val="00F037DF"/>
    <w:rsid w:val="00F03AB2"/>
    <w:rsid w:val="00F03B4E"/>
    <w:rsid w:val="00F03B89"/>
    <w:rsid w:val="00F03C80"/>
    <w:rsid w:val="00F043C5"/>
    <w:rsid w:val="00F04423"/>
    <w:rsid w:val="00F045E0"/>
    <w:rsid w:val="00F04636"/>
    <w:rsid w:val="00F0478C"/>
    <w:rsid w:val="00F04C32"/>
    <w:rsid w:val="00F04F09"/>
    <w:rsid w:val="00F04F90"/>
    <w:rsid w:val="00F04FC6"/>
    <w:rsid w:val="00F053C0"/>
    <w:rsid w:val="00F05409"/>
    <w:rsid w:val="00F0555F"/>
    <w:rsid w:val="00F05591"/>
    <w:rsid w:val="00F0567F"/>
    <w:rsid w:val="00F05867"/>
    <w:rsid w:val="00F059D1"/>
    <w:rsid w:val="00F05A05"/>
    <w:rsid w:val="00F05DA7"/>
    <w:rsid w:val="00F05EAD"/>
    <w:rsid w:val="00F05FA7"/>
    <w:rsid w:val="00F060EC"/>
    <w:rsid w:val="00F06136"/>
    <w:rsid w:val="00F064DC"/>
    <w:rsid w:val="00F06582"/>
    <w:rsid w:val="00F065C5"/>
    <w:rsid w:val="00F06682"/>
    <w:rsid w:val="00F06730"/>
    <w:rsid w:val="00F06AC1"/>
    <w:rsid w:val="00F06D69"/>
    <w:rsid w:val="00F06DB8"/>
    <w:rsid w:val="00F06F01"/>
    <w:rsid w:val="00F06F61"/>
    <w:rsid w:val="00F0720B"/>
    <w:rsid w:val="00F07311"/>
    <w:rsid w:val="00F07370"/>
    <w:rsid w:val="00F0758B"/>
    <w:rsid w:val="00F0764B"/>
    <w:rsid w:val="00F079A0"/>
    <w:rsid w:val="00F07BE7"/>
    <w:rsid w:val="00F07D8F"/>
    <w:rsid w:val="00F07FD7"/>
    <w:rsid w:val="00F10244"/>
    <w:rsid w:val="00F104D5"/>
    <w:rsid w:val="00F10599"/>
    <w:rsid w:val="00F106BB"/>
    <w:rsid w:val="00F10771"/>
    <w:rsid w:val="00F10C50"/>
    <w:rsid w:val="00F10C9A"/>
    <w:rsid w:val="00F10D58"/>
    <w:rsid w:val="00F10F0A"/>
    <w:rsid w:val="00F11299"/>
    <w:rsid w:val="00F1197F"/>
    <w:rsid w:val="00F11BE2"/>
    <w:rsid w:val="00F11C47"/>
    <w:rsid w:val="00F11E18"/>
    <w:rsid w:val="00F12052"/>
    <w:rsid w:val="00F12239"/>
    <w:rsid w:val="00F122A5"/>
    <w:rsid w:val="00F124AF"/>
    <w:rsid w:val="00F12584"/>
    <w:rsid w:val="00F12718"/>
    <w:rsid w:val="00F12747"/>
    <w:rsid w:val="00F1287F"/>
    <w:rsid w:val="00F12A56"/>
    <w:rsid w:val="00F12BCF"/>
    <w:rsid w:val="00F12E8B"/>
    <w:rsid w:val="00F13392"/>
    <w:rsid w:val="00F13797"/>
    <w:rsid w:val="00F137AF"/>
    <w:rsid w:val="00F1384A"/>
    <w:rsid w:val="00F13874"/>
    <w:rsid w:val="00F13932"/>
    <w:rsid w:val="00F13A8B"/>
    <w:rsid w:val="00F13AC4"/>
    <w:rsid w:val="00F13CE7"/>
    <w:rsid w:val="00F13D4E"/>
    <w:rsid w:val="00F13EF0"/>
    <w:rsid w:val="00F13F96"/>
    <w:rsid w:val="00F140C0"/>
    <w:rsid w:val="00F140F4"/>
    <w:rsid w:val="00F1418D"/>
    <w:rsid w:val="00F14221"/>
    <w:rsid w:val="00F14302"/>
    <w:rsid w:val="00F1462A"/>
    <w:rsid w:val="00F1484D"/>
    <w:rsid w:val="00F1495B"/>
    <w:rsid w:val="00F14BC8"/>
    <w:rsid w:val="00F14C1E"/>
    <w:rsid w:val="00F14C4C"/>
    <w:rsid w:val="00F14EFF"/>
    <w:rsid w:val="00F15055"/>
    <w:rsid w:val="00F150D4"/>
    <w:rsid w:val="00F151C6"/>
    <w:rsid w:val="00F151EF"/>
    <w:rsid w:val="00F15394"/>
    <w:rsid w:val="00F15CE4"/>
    <w:rsid w:val="00F15D62"/>
    <w:rsid w:val="00F15D8B"/>
    <w:rsid w:val="00F15FF5"/>
    <w:rsid w:val="00F166AF"/>
    <w:rsid w:val="00F16A3F"/>
    <w:rsid w:val="00F16BFF"/>
    <w:rsid w:val="00F16C7E"/>
    <w:rsid w:val="00F16CFC"/>
    <w:rsid w:val="00F16F67"/>
    <w:rsid w:val="00F16F6A"/>
    <w:rsid w:val="00F174BD"/>
    <w:rsid w:val="00F174F7"/>
    <w:rsid w:val="00F1776E"/>
    <w:rsid w:val="00F17973"/>
    <w:rsid w:val="00F179CD"/>
    <w:rsid w:val="00F17A64"/>
    <w:rsid w:val="00F17B1F"/>
    <w:rsid w:val="00F17E82"/>
    <w:rsid w:val="00F17FB6"/>
    <w:rsid w:val="00F17FB8"/>
    <w:rsid w:val="00F200A1"/>
    <w:rsid w:val="00F20156"/>
    <w:rsid w:val="00F203E1"/>
    <w:rsid w:val="00F20521"/>
    <w:rsid w:val="00F20662"/>
    <w:rsid w:val="00F20905"/>
    <w:rsid w:val="00F20A4B"/>
    <w:rsid w:val="00F20A63"/>
    <w:rsid w:val="00F20B1C"/>
    <w:rsid w:val="00F20C74"/>
    <w:rsid w:val="00F20CA3"/>
    <w:rsid w:val="00F20D36"/>
    <w:rsid w:val="00F210D7"/>
    <w:rsid w:val="00F21139"/>
    <w:rsid w:val="00F2136B"/>
    <w:rsid w:val="00F215B0"/>
    <w:rsid w:val="00F2199C"/>
    <w:rsid w:val="00F21B40"/>
    <w:rsid w:val="00F21C5A"/>
    <w:rsid w:val="00F21CDD"/>
    <w:rsid w:val="00F22005"/>
    <w:rsid w:val="00F221D6"/>
    <w:rsid w:val="00F22951"/>
    <w:rsid w:val="00F22BE6"/>
    <w:rsid w:val="00F22C18"/>
    <w:rsid w:val="00F22C2F"/>
    <w:rsid w:val="00F22E60"/>
    <w:rsid w:val="00F23005"/>
    <w:rsid w:val="00F2302B"/>
    <w:rsid w:val="00F232EC"/>
    <w:rsid w:val="00F232F3"/>
    <w:rsid w:val="00F233FD"/>
    <w:rsid w:val="00F23422"/>
    <w:rsid w:val="00F2346B"/>
    <w:rsid w:val="00F235FA"/>
    <w:rsid w:val="00F23891"/>
    <w:rsid w:val="00F23AF2"/>
    <w:rsid w:val="00F23B0A"/>
    <w:rsid w:val="00F23C23"/>
    <w:rsid w:val="00F23C68"/>
    <w:rsid w:val="00F23D01"/>
    <w:rsid w:val="00F23E26"/>
    <w:rsid w:val="00F23FC2"/>
    <w:rsid w:val="00F2430B"/>
    <w:rsid w:val="00F24392"/>
    <w:rsid w:val="00F2440C"/>
    <w:rsid w:val="00F24444"/>
    <w:rsid w:val="00F244EB"/>
    <w:rsid w:val="00F2464B"/>
    <w:rsid w:val="00F24682"/>
    <w:rsid w:val="00F24AF4"/>
    <w:rsid w:val="00F24DFF"/>
    <w:rsid w:val="00F24F1A"/>
    <w:rsid w:val="00F2509D"/>
    <w:rsid w:val="00F2527D"/>
    <w:rsid w:val="00F25439"/>
    <w:rsid w:val="00F254FB"/>
    <w:rsid w:val="00F25592"/>
    <w:rsid w:val="00F255FD"/>
    <w:rsid w:val="00F256E1"/>
    <w:rsid w:val="00F25781"/>
    <w:rsid w:val="00F25B04"/>
    <w:rsid w:val="00F25B53"/>
    <w:rsid w:val="00F25C4C"/>
    <w:rsid w:val="00F25F98"/>
    <w:rsid w:val="00F2602D"/>
    <w:rsid w:val="00F2607B"/>
    <w:rsid w:val="00F260EB"/>
    <w:rsid w:val="00F26217"/>
    <w:rsid w:val="00F263FE"/>
    <w:rsid w:val="00F266B0"/>
    <w:rsid w:val="00F26968"/>
    <w:rsid w:val="00F269C5"/>
    <w:rsid w:val="00F26B96"/>
    <w:rsid w:val="00F26B9E"/>
    <w:rsid w:val="00F26E51"/>
    <w:rsid w:val="00F271A7"/>
    <w:rsid w:val="00F271B5"/>
    <w:rsid w:val="00F27256"/>
    <w:rsid w:val="00F274A0"/>
    <w:rsid w:val="00F274A7"/>
    <w:rsid w:val="00F27655"/>
    <w:rsid w:val="00F27734"/>
    <w:rsid w:val="00F278B9"/>
    <w:rsid w:val="00F279D0"/>
    <w:rsid w:val="00F27BFC"/>
    <w:rsid w:val="00F27E84"/>
    <w:rsid w:val="00F3008C"/>
    <w:rsid w:val="00F300D1"/>
    <w:rsid w:val="00F302CA"/>
    <w:rsid w:val="00F303E1"/>
    <w:rsid w:val="00F30585"/>
    <w:rsid w:val="00F3068D"/>
    <w:rsid w:val="00F307DE"/>
    <w:rsid w:val="00F30822"/>
    <w:rsid w:val="00F309EB"/>
    <w:rsid w:val="00F30AAA"/>
    <w:rsid w:val="00F30B04"/>
    <w:rsid w:val="00F30DA7"/>
    <w:rsid w:val="00F30DB1"/>
    <w:rsid w:val="00F30E6A"/>
    <w:rsid w:val="00F30EE8"/>
    <w:rsid w:val="00F3119D"/>
    <w:rsid w:val="00F312C8"/>
    <w:rsid w:val="00F3153C"/>
    <w:rsid w:val="00F31583"/>
    <w:rsid w:val="00F316A9"/>
    <w:rsid w:val="00F31876"/>
    <w:rsid w:val="00F31ADA"/>
    <w:rsid w:val="00F31B94"/>
    <w:rsid w:val="00F31D31"/>
    <w:rsid w:val="00F31F13"/>
    <w:rsid w:val="00F31F5D"/>
    <w:rsid w:val="00F32222"/>
    <w:rsid w:val="00F32584"/>
    <w:rsid w:val="00F326DB"/>
    <w:rsid w:val="00F32709"/>
    <w:rsid w:val="00F32841"/>
    <w:rsid w:val="00F32946"/>
    <w:rsid w:val="00F32A04"/>
    <w:rsid w:val="00F32AC9"/>
    <w:rsid w:val="00F32BF3"/>
    <w:rsid w:val="00F32CE2"/>
    <w:rsid w:val="00F32D17"/>
    <w:rsid w:val="00F32D3F"/>
    <w:rsid w:val="00F32E66"/>
    <w:rsid w:val="00F32E6B"/>
    <w:rsid w:val="00F32F2E"/>
    <w:rsid w:val="00F32FBA"/>
    <w:rsid w:val="00F33708"/>
    <w:rsid w:val="00F3372F"/>
    <w:rsid w:val="00F337E3"/>
    <w:rsid w:val="00F33A0C"/>
    <w:rsid w:val="00F33B7F"/>
    <w:rsid w:val="00F33BDF"/>
    <w:rsid w:val="00F33BEE"/>
    <w:rsid w:val="00F33EB3"/>
    <w:rsid w:val="00F33FD3"/>
    <w:rsid w:val="00F340EF"/>
    <w:rsid w:val="00F341EB"/>
    <w:rsid w:val="00F34209"/>
    <w:rsid w:val="00F34282"/>
    <w:rsid w:val="00F34391"/>
    <w:rsid w:val="00F345E3"/>
    <w:rsid w:val="00F3460F"/>
    <w:rsid w:val="00F34648"/>
    <w:rsid w:val="00F34764"/>
    <w:rsid w:val="00F348C1"/>
    <w:rsid w:val="00F34B7E"/>
    <w:rsid w:val="00F34BA4"/>
    <w:rsid w:val="00F34D59"/>
    <w:rsid w:val="00F34DBD"/>
    <w:rsid w:val="00F34DD4"/>
    <w:rsid w:val="00F34FDA"/>
    <w:rsid w:val="00F35082"/>
    <w:rsid w:val="00F351AB"/>
    <w:rsid w:val="00F35AC8"/>
    <w:rsid w:val="00F35C9B"/>
    <w:rsid w:val="00F35D33"/>
    <w:rsid w:val="00F35D9A"/>
    <w:rsid w:val="00F35EB0"/>
    <w:rsid w:val="00F35EDA"/>
    <w:rsid w:val="00F35F3E"/>
    <w:rsid w:val="00F3608E"/>
    <w:rsid w:val="00F3621A"/>
    <w:rsid w:val="00F362F9"/>
    <w:rsid w:val="00F36334"/>
    <w:rsid w:val="00F3636B"/>
    <w:rsid w:val="00F363DE"/>
    <w:rsid w:val="00F3663A"/>
    <w:rsid w:val="00F366C9"/>
    <w:rsid w:val="00F3675D"/>
    <w:rsid w:val="00F3677F"/>
    <w:rsid w:val="00F367FE"/>
    <w:rsid w:val="00F368B7"/>
    <w:rsid w:val="00F369BB"/>
    <w:rsid w:val="00F36C28"/>
    <w:rsid w:val="00F36DD8"/>
    <w:rsid w:val="00F36F6B"/>
    <w:rsid w:val="00F36F86"/>
    <w:rsid w:val="00F3705D"/>
    <w:rsid w:val="00F370A4"/>
    <w:rsid w:val="00F37163"/>
    <w:rsid w:val="00F3770A"/>
    <w:rsid w:val="00F37791"/>
    <w:rsid w:val="00F37827"/>
    <w:rsid w:val="00F37B86"/>
    <w:rsid w:val="00F37BAD"/>
    <w:rsid w:val="00F37C10"/>
    <w:rsid w:val="00F37DFA"/>
    <w:rsid w:val="00F37E6D"/>
    <w:rsid w:val="00F37ECB"/>
    <w:rsid w:val="00F40001"/>
    <w:rsid w:val="00F4003D"/>
    <w:rsid w:val="00F40065"/>
    <w:rsid w:val="00F40083"/>
    <w:rsid w:val="00F40143"/>
    <w:rsid w:val="00F401CD"/>
    <w:rsid w:val="00F4057C"/>
    <w:rsid w:val="00F40733"/>
    <w:rsid w:val="00F40B58"/>
    <w:rsid w:val="00F40BD5"/>
    <w:rsid w:val="00F40DE4"/>
    <w:rsid w:val="00F4105C"/>
    <w:rsid w:val="00F412E4"/>
    <w:rsid w:val="00F41384"/>
    <w:rsid w:val="00F413CC"/>
    <w:rsid w:val="00F417C0"/>
    <w:rsid w:val="00F41807"/>
    <w:rsid w:val="00F4185F"/>
    <w:rsid w:val="00F41AE8"/>
    <w:rsid w:val="00F41AF2"/>
    <w:rsid w:val="00F41B93"/>
    <w:rsid w:val="00F41BAC"/>
    <w:rsid w:val="00F41BC9"/>
    <w:rsid w:val="00F41C42"/>
    <w:rsid w:val="00F41D6A"/>
    <w:rsid w:val="00F41FBD"/>
    <w:rsid w:val="00F42049"/>
    <w:rsid w:val="00F42058"/>
    <w:rsid w:val="00F422AA"/>
    <w:rsid w:val="00F42318"/>
    <w:rsid w:val="00F42389"/>
    <w:rsid w:val="00F423E9"/>
    <w:rsid w:val="00F426AD"/>
    <w:rsid w:val="00F42726"/>
    <w:rsid w:val="00F42778"/>
    <w:rsid w:val="00F42840"/>
    <w:rsid w:val="00F42A94"/>
    <w:rsid w:val="00F42B25"/>
    <w:rsid w:val="00F43161"/>
    <w:rsid w:val="00F433F7"/>
    <w:rsid w:val="00F434E9"/>
    <w:rsid w:val="00F434F3"/>
    <w:rsid w:val="00F43582"/>
    <w:rsid w:val="00F43654"/>
    <w:rsid w:val="00F43700"/>
    <w:rsid w:val="00F437E5"/>
    <w:rsid w:val="00F43C5B"/>
    <w:rsid w:val="00F43C65"/>
    <w:rsid w:val="00F43D56"/>
    <w:rsid w:val="00F44037"/>
    <w:rsid w:val="00F44349"/>
    <w:rsid w:val="00F443D5"/>
    <w:rsid w:val="00F44617"/>
    <w:rsid w:val="00F44665"/>
    <w:rsid w:val="00F446C7"/>
    <w:rsid w:val="00F449C3"/>
    <w:rsid w:val="00F44BCB"/>
    <w:rsid w:val="00F44D95"/>
    <w:rsid w:val="00F44EB4"/>
    <w:rsid w:val="00F45084"/>
    <w:rsid w:val="00F45096"/>
    <w:rsid w:val="00F4538C"/>
    <w:rsid w:val="00F4545D"/>
    <w:rsid w:val="00F45497"/>
    <w:rsid w:val="00F45663"/>
    <w:rsid w:val="00F456AF"/>
    <w:rsid w:val="00F457FF"/>
    <w:rsid w:val="00F458E3"/>
    <w:rsid w:val="00F45BDF"/>
    <w:rsid w:val="00F4603B"/>
    <w:rsid w:val="00F4621D"/>
    <w:rsid w:val="00F463ED"/>
    <w:rsid w:val="00F46443"/>
    <w:rsid w:val="00F464CC"/>
    <w:rsid w:val="00F464E9"/>
    <w:rsid w:val="00F4650A"/>
    <w:rsid w:val="00F4652B"/>
    <w:rsid w:val="00F4666A"/>
    <w:rsid w:val="00F4684A"/>
    <w:rsid w:val="00F468DE"/>
    <w:rsid w:val="00F46BB3"/>
    <w:rsid w:val="00F46C07"/>
    <w:rsid w:val="00F46D0E"/>
    <w:rsid w:val="00F46EA7"/>
    <w:rsid w:val="00F47101"/>
    <w:rsid w:val="00F47280"/>
    <w:rsid w:val="00F47315"/>
    <w:rsid w:val="00F475AC"/>
    <w:rsid w:val="00F475BE"/>
    <w:rsid w:val="00F475FA"/>
    <w:rsid w:val="00F47628"/>
    <w:rsid w:val="00F4783F"/>
    <w:rsid w:val="00F478F4"/>
    <w:rsid w:val="00F47A8E"/>
    <w:rsid w:val="00F47B1E"/>
    <w:rsid w:val="00F47BD4"/>
    <w:rsid w:val="00F47E2B"/>
    <w:rsid w:val="00F47EA6"/>
    <w:rsid w:val="00F47ED4"/>
    <w:rsid w:val="00F5080E"/>
    <w:rsid w:val="00F50AA4"/>
    <w:rsid w:val="00F50CAE"/>
    <w:rsid w:val="00F50D68"/>
    <w:rsid w:val="00F510BD"/>
    <w:rsid w:val="00F51128"/>
    <w:rsid w:val="00F5155D"/>
    <w:rsid w:val="00F517C7"/>
    <w:rsid w:val="00F51AF4"/>
    <w:rsid w:val="00F51B10"/>
    <w:rsid w:val="00F51B9E"/>
    <w:rsid w:val="00F51E2D"/>
    <w:rsid w:val="00F51EE0"/>
    <w:rsid w:val="00F5212F"/>
    <w:rsid w:val="00F521C6"/>
    <w:rsid w:val="00F52326"/>
    <w:rsid w:val="00F52B34"/>
    <w:rsid w:val="00F530B4"/>
    <w:rsid w:val="00F530BF"/>
    <w:rsid w:val="00F5319C"/>
    <w:rsid w:val="00F53528"/>
    <w:rsid w:val="00F536A0"/>
    <w:rsid w:val="00F53807"/>
    <w:rsid w:val="00F53A60"/>
    <w:rsid w:val="00F53DAE"/>
    <w:rsid w:val="00F542E6"/>
    <w:rsid w:val="00F54308"/>
    <w:rsid w:val="00F54318"/>
    <w:rsid w:val="00F5439F"/>
    <w:rsid w:val="00F54963"/>
    <w:rsid w:val="00F549E4"/>
    <w:rsid w:val="00F54AB0"/>
    <w:rsid w:val="00F54C7D"/>
    <w:rsid w:val="00F54CE2"/>
    <w:rsid w:val="00F54CFE"/>
    <w:rsid w:val="00F54D61"/>
    <w:rsid w:val="00F54E02"/>
    <w:rsid w:val="00F54E33"/>
    <w:rsid w:val="00F5504F"/>
    <w:rsid w:val="00F554EA"/>
    <w:rsid w:val="00F55570"/>
    <w:rsid w:val="00F55687"/>
    <w:rsid w:val="00F557F2"/>
    <w:rsid w:val="00F55B4F"/>
    <w:rsid w:val="00F55BF8"/>
    <w:rsid w:val="00F55CAD"/>
    <w:rsid w:val="00F55DA6"/>
    <w:rsid w:val="00F55E2E"/>
    <w:rsid w:val="00F55F10"/>
    <w:rsid w:val="00F562A9"/>
    <w:rsid w:val="00F562B3"/>
    <w:rsid w:val="00F5637D"/>
    <w:rsid w:val="00F563E8"/>
    <w:rsid w:val="00F56478"/>
    <w:rsid w:val="00F564AF"/>
    <w:rsid w:val="00F56955"/>
    <w:rsid w:val="00F569AF"/>
    <w:rsid w:val="00F56A5B"/>
    <w:rsid w:val="00F56F3C"/>
    <w:rsid w:val="00F56F50"/>
    <w:rsid w:val="00F56FD9"/>
    <w:rsid w:val="00F57011"/>
    <w:rsid w:val="00F5713C"/>
    <w:rsid w:val="00F57171"/>
    <w:rsid w:val="00F5720C"/>
    <w:rsid w:val="00F57322"/>
    <w:rsid w:val="00F57635"/>
    <w:rsid w:val="00F57639"/>
    <w:rsid w:val="00F5777E"/>
    <w:rsid w:val="00F57803"/>
    <w:rsid w:val="00F578BB"/>
    <w:rsid w:val="00F57A7B"/>
    <w:rsid w:val="00F57A89"/>
    <w:rsid w:val="00F57CD3"/>
    <w:rsid w:val="00F57D83"/>
    <w:rsid w:val="00F57D98"/>
    <w:rsid w:val="00F57E17"/>
    <w:rsid w:val="00F57F3F"/>
    <w:rsid w:val="00F6010B"/>
    <w:rsid w:val="00F602EF"/>
    <w:rsid w:val="00F603EA"/>
    <w:rsid w:val="00F6048B"/>
    <w:rsid w:val="00F6076D"/>
    <w:rsid w:val="00F607F6"/>
    <w:rsid w:val="00F6090E"/>
    <w:rsid w:val="00F60BE4"/>
    <w:rsid w:val="00F60BF6"/>
    <w:rsid w:val="00F60CB1"/>
    <w:rsid w:val="00F60D12"/>
    <w:rsid w:val="00F60F73"/>
    <w:rsid w:val="00F61297"/>
    <w:rsid w:val="00F613AE"/>
    <w:rsid w:val="00F61402"/>
    <w:rsid w:val="00F615CA"/>
    <w:rsid w:val="00F61699"/>
    <w:rsid w:val="00F617A3"/>
    <w:rsid w:val="00F61897"/>
    <w:rsid w:val="00F61A60"/>
    <w:rsid w:val="00F61B14"/>
    <w:rsid w:val="00F61B4C"/>
    <w:rsid w:val="00F61B96"/>
    <w:rsid w:val="00F61C72"/>
    <w:rsid w:val="00F61CA5"/>
    <w:rsid w:val="00F61D3A"/>
    <w:rsid w:val="00F61E0F"/>
    <w:rsid w:val="00F61E47"/>
    <w:rsid w:val="00F61FAE"/>
    <w:rsid w:val="00F622BB"/>
    <w:rsid w:val="00F62306"/>
    <w:rsid w:val="00F62671"/>
    <w:rsid w:val="00F626EF"/>
    <w:rsid w:val="00F627CE"/>
    <w:rsid w:val="00F62A17"/>
    <w:rsid w:val="00F62A59"/>
    <w:rsid w:val="00F62C7B"/>
    <w:rsid w:val="00F62C8D"/>
    <w:rsid w:val="00F62FDA"/>
    <w:rsid w:val="00F62FE7"/>
    <w:rsid w:val="00F6306C"/>
    <w:rsid w:val="00F6357B"/>
    <w:rsid w:val="00F635B1"/>
    <w:rsid w:val="00F6368F"/>
    <w:rsid w:val="00F6371D"/>
    <w:rsid w:val="00F6385B"/>
    <w:rsid w:val="00F638C0"/>
    <w:rsid w:val="00F63974"/>
    <w:rsid w:val="00F6399F"/>
    <w:rsid w:val="00F63C0C"/>
    <w:rsid w:val="00F63DA7"/>
    <w:rsid w:val="00F63FEA"/>
    <w:rsid w:val="00F64093"/>
    <w:rsid w:val="00F64404"/>
    <w:rsid w:val="00F64425"/>
    <w:rsid w:val="00F644E5"/>
    <w:rsid w:val="00F6466D"/>
    <w:rsid w:val="00F646B9"/>
    <w:rsid w:val="00F6506F"/>
    <w:rsid w:val="00F652D3"/>
    <w:rsid w:val="00F6555F"/>
    <w:rsid w:val="00F655CC"/>
    <w:rsid w:val="00F658C7"/>
    <w:rsid w:val="00F65BF3"/>
    <w:rsid w:val="00F65C04"/>
    <w:rsid w:val="00F65C7F"/>
    <w:rsid w:val="00F65E6F"/>
    <w:rsid w:val="00F66420"/>
    <w:rsid w:val="00F667F4"/>
    <w:rsid w:val="00F669CA"/>
    <w:rsid w:val="00F66D85"/>
    <w:rsid w:val="00F66E95"/>
    <w:rsid w:val="00F66F7E"/>
    <w:rsid w:val="00F6704E"/>
    <w:rsid w:val="00F67059"/>
    <w:rsid w:val="00F670C6"/>
    <w:rsid w:val="00F67542"/>
    <w:rsid w:val="00F67589"/>
    <w:rsid w:val="00F67767"/>
    <w:rsid w:val="00F67ACA"/>
    <w:rsid w:val="00F67B33"/>
    <w:rsid w:val="00F67C5F"/>
    <w:rsid w:val="00F67D4D"/>
    <w:rsid w:val="00F67DEB"/>
    <w:rsid w:val="00F67F4F"/>
    <w:rsid w:val="00F70090"/>
    <w:rsid w:val="00F70206"/>
    <w:rsid w:val="00F7021E"/>
    <w:rsid w:val="00F70243"/>
    <w:rsid w:val="00F706EE"/>
    <w:rsid w:val="00F70B12"/>
    <w:rsid w:val="00F70B76"/>
    <w:rsid w:val="00F70CAE"/>
    <w:rsid w:val="00F70EB2"/>
    <w:rsid w:val="00F70F27"/>
    <w:rsid w:val="00F70F5C"/>
    <w:rsid w:val="00F7102A"/>
    <w:rsid w:val="00F71056"/>
    <w:rsid w:val="00F7109C"/>
    <w:rsid w:val="00F71372"/>
    <w:rsid w:val="00F714F4"/>
    <w:rsid w:val="00F715E6"/>
    <w:rsid w:val="00F71654"/>
    <w:rsid w:val="00F71790"/>
    <w:rsid w:val="00F719F3"/>
    <w:rsid w:val="00F71C7C"/>
    <w:rsid w:val="00F71D62"/>
    <w:rsid w:val="00F71E4A"/>
    <w:rsid w:val="00F71F44"/>
    <w:rsid w:val="00F72087"/>
    <w:rsid w:val="00F720B1"/>
    <w:rsid w:val="00F7244D"/>
    <w:rsid w:val="00F72513"/>
    <w:rsid w:val="00F72785"/>
    <w:rsid w:val="00F72856"/>
    <w:rsid w:val="00F728CF"/>
    <w:rsid w:val="00F72973"/>
    <w:rsid w:val="00F72B38"/>
    <w:rsid w:val="00F72D40"/>
    <w:rsid w:val="00F72D8E"/>
    <w:rsid w:val="00F72FB0"/>
    <w:rsid w:val="00F73041"/>
    <w:rsid w:val="00F73132"/>
    <w:rsid w:val="00F7317F"/>
    <w:rsid w:val="00F73403"/>
    <w:rsid w:val="00F7353D"/>
    <w:rsid w:val="00F738CE"/>
    <w:rsid w:val="00F73A34"/>
    <w:rsid w:val="00F73E89"/>
    <w:rsid w:val="00F73F1C"/>
    <w:rsid w:val="00F743B9"/>
    <w:rsid w:val="00F7441D"/>
    <w:rsid w:val="00F7456A"/>
    <w:rsid w:val="00F74832"/>
    <w:rsid w:val="00F74EF6"/>
    <w:rsid w:val="00F74F33"/>
    <w:rsid w:val="00F74F6C"/>
    <w:rsid w:val="00F756E9"/>
    <w:rsid w:val="00F758A4"/>
    <w:rsid w:val="00F758C4"/>
    <w:rsid w:val="00F75BBC"/>
    <w:rsid w:val="00F75BD0"/>
    <w:rsid w:val="00F75C20"/>
    <w:rsid w:val="00F75E77"/>
    <w:rsid w:val="00F76006"/>
    <w:rsid w:val="00F762AF"/>
    <w:rsid w:val="00F763B6"/>
    <w:rsid w:val="00F76454"/>
    <w:rsid w:val="00F764C1"/>
    <w:rsid w:val="00F7659B"/>
    <w:rsid w:val="00F766FB"/>
    <w:rsid w:val="00F769AC"/>
    <w:rsid w:val="00F76A85"/>
    <w:rsid w:val="00F76B83"/>
    <w:rsid w:val="00F76BFC"/>
    <w:rsid w:val="00F76FAF"/>
    <w:rsid w:val="00F77090"/>
    <w:rsid w:val="00F7709A"/>
    <w:rsid w:val="00F771E9"/>
    <w:rsid w:val="00F7725E"/>
    <w:rsid w:val="00F772AD"/>
    <w:rsid w:val="00F77357"/>
    <w:rsid w:val="00F77489"/>
    <w:rsid w:val="00F774F3"/>
    <w:rsid w:val="00F77513"/>
    <w:rsid w:val="00F7759E"/>
    <w:rsid w:val="00F77695"/>
    <w:rsid w:val="00F7794F"/>
    <w:rsid w:val="00F779A1"/>
    <w:rsid w:val="00F77B75"/>
    <w:rsid w:val="00F77BAD"/>
    <w:rsid w:val="00F77BD7"/>
    <w:rsid w:val="00F77DA6"/>
    <w:rsid w:val="00F77EDF"/>
    <w:rsid w:val="00F80414"/>
    <w:rsid w:val="00F80678"/>
    <w:rsid w:val="00F8080A"/>
    <w:rsid w:val="00F80A67"/>
    <w:rsid w:val="00F80AE1"/>
    <w:rsid w:val="00F80B3E"/>
    <w:rsid w:val="00F80D0A"/>
    <w:rsid w:val="00F80E42"/>
    <w:rsid w:val="00F80FD9"/>
    <w:rsid w:val="00F8107F"/>
    <w:rsid w:val="00F810AF"/>
    <w:rsid w:val="00F81102"/>
    <w:rsid w:val="00F81233"/>
    <w:rsid w:val="00F816B9"/>
    <w:rsid w:val="00F818BA"/>
    <w:rsid w:val="00F81F89"/>
    <w:rsid w:val="00F81F9B"/>
    <w:rsid w:val="00F82093"/>
    <w:rsid w:val="00F820D2"/>
    <w:rsid w:val="00F821A2"/>
    <w:rsid w:val="00F82369"/>
    <w:rsid w:val="00F8236C"/>
    <w:rsid w:val="00F823A6"/>
    <w:rsid w:val="00F823DB"/>
    <w:rsid w:val="00F82526"/>
    <w:rsid w:val="00F82593"/>
    <w:rsid w:val="00F82834"/>
    <w:rsid w:val="00F82D77"/>
    <w:rsid w:val="00F82DAF"/>
    <w:rsid w:val="00F82DC9"/>
    <w:rsid w:val="00F82E50"/>
    <w:rsid w:val="00F82E56"/>
    <w:rsid w:val="00F830C7"/>
    <w:rsid w:val="00F8316C"/>
    <w:rsid w:val="00F8317D"/>
    <w:rsid w:val="00F83448"/>
    <w:rsid w:val="00F836EF"/>
    <w:rsid w:val="00F83ADF"/>
    <w:rsid w:val="00F83B41"/>
    <w:rsid w:val="00F83BCD"/>
    <w:rsid w:val="00F83BFA"/>
    <w:rsid w:val="00F83DA3"/>
    <w:rsid w:val="00F83E58"/>
    <w:rsid w:val="00F83E5E"/>
    <w:rsid w:val="00F83FE2"/>
    <w:rsid w:val="00F8404A"/>
    <w:rsid w:val="00F842F7"/>
    <w:rsid w:val="00F847F4"/>
    <w:rsid w:val="00F84876"/>
    <w:rsid w:val="00F848A7"/>
    <w:rsid w:val="00F84AD1"/>
    <w:rsid w:val="00F84B38"/>
    <w:rsid w:val="00F84B78"/>
    <w:rsid w:val="00F84CE6"/>
    <w:rsid w:val="00F84E9E"/>
    <w:rsid w:val="00F84FA6"/>
    <w:rsid w:val="00F85067"/>
    <w:rsid w:val="00F85141"/>
    <w:rsid w:val="00F85375"/>
    <w:rsid w:val="00F854AA"/>
    <w:rsid w:val="00F85731"/>
    <w:rsid w:val="00F85BA3"/>
    <w:rsid w:val="00F85CD0"/>
    <w:rsid w:val="00F85E4B"/>
    <w:rsid w:val="00F85EC9"/>
    <w:rsid w:val="00F85F0A"/>
    <w:rsid w:val="00F8604E"/>
    <w:rsid w:val="00F861CF"/>
    <w:rsid w:val="00F862BC"/>
    <w:rsid w:val="00F86300"/>
    <w:rsid w:val="00F86313"/>
    <w:rsid w:val="00F863E7"/>
    <w:rsid w:val="00F86936"/>
    <w:rsid w:val="00F86AEE"/>
    <w:rsid w:val="00F86CB7"/>
    <w:rsid w:val="00F86DCB"/>
    <w:rsid w:val="00F86FFC"/>
    <w:rsid w:val="00F8711E"/>
    <w:rsid w:val="00F871F1"/>
    <w:rsid w:val="00F87233"/>
    <w:rsid w:val="00F87447"/>
    <w:rsid w:val="00F87634"/>
    <w:rsid w:val="00F87638"/>
    <w:rsid w:val="00F879DE"/>
    <w:rsid w:val="00F87BF8"/>
    <w:rsid w:val="00F87C62"/>
    <w:rsid w:val="00F900FE"/>
    <w:rsid w:val="00F90696"/>
    <w:rsid w:val="00F906CB"/>
    <w:rsid w:val="00F9074C"/>
    <w:rsid w:val="00F90957"/>
    <w:rsid w:val="00F90974"/>
    <w:rsid w:val="00F90982"/>
    <w:rsid w:val="00F90E79"/>
    <w:rsid w:val="00F90F9C"/>
    <w:rsid w:val="00F91247"/>
    <w:rsid w:val="00F913AA"/>
    <w:rsid w:val="00F91824"/>
    <w:rsid w:val="00F91A05"/>
    <w:rsid w:val="00F91B4C"/>
    <w:rsid w:val="00F91BA3"/>
    <w:rsid w:val="00F91BC5"/>
    <w:rsid w:val="00F91BE5"/>
    <w:rsid w:val="00F91C17"/>
    <w:rsid w:val="00F91CCA"/>
    <w:rsid w:val="00F91EE5"/>
    <w:rsid w:val="00F920CD"/>
    <w:rsid w:val="00F92204"/>
    <w:rsid w:val="00F922FA"/>
    <w:rsid w:val="00F923E8"/>
    <w:rsid w:val="00F923F8"/>
    <w:rsid w:val="00F92571"/>
    <w:rsid w:val="00F9258C"/>
    <w:rsid w:val="00F9297E"/>
    <w:rsid w:val="00F92B74"/>
    <w:rsid w:val="00F92D28"/>
    <w:rsid w:val="00F92E27"/>
    <w:rsid w:val="00F93007"/>
    <w:rsid w:val="00F9309B"/>
    <w:rsid w:val="00F930AC"/>
    <w:rsid w:val="00F932F2"/>
    <w:rsid w:val="00F93530"/>
    <w:rsid w:val="00F9370A"/>
    <w:rsid w:val="00F93718"/>
    <w:rsid w:val="00F93872"/>
    <w:rsid w:val="00F93B1A"/>
    <w:rsid w:val="00F93BB4"/>
    <w:rsid w:val="00F93C33"/>
    <w:rsid w:val="00F93C55"/>
    <w:rsid w:val="00F93ECD"/>
    <w:rsid w:val="00F93F97"/>
    <w:rsid w:val="00F94007"/>
    <w:rsid w:val="00F9406F"/>
    <w:rsid w:val="00F940DD"/>
    <w:rsid w:val="00F941FF"/>
    <w:rsid w:val="00F94208"/>
    <w:rsid w:val="00F9451E"/>
    <w:rsid w:val="00F94567"/>
    <w:rsid w:val="00F94A09"/>
    <w:rsid w:val="00F94A11"/>
    <w:rsid w:val="00F94A97"/>
    <w:rsid w:val="00F94BE1"/>
    <w:rsid w:val="00F94C66"/>
    <w:rsid w:val="00F94F0F"/>
    <w:rsid w:val="00F9505A"/>
    <w:rsid w:val="00F951D4"/>
    <w:rsid w:val="00F9533D"/>
    <w:rsid w:val="00F956B7"/>
    <w:rsid w:val="00F95786"/>
    <w:rsid w:val="00F95889"/>
    <w:rsid w:val="00F958E8"/>
    <w:rsid w:val="00F95A10"/>
    <w:rsid w:val="00F95CD8"/>
    <w:rsid w:val="00F95ED6"/>
    <w:rsid w:val="00F96073"/>
    <w:rsid w:val="00F961A1"/>
    <w:rsid w:val="00F9649C"/>
    <w:rsid w:val="00F96594"/>
    <w:rsid w:val="00F9674D"/>
    <w:rsid w:val="00F96826"/>
    <w:rsid w:val="00F96B8F"/>
    <w:rsid w:val="00F96E4A"/>
    <w:rsid w:val="00F96F0F"/>
    <w:rsid w:val="00F97227"/>
    <w:rsid w:val="00F97239"/>
    <w:rsid w:val="00F9730A"/>
    <w:rsid w:val="00F979D8"/>
    <w:rsid w:val="00F97A22"/>
    <w:rsid w:val="00F97A35"/>
    <w:rsid w:val="00F97AD2"/>
    <w:rsid w:val="00F97C25"/>
    <w:rsid w:val="00F97CEE"/>
    <w:rsid w:val="00F97D45"/>
    <w:rsid w:val="00F97F18"/>
    <w:rsid w:val="00F97F7F"/>
    <w:rsid w:val="00FA00E5"/>
    <w:rsid w:val="00FA014A"/>
    <w:rsid w:val="00FA03CD"/>
    <w:rsid w:val="00FA063D"/>
    <w:rsid w:val="00FA0A12"/>
    <w:rsid w:val="00FA0A9D"/>
    <w:rsid w:val="00FA0B8E"/>
    <w:rsid w:val="00FA0CA7"/>
    <w:rsid w:val="00FA0CF9"/>
    <w:rsid w:val="00FA0D97"/>
    <w:rsid w:val="00FA0DF3"/>
    <w:rsid w:val="00FA10B2"/>
    <w:rsid w:val="00FA1203"/>
    <w:rsid w:val="00FA142B"/>
    <w:rsid w:val="00FA14F4"/>
    <w:rsid w:val="00FA15E5"/>
    <w:rsid w:val="00FA1701"/>
    <w:rsid w:val="00FA1864"/>
    <w:rsid w:val="00FA1903"/>
    <w:rsid w:val="00FA19CB"/>
    <w:rsid w:val="00FA1BEB"/>
    <w:rsid w:val="00FA1CBA"/>
    <w:rsid w:val="00FA1F35"/>
    <w:rsid w:val="00FA202F"/>
    <w:rsid w:val="00FA21BE"/>
    <w:rsid w:val="00FA229E"/>
    <w:rsid w:val="00FA233D"/>
    <w:rsid w:val="00FA265A"/>
    <w:rsid w:val="00FA26E1"/>
    <w:rsid w:val="00FA26F7"/>
    <w:rsid w:val="00FA2740"/>
    <w:rsid w:val="00FA2799"/>
    <w:rsid w:val="00FA2DAB"/>
    <w:rsid w:val="00FA2E5C"/>
    <w:rsid w:val="00FA2E7E"/>
    <w:rsid w:val="00FA2F27"/>
    <w:rsid w:val="00FA3196"/>
    <w:rsid w:val="00FA348D"/>
    <w:rsid w:val="00FA3606"/>
    <w:rsid w:val="00FA3ACA"/>
    <w:rsid w:val="00FA3C00"/>
    <w:rsid w:val="00FA3CD4"/>
    <w:rsid w:val="00FA4155"/>
    <w:rsid w:val="00FA43B2"/>
    <w:rsid w:val="00FA4427"/>
    <w:rsid w:val="00FA4523"/>
    <w:rsid w:val="00FA46EC"/>
    <w:rsid w:val="00FA472A"/>
    <w:rsid w:val="00FA47DA"/>
    <w:rsid w:val="00FA4826"/>
    <w:rsid w:val="00FA494A"/>
    <w:rsid w:val="00FA4A43"/>
    <w:rsid w:val="00FA4AEE"/>
    <w:rsid w:val="00FA4B26"/>
    <w:rsid w:val="00FA4BED"/>
    <w:rsid w:val="00FA4FA3"/>
    <w:rsid w:val="00FA51E9"/>
    <w:rsid w:val="00FA522C"/>
    <w:rsid w:val="00FA5324"/>
    <w:rsid w:val="00FA543C"/>
    <w:rsid w:val="00FA54C3"/>
    <w:rsid w:val="00FA57F9"/>
    <w:rsid w:val="00FA59B9"/>
    <w:rsid w:val="00FA5B66"/>
    <w:rsid w:val="00FA5C68"/>
    <w:rsid w:val="00FA5D49"/>
    <w:rsid w:val="00FA5D52"/>
    <w:rsid w:val="00FA5D81"/>
    <w:rsid w:val="00FA5E47"/>
    <w:rsid w:val="00FA608F"/>
    <w:rsid w:val="00FA643A"/>
    <w:rsid w:val="00FA6489"/>
    <w:rsid w:val="00FA6802"/>
    <w:rsid w:val="00FA69D9"/>
    <w:rsid w:val="00FA69EB"/>
    <w:rsid w:val="00FA6A23"/>
    <w:rsid w:val="00FA6CFC"/>
    <w:rsid w:val="00FA6F42"/>
    <w:rsid w:val="00FA7028"/>
    <w:rsid w:val="00FA7078"/>
    <w:rsid w:val="00FA728F"/>
    <w:rsid w:val="00FA73A0"/>
    <w:rsid w:val="00FA74AF"/>
    <w:rsid w:val="00FA750C"/>
    <w:rsid w:val="00FA7635"/>
    <w:rsid w:val="00FA7650"/>
    <w:rsid w:val="00FA7681"/>
    <w:rsid w:val="00FA7844"/>
    <w:rsid w:val="00FA7905"/>
    <w:rsid w:val="00FA7943"/>
    <w:rsid w:val="00FA7985"/>
    <w:rsid w:val="00FA7A00"/>
    <w:rsid w:val="00FA7A41"/>
    <w:rsid w:val="00FA7ACF"/>
    <w:rsid w:val="00FA7CC6"/>
    <w:rsid w:val="00FA7CE3"/>
    <w:rsid w:val="00FA7E8C"/>
    <w:rsid w:val="00FA7E8F"/>
    <w:rsid w:val="00FA7FAA"/>
    <w:rsid w:val="00FB01DF"/>
    <w:rsid w:val="00FB0830"/>
    <w:rsid w:val="00FB093D"/>
    <w:rsid w:val="00FB0A90"/>
    <w:rsid w:val="00FB0A96"/>
    <w:rsid w:val="00FB0D87"/>
    <w:rsid w:val="00FB10AB"/>
    <w:rsid w:val="00FB1275"/>
    <w:rsid w:val="00FB1321"/>
    <w:rsid w:val="00FB13B9"/>
    <w:rsid w:val="00FB13FE"/>
    <w:rsid w:val="00FB18F3"/>
    <w:rsid w:val="00FB1938"/>
    <w:rsid w:val="00FB1A07"/>
    <w:rsid w:val="00FB1A9E"/>
    <w:rsid w:val="00FB1AFA"/>
    <w:rsid w:val="00FB1BB1"/>
    <w:rsid w:val="00FB1C9E"/>
    <w:rsid w:val="00FB1D78"/>
    <w:rsid w:val="00FB1E69"/>
    <w:rsid w:val="00FB1F5F"/>
    <w:rsid w:val="00FB2089"/>
    <w:rsid w:val="00FB20AD"/>
    <w:rsid w:val="00FB261B"/>
    <w:rsid w:val="00FB283B"/>
    <w:rsid w:val="00FB2A05"/>
    <w:rsid w:val="00FB2C09"/>
    <w:rsid w:val="00FB2DA2"/>
    <w:rsid w:val="00FB2F2C"/>
    <w:rsid w:val="00FB2FCC"/>
    <w:rsid w:val="00FB31DD"/>
    <w:rsid w:val="00FB3205"/>
    <w:rsid w:val="00FB339C"/>
    <w:rsid w:val="00FB33B2"/>
    <w:rsid w:val="00FB3442"/>
    <w:rsid w:val="00FB34CF"/>
    <w:rsid w:val="00FB36ED"/>
    <w:rsid w:val="00FB3795"/>
    <w:rsid w:val="00FB37B1"/>
    <w:rsid w:val="00FB39EE"/>
    <w:rsid w:val="00FB3ACF"/>
    <w:rsid w:val="00FB3CAC"/>
    <w:rsid w:val="00FB3E9D"/>
    <w:rsid w:val="00FB4007"/>
    <w:rsid w:val="00FB40BF"/>
    <w:rsid w:val="00FB42F2"/>
    <w:rsid w:val="00FB4764"/>
    <w:rsid w:val="00FB513C"/>
    <w:rsid w:val="00FB52C0"/>
    <w:rsid w:val="00FB5357"/>
    <w:rsid w:val="00FB54DE"/>
    <w:rsid w:val="00FB58F7"/>
    <w:rsid w:val="00FB5A27"/>
    <w:rsid w:val="00FB5A4B"/>
    <w:rsid w:val="00FB5BB9"/>
    <w:rsid w:val="00FB5F7E"/>
    <w:rsid w:val="00FB60D4"/>
    <w:rsid w:val="00FB6110"/>
    <w:rsid w:val="00FB6535"/>
    <w:rsid w:val="00FB65F9"/>
    <w:rsid w:val="00FB661F"/>
    <w:rsid w:val="00FB688B"/>
    <w:rsid w:val="00FB68EC"/>
    <w:rsid w:val="00FB6992"/>
    <w:rsid w:val="00FB6A1D"/>
    <w:rsid w:val="00FB6A6B"/>
    <w:rsid w:val="00FB6B53"/>
    <w:rsid w:val="00FB6D1B"/>
    <w:rsid w:val="00FB6EFC"/>
    <w:rsid w:val="00FB6F47"/>
    <w:rsid w:val="00FB6F75"/>
    <w:rsid w:val="00FB6FFF"/>
    <w:rsid w:val="00FB737E"/>
    <w:rsid w:val="00FB7872"/>
    <w:rsid w:val="00FB7941"/>
    <w:rsid w:val="00FB79D8"/>
    <w:rsid w:val="00FB79E0"/>
    <w:rsid w:val="00FB7FF4"/>
    <w:rsid w:val="00FC002D"/>
    <w:rsid w:val="00FC0096"/>
    <w:rsid w:val="00FC02F5"/>
    <w:rsid w:val="00FC036A"/>
    <w:rsid w:val="00FC0410"/>
    <w:rsid w:val="00FC0456"/>
    <w:rsid w:val="00FC059F"/>
    <w:rsid w:val="00FC05E0"/>
    <w:rsid w:val="00FC0632"/>
    <w:rsid w:val="00FC08CF"/>
    <w:rsid w:val="00FC0B43"/>
    <w:rsid w:val="00FC0D19"/>
    <w:rsid w:val="00FC0E09"/>
    <w:rsid w:val="00FC0E3C"/>
    <w:rsid w:val="00FC1241"/>
    <w:rsid w:val="00FC1368"/>
    <w:rsid w:val="00FC13DF"/>
    <w:rsid w:val="00FC14A0"/>
    <w:rsid w:val="00FC1573"/>
    <w:rsid w:val="00FC177D"/>
    <w:rsid w:val="00FC1AFB"/>
    <w:rsid w:val="00FC1BC8"/>
    <w:rsid w:val="00FC1BE0"/>
    <w:rsid w:val="00FC1C00"/>
    <w:rsid w:val="00FC1C5D"/>
    <w:rsid w:val="00FC1EBB"/>
    <w:rsid w:val="00FC1FD4"/>
    <w:rsid w:val="00FC228D"/>
    <w:rsid w:val="00FC25DF"/>
    <w:rsid w:val="00FC25FA"/>
    <w:rsid w:val="00FC26E5"/>
    <w:rsid w:val="00FC29A3"/>
    <w:rsid w:val="00FC2A39"/>
    <w:rsid w:val="00FC2C0D"/>
    <w:rsid w:val="00FC2D82"/>
    <w:rsid w:val="00FC2F29"/>
    <w:rsid w:val="00FC2F3A"/>
    <w:rsid w:val="00FC2F8E"/>
    <w:rsid w:val="00FC30A6"/>
    <w:rsid w:val="00FC340F"/>
    <w:rsid w:val="00FC3AF0"/>
    <w:rsid w:val="00FC3B53"/>
    <w:rsid w:val="00FC3BAA"/>
    <w:rsid w:val="00FC3BCE"/>
    <w:rsid w:val="00FC3C3D"/>
    <w:rsid w:val="00FC4100"/>
    <w:rsid w:val="00FC459A"/>
    <w:rsid w:val="00FC4825"/>
    <w:rsid w:val="00FC490A"/>
    <w:rsid w:val="00FC495C"/>
    <w:rsid w:val="00FC4963"/>
    <w:rsid w:val="00FC4C7F"/>
    <w:rsid w:val="00FC4E5E"/>
    <w:rsid w:val="00FC52AC"/>
    <w:rsid w:val="00FC54CD"/>
    <w:rsid w:val="00FC57CF"/>
    <w:rsid w:val="00FC57ED"/>
    <w:rsid w:val="00FC59F2"/>
    <w:rsid w:val="00FC5B7D"/>
    <w:rsid w:val="00FC5E1D"/>
    <w:rsid w:val="00FC61AF"/>
    <w:rsid w:val="00FC638E"/>
    <w:rsid w:val="00FC648B"/>
    <w:rsid w:val="00FC64C9"/>
    <w:rsid w:val="00FC6502"/>
    <w:rsid w:val="00FC6652"/>
    <w:rsid w:val="00FC66E6"/>
    <w:rsid w:val="00FC66FC"/>
    <w:rsid w:val="00FC679A"/>
    <w:rsid w:val="00FC67AF"/>
    <w:rsid w:val="00FC6944"/>
    <w:rsid w:val="00FC6A77"/>
    <w:rsid w:val="00FC6B5A"/>
    <w:rsid w:val="00FC6F1E"/>
    <w:rsid w:val="00FC6F72"/>
    <w:rsid w:val="00FC6F7A"/>
    <w:rsid w:val="00FC6FBC"/>
    <w:rsid w:val="00FC704E"/>
    <w:rsid w:val="00FC70DF"/>
    <w:rsid w:val="00FC7285"/>
    <w:rsid w:val="00FC72AB"/>
    <w:rsid w:val="00FC739B"/>
    <w:rsid w:val="00FC73FA"/>
    <w:rsid w:val="00FC751E"/>
    <w:rsid w:val="00FC7572"/>
    <w:rsid w:val="00FC75FC"/>
    <w:rsid w:val="00FC7731"/>
    <w:rsid w:val="00FC7810"/>
    <w:rsid w:val="00FC79A8"/>
    <w:rsid w:val="00FC7AD6"/>
    <w:rsid w:val="00FC7C32"/>
    <w:rsid w:val="00FC7CEA"/>
    <w:rsid w:val="00FC7D9F"/>
    <w:rsid w:val="00FD03BF"/>
    <w:rsid w:val="00FD03DB"/>
    <w:rsid w:val="00FD0681"/>
    <w:rsid w:val="00FD08CA"/>
    <w:rsid w:val="00FD0A1B"/>
    <w:rsid w:val="00FD0A68"/>
    <w:rsid w:val="00FD0AEB"/>
    <w:rsid w:val="00FD0BEC"/>
    <w:rsid w:val="00FD0CA2"/>
    <w:rsid w:val="00FD0D96"/>
    <w:rsid w:val="00FD0E3D"/>
    <w:rsid w:val="00FD0FC3"/>
    <w:rsid w:val="00FD1071"/>
    <w:rsid w:val="00FD107E"/>
    <w:rsid w:val="00FD1112"/>
    <w:rsid w:val="00FD12F4"/>
    <w:rsid w:val="00FD1347"/>
    <w:rsid w:val="00FD14CE"/>
    <w:rsid w:val="00FD198D"/>
    <w:rsid w:val="00FD19B4"/>
    <w:rsid w:val="00FD1ACA"/>
    <w:rsid w:val="00FD1B5F"/>
    <w:rsid w:val="00FD1C73"/>
    <w:rsid w:val="00FD1CF4"/>
    <w:rsid w:val="00FD1E12"/>
    <w:rsid w:val="00FD1EE3"/>
    <w:rsid w:val="00FD1F7D"/>
    <w:rsid w:val="00FD2027"/>
    <w:rsid w:val="00FD2067"/>
    <w:rsid w:val="00FD224E"/>
    <w:rsid w:val="00FD273D"/>
    <w:rsid w:val="00FD2863"/>
    <w:rsid w:val="00FD2AD3"/>
    <w:rsid w:val="00FD2DF2"/>
    <w:rsid w:val="00FD3077"/>
    <w:rsid w:val="00FD313A"/>
    <w:rsid w:val="00FD33E0"/>
    <w:rsid w:val="00FD3575"/>
    <w:rsid w:val="00FD374F"/>
    <w:rsid w:val="00FD37ED"/>
    <w:rsid w:val="00FD3CD1"/>
    <w:rsid w:val="00FD3CE2"/>
    <w:rsid w:val="00FD3DC7"/>
    <w:rsid w:val="00FD3E8A"/>
    <w:rsid w:val="00FD3E93"/>
    <w:rsid w:val="00FD3EA6"/>
    <w:rsid w:val="00FD3F53"/>
    <w:rsid w:val="00FD3F85"/>
    <w:rsid w:val="00FD400A"/>
    <w:rsid w:val="00FD407E"/>
    <w:rsid w:val="00FD4080"/>
    <w:rsid w:val="00FD4112"/>
    <w:rsid w:val="00FD416C"/>
    <w:rsid w:val="00FD44E7"/>
    <w:rsid w:val="00FD45CA"/>
    <w:rsid w:val="00FD45FE"/>
    <w:rsid w:val="00FD4669"/>
    <w:rsid w:val="00FD4A93"/>
    <w:rsid w:val="00FD4AFD"/>
    <w:rsid w:val="00FD4BD5"/>
    <w:rsid w:val="00FD4CC4"/>
    <w:rsid w:val="00FD4D9F"/>
    <w:rsid w:val="00FD4F85"/>
    <w:rsid w:val="00FD5013"/>
    <w:rsid w:val="00FD501C"/>
    <w:rsid w:val="00FD5674"/>
    <w:rsid w:val="00FD5682"/>
    <w:rsid w:val="00FD56FF"/>
    <w:rsid w:val="00FD59AE"/>
    <w:rsid w:val="00FD59BD"/>
    <w:rsid w:val="00FD5BB5"/>
    <w:rsid w:val="00FD5CC2"/>
    <w:rsid w:val="00FD5CCF"/>
    <w:rsid w:val="00FD5D53"/>
    <w:rsid w:val="00FD5EE4"/>
    <w:rsid w:val="00FD60FD"/>
    <w:rsid w:val="00FD6508"/>
    <w:rsid w:val="00FD673A"/>
    <w:rsid w:val="00FD6774"/>
    <w:rsid w:val="00FD67E9"/>
    <w:rsid w:val="00FD6811"/>
    <w:rsid w:val="00FD6A02"/>
    <w:rsid w:val="00FD6BB0"/>
    <w:rsid w:val="00FD6D9F"/>
    <w:rsid w:val="00FD6E8C"/>
    <w:rsid w:val="00FD6F11"/>
    <w:rsid w:val="00FD6FBB"/>
    <w:rsid w:val="00FD7030"/>
    <w:rsid w:val="00FD70CB"/>
    <w:rsid w:val="00FD7122"/>
    <w:rsid w:val="00FD75BC"/>
    <w:rsid w:val="00FD76EA"/>
    <w:rsid w:val="00FD7B78"/>
    <w:rsid w:val="00FD7C55"/>
    <w:rsid w:val="00FE018E"/>
    <w:rsid w:val="00FE01BF"/>
    <w:rsid w:val="00FE025B"/>
    <w:rsid w:val="00FE03D4"/>
    <w:rsid w:val="00FE0459"/>
    <w:rsid w:val="00FE0568"/>
    <w:rsid w:val="00FE06E2"/>
    <w:rsid w:val="00FE08C1"/>
    <w:rsid w:val="00FE0BA5"/>
    <w:rsid w:val="00FE0CEE"/>
    <w:rsid w:val="00FE0D04"/>
    <w:rsid w:val="00FE0DB3"/>
    <w:rsid w:val="00FE1241"/>
    <w:rsid w:val="00FE145A"/>
    <w:rsid w:val="00FE14C7"/>
    <w:rsid w:val="00FE1683"/>
    <w:rsid w:val="00FE181F"/>
    <w:rsid w:val="00FE1D30"/>
    <w:rsid w:val="00FE1DBD"/>
    <w:rsid w:val="00FE1EBA"/>
    <w:rsid w:val="00FE1F2B"/>
    <w:rsid w:val="00FE2046"/>
    <w:rsid w:val="00FE22E2"/>
    <w:rsid w:val="00FE27E0"/>
    <w:rsid w:val="00FE287D"/>
    <w:rsid w:val="00FE297A"/>
    <w:rsid w:val="00FE2AC4"/>
    <w:rsid w:val="00FE2B61"/>
    <w:rsid w:val="00FE2C08"/>
    <w:rsid w:val="00FE2C71"/>
    <w:rsid w:val="00FE2F20"/>
    <w:rsid w:val="00FE30A0"/>
    <w:rsid w:val="00FE3183"/>
    <w:rsid w:val="00FE3227"/>
    <w:rsid w:val="00FE32DE"/>
    <w:rsid w:val="00FE3365"/>
    <w:rsid w:val="00FE342A"/>
    <w:rsid w:val="00FE3492"/>
    <w:rsid w:val="00FE35C7"/>
    <w:rsid w:val="00FE3625"/>
    <w:rsid w:val="00FE36C8"/>
    <w:rsid w:val="00FE3757"/>
    <w:rsid w:val="00FE37BF"/>
    <w:rsid w:val="00FE3BC7"/>
    <w:rsid w:val="00FE3F74"/>
    <w:rsid w:val="00FE3FE4"/>
    <w:rsid w:val="00FE4443"/>
    <w:rsid w:val="00FE44F5"/>
    <w:rsid w:val="00FE466F"/>
    <w:rsid w:val="00FE48DD"/>
    <w:rsid w:val="00FE49D6"/>
    <w:rsid w:val="00FE4A81"/>
    <w:rsid w:val="00FE4F7C"/>
    <w:rsid w:val="00FE50F7"/>
    <w:rsid w:val="00FE5228"/>
    <w:rsid w:val="00FE5671"/>
    <w:rsid w:val="00FE57D5"/>
    <w:rsid w:val="00FE5CBB"/>
    <w:rsid w:val="00FE5F52"/>
    <w:rsid w:val="00FE5FC7"/>
    <w:rsid w:val="00FE61BE"/>
    <w:rsid w:val="00FE61DA"/>
    <w:rsid w:val="00FE648D"/>
    <w:rsid w:val="00FE656A"/>
    <w:rsid w:val="00FE6605"/>
    <w:rsid w:val="00FE66EC"/>
    <w:rsid w:val="00FE681D"/>
    <w:rsid w:val="00FE68CD"/>
    <w:rsid w:val="00FE68F5"/>
    <w:rsid w:val="00FE694D"/>
    <w:rsid w:val="00FE6A29"/>
    <w:rsid w:val="00FE6A61"/>
    <w:rsid w:val="00FE6C70"/>
    <w:rsid w:val="00FE6E29"/>
    <w:rsid w:val="00FE6EB9"/>
    <w:rsid w:val="00FE6EE6"/>
    <w:rsid w:val="00FE6F7B"/>
    <w:rsid w:val="00FE71AA"/>
    <w:rsid w:val="00FE71E8"/>
    <w:rsid w:val="00FE7507"/>
    <w:rsid w:val="00FE758F"/>
    <w:rsid w:val="00FE767A"/>
    <w:rsid w:val="00FE790C"/>
    <w:rsid w:val="00FE7A7E"/>
    <w:rsid w:val="00FF0174"/>
    <w:rsid w:val="00FF01F5"/>
    <w:rsid w:val="00FF020C"/>
    <w:rsid w:val="00FF0524"/>
    <w:rsid w:val="00FF0848"/>
    <w:rsid w:val="00FF0CD1"/>
    <w:rsid w:val="00FF0DD8"/>
    <w:rsid w:val="00FF0E15"/>
    <w:rsid w:val="00FF0EA9"/>
    <w:rsid w:val="00FF0EE6"/>
    <w:rsid w:val="00FF1023"/>
    <w:rsid w:val="00FF1066"/>
    <w:rsid w:val="00FF1179"/>
    <w:rsid w:val="00FF11DB"/>
    <w:rsid w:val="00FF14D3"/>
    <w:rsid w:val="00FF152C"/>
    <w:rsid w:val="00FF1581"/>
    <w:rsid w:val="00FF163D"/>
    <w:rsid w:val="00FF17EF"/>
    <w:rsid w:val="00FF1961"/>
    <w:rsid w:val="00FF1A1C"/>
    <w:rsid w:val="00FF1B88"/>
    <w:rsid w:val="00FF1BED"/>
    <w:rsid w:val="00FF1D6E"/>
    <w:rsid w:val="00FF20F5"/>
    <w:rsid w:val="00FF2192"/>
    <w:rsid w:val="00FF21FA"/>
    <w:rsid w:val="00FF224B"/>
    <w:rsid w:val="00FF23BD"/>
    <w:rsid w:val="00FF24E5"/>
    <w:rsid w:val="00FF2810"/>
    <w:rsid w:val="00FF2B5F"/>
    <w:rsid w:val="00FF2CFE"/>
    <w:rsid w:val="00FF334E"/>
    <w:rsid w:val="00FF3394"/>
    <w:rsid w:val="00FF34CC"/>
    <w:rsid w:val="00FF36AD"/>
    <w:rsid w:val="00FF3AAD"/>
    <w:rsid w:val="00FF3B33"/>
    <w:rsid w:val="00FF3DB7"/>
    <w:rsid w:val="00FF425A"/>
    <w:rsid w:val="00FF4294"/>
    <w:rsid w:val="00FF4538"/>
    <w:rsid w:val="00FF455C"/>
    <w:rsid w:val="00FF479D"/>
    <w:rsid w:val="00FF486B"/>
    <w:rsid w:val="00FF489C"/>
    <w:rsid w:val="00FF4A1C"/>
    <w:rsid w:val="00FF4ABE"/>
    <w:rsid w:val="00FF4B99"/>
    <w:rsid w:val="00FF4D0D"/>
    <w:rsid w:val="00FF4D16"/>
    <w:rsid w:val="00FF4DA8"/>
    <w:rsid w:val="00FF4E92"/>
    <w:rsid w:val="00FF4F2D"/>
    <w:rsid w:val="00FF50AF"/>
    <w:rsid w:val="00FF50CA"/>
    <w:rsid w:val="00FF5115"/>
    <w:rsid w:val="00FF5286"/>
    <w:rsid w:val="00FF546C"/>
    <w:rsid w:val="00FF56C3"/>
    <w:rsid w:val="00FF5722"/>
    <w:rsid w:val="00FF590A"/>
    <w:rsid w:val="00FF5D81"/>
    <w:rsid w:val="00FF5DA1"/>
    <w:rsid w:val="00FF5E19"/>
    <w:rsid w:val="00FF62FF"/>
    <w:rsid w:val="00FF6432"/>
    <w:rsid w:val="00FF67C0"/>
    <w:rsid w:val="00FF6A9B"/>
    <w:rsid w:val="00FF6AF7"/>
    <w:rsid w:val="00FF6CAA"/>
    <w:rsid w:val="00FF6E04"/>
    <w:rsid w:val="00FF6F07"/>
    <w:rsid w:val="00FF7073"/>
    <w:rsid w:val="00FF72CE"/>
    <w:rsid w:val="00FF7AD7"/>
    <w:rsid w:val="00FF7B26"/>
    <w:rsid w:val="00FF7B5C"/>
    <w:rsid w:val="00FF7C1F"/>
    <w:rsid w:val="00FF7D3A"/>
    <w:rsid w:val="00FF7E40"/>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12C2"/>
  <w15:chartTrackingRefBased/>
  <w15:docId w15:val="{4D31309A-151F-4CDC-B8BB-60DC4CDB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7C"/>
    <w:pPr>
      <w:spacing w:after="0"/>
      <w:ind w:firstLine="720"/>
    </w:pPr>
  </w:style>
  <w:style w:type="paragraph" w:styleId="Heading1">
    <w:name w:val="heading 1"/>
    <w:basedOn w:val="Normal"/>
    <w:next w:val="Normal"/>
    <w:link w:val="Heading1Char"/>
    <w:autoRedefine/>
    <w:uiPriority w:val="9"/>
    <w:qFormat/>
    <w:rsid w:val="00D431CC"/>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0B0A0F"/>
    <w:pPr>
      <w:keepNext/>
      <w:keepLines/>
      <w:shd w:val="clear" w:color="auto" w:fill="FFFFFF"/>
      <w:spacing w:before="240" w:after="240" w:line="336" w:lineRule="atLeast"/>
      <w:ind w:firstLine="0"/>
      <w:outlineLvl w:val="1"/>
    </w:pPr>
    <w:rPr>
      <w:rFonts w:ascii="Calibri" w:eastAsiaTheme="majorEastAsia" w:hAnsi="Calibri" w:cs="Calibri"/>
      <w:color w:val="333333"/>
      <w:sz w:val="28"/>
      <w:szCs w:val="20"/>
    </w:rPr>
  </w:style>
  <w:style w:type="paragraph" w:styleId="Heading3">
    <w:name w:val="heading 3"/>
    <w:basedOn w:val="Normal"/>
    <w:next w:val="Normal"/>
    <w:link w:val="Heading3Char"/>
    <w:uiPriority w:val="9"/>
    <w:unhideWhenUsed/>
    <w:qFormat/>
    <w:rsid w:val="003A6D7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1CC"/>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0B0A0F"/>
    <w:rPr>
      <w:rFonts w:ascii="Calibri" w:eastAsiaTheme="majorEastAsia" w:hAnsi="Calibri" w:cs="Calibri"/>
      <w:color w:val="333333"/>
      <w:sz w:val="28"/>
      <w:szCs w:val="20"/>
      <w:shd w:val="clear" w:color="auto" w:fill="FFFFFF"/>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aliases w:val="AAList Paragraph,AAList"/>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character" w:customStyle="1" w:styleId="Heading3Char">
    <w:name w:val="Heading 3 Char"/>
    <w:basedOn w:val="DefaultParagraphFont"/>
    <w:link w:val="Heading3"/>
    <w:uiPriority w:val="9"/>
    <w:rsid w:val="003A6D7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3A6D7C"/>
    <w:pPr>
      <w:spacing w:line="240" w:lineRule="auto"/>
    </w:pPr>
    <w:rPr>
      <w:sz w:val="20"/>
      <w:szCs w:val="20"/>
    </w:rPr>
  </w:style>
  <w:style w:type="character" w:customStyle="1" w:styleId="FootnoteTextChar">
    <w:name w:val="Footnote Text Char"/>
    <w:basedOn w:val="DefaultParagraphFont"/>
    <w:link w:val="FootnoteText"/>
    <w:uiPriority w:val="99"/>
    <w:rsid w:val="003A6D7C"/>
    <w:rPr>
      <w:sz w:val="20"/>
      <w:szCs w:val="20"/>
    </w:rPr>
  </w:style>
  <w:style w:type="character" w:styleId="FootnoteReference">
    <w:name w:val="footnote reference"/>
    <w:basedOn w:val="DefaultParagraphFont"/>
    <w:uiPriority w:val="99"/>
    <w:semiHidden/>
    <w:unhideWhenUsed/>
    <w:rsid w:val="003A6D7C"/>
    <w:rPr>
      <w:vertAlign w:val="superscript"/>
    </w:rPr>
  </w:style>
  <w:style w:type="paragraph" w:styleId="NoSpacing">
    <w:name w:val="No Spacing"/>
    <w:uiPriority w:val="1"/>
    <w:qFormat/>
    <w:rsid w:val="003A6D7C"/>
    <w:pPr>
      <w:spacing w:after="0" w:line="240" w:lineRule="auto"/>
      <w:ind w:firstLine="720"/>
    </w:pPr>
  </w:style>
  <w:style w:type="paragraph" w:styleId="BalloonText">
    <w:name w:val="Balloon Text"/>
    <w:basedOn w:val="Normal"/>
    <w:link w:val="BalloonTextChar"/>
    <w:uiPriority w:val="99"/>
    <w:semiHidden/>
    <w:unhideWhenUsed/>
    <w:rsid w:val="003A6D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7C"/>
    <w:rPr>
      <w:rFonts w:ascii="Segoe UI" w:hAnsi="Segoe UI" w:cs="Segoe UI"/>
      <w:sz w:val="18"/>
      <w:szCs w:val="18"/>
    </w:rPr>
  </w:style>
  <w:style w:type="character" w:customStyle="1" w:styleId="st">
    <w:name w:val="st"/>
    <w:basedOn w:val="DefaultParagraphFont"/>
    <w:rsid w:val="003A6D7C"/>
  </w:style>
  <w:style w:type="character" w:customStyle="1" w:styleId="fn">
    <w:name w:val="fn"/>
    <w:basedOn w:val="DefaultParagraphFont"/>
    <w:rsid w:val="003A6D7C"/>
  </w:style>
  <w:style w:type="character" w:customStyle="1" w:styleId="Subtitle1">
    <w:name w:val="Subtitle1"/>
    <w:basedOn w:val="DefaultParagraphFont"/>
    <w:rsid w:val="003A6D7C"/>
  </w:style>
  <w:style w:type="paragraph" w:customStyle="1" w:styleId="Default">
    <w:name w:val="Default"/>
    <w:rsid w:val="00E36F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dmd">
    <w:name w:val="addmd"/>
    <w:basedOn w:val="DefaultParagraphFont"/>
    <w:rsid w:val="008B1EDE"/>
  </w:style>
  <w:style w:type="paragraph" w:styleId="Header">
    <w:name w:val="header"/>
    <w:basedOn w:val="Normal"/>
    <w:link w:val="HeaderChar"/>
    <w:uiPriority w:val="99"/>
    <w:unhideWhenUsed/>
    <w:rsid w:val="00A072F1"/>
    <w:pPr>
      <w:tabs>
        <w:tab w:val="center" w:pos="4680"/>
        <w:tab w:val="right" w:pos="9360"/>
      </w:tabs>
      <w:spacing w:line="240" w:lineRule="auto"/>
    </w:pPr>
  </w:style>
  <w:style w:type="character" w:customStyle="1" w:styleId="HeaderChar">
    <w:name w:val="Header Char"/>
    <w:basedOn w:val="DefaultParagraphFont"/>
    <w:link w:val="Header"/>
    <w:uiPriority w:val="99"/>
    <w:rsid w:val="00A072F1"/>
  </w:style>
  <w:style w:type="paragraph" w:styleId="Footer">
    <w:name w:val="footer"/>
    <w:basedOn w:val="Normal"/>
    <w:link w:val="FooterChar"/>
    <w:uiPriority w:val="99"/>
    <w:unhideWhenUsed/>
    <w:rsid w:val="00A072F1"/>
    <w:pPr>
      <w:tabs>
        <w:tab w:val="center" w:pos="4680"/>
        <w:tab w:val="right" w:pos="9360"/>
      </w:tabs>
      <w:spacing w:line="240" w:lineRule="auto"/>
    </w:pPr>
  </w:style>
  <w:style w:type="character" w:customStyle="1" w:styleId="FooterChar">
    <w:name w:val="Footer Char"/>
    <w:basedOn w:val="DefaultParagraphFont"/>
    <w:link w:val="Footer"/>
    <w:uiPriority w:val="99"/>
    <w:rsid w:val="00A072F1"/>
  </w:style>
  <w:style w:type="character" w:customStyle="1" w:styleId="name">
    <w:name w:val="name"/>
    <w:basedOn w:val="DefaultParagraphFont"/>
    <w:rsid w:val="00F818BA"/>
  </w:style>
  <w:style w:type="character" w:customStyle="1" w:styleId="popup">
    <w:name w:val="popup"/>
    <w:basedOn w:val="DefaultParagraphFont"/>
    <w:rsid w:val="002C1413"/>
  </w:style>
  <w:style w:type="character" w:styleId="Hyperlink">
    <w:name w:val="Hyperlink"/>
    <w:basedOn w:val="DefaultParagraphFont"/>
    <w:uiPriority w:val="99"/>
    <w:semiHidden/>
    <w:unhideWhenUsed/>
    <w:rsid w:val="003C13C1"/>
    <w:rPr>
      <w:color w:val="0000FF"/>
      <w:u w:val="single"/>
    </w:rPr>
  </w:style>
  <w:style w:type="character" w:customStyle="1" w:styleId="text">
    <w:name w:val="text"/>
    <w:basedOn w:val="DefaultParagraphFont"/>
    <w:rsid w:val="00535A12"/>
  </w:style>
  <w:style w:type="character" w:customStyle="1" w:styleId="indent-1-breaks">
    <w:name w:val="indent-1-breaks"/>
    <w:basedOn w:val="DefaultParagraphFont"/>
    <w:rsid w:val="00535A12"/>
  </w:style>
  <w:style w:type="character" w:customStyle="1" w:styleId="indent-2-breaks">
    <w:name w:val="indent-2-breaks"/>
    <w:basedOn w:val="DefaultParagraphFont"/>
    <w:rsid w:val="00535A12"/>
  </w:style>
  <w:style w:type="paragraph" w:customStyle="1" w:styleId="line">
    <w:name w:val="line"/>
    <w:basedOn w:val="Normal"/>
    <w:rsid w:val="00B35C7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chapternum">
    <w:name w:val="chapternum"/>
    <w:basedOn w:val="DefaultParagraphFont"/>
    <w:rsid w:val="00B35C79"/>
  </w:style>
  <w:style w:type="paragraph" w:customStyle="1" w:styleId="reflection">
    <w:name w:val="reflection"/>
    <w:basedOn w:val="Normal"/>
    <w:rsid w:val="00324BE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PlainText">
    <w:name w:val="Plain Text"/>
    <w:basedOn w:val="Normal"/>
    <w:link w:val="PlainTextChar"/>
    <w:unhideWhenUsed/>
    <w:qFormat/>
    <w:rsid w:val="00AE0556"/>
    <w:pPr>
      <w:spacing w:line="240" w:lineRule="auto"/>
      <w:ind w:firstLine="0"/>
    </w:pPr>
    <w:rPr>
      <w:rFonts w:eastAsia="Times New Roman" w:cs="Times New Roman"/>
      <w:szCs w:val="20"/>
      <w:lang w:bidi="he-IL"/>
    </w:rPr>
  </w:style>
  <w:style w:type="character" w:customStyle="1" w:styleId="PlainTextChar">
    <w:name w:val="Plain Text Char"/>
    <w:basedOn w:val="DefaultParagraphFont"/>
    <w:link w:val="PlainText"/>
    <w:rsid w:val="00AE0556"/>
    <w:rPr>
      <w:rFonts w:eastAsia="Times New Roman" w:cs="Times New Roman"/>
      <w:szCs w:val="20"/>
      <w:lang w:bidi="he-IL"/>
    </w:rPr>
  </w:style>
  <w:style w:type="character" w:styleId="BookTitle">
    <w:name w:val="Book Title"/>
    <w:basedOn w:val="DefaultParagraphFont"/>
    <w:uiPriority w:val="33"/>
    <w:qFormat/>
    <w:rsid w:val="00C47201"/>
    <w:rPr>
      <w:b/>
      <w:bCs/>
      <w:i/>
      <w:iCs/>
      <w:spacing w:val="5"/>
    </w:rPr>
  </w:style>
  <w:style w:type="character" w:customStyle="1" w:styleId="boldgreen">
    <w:name w:val="boldgreen"/>
    <w:basedOn w:val="DefaultParagraphFont"/>
    <w:rsid w:val="0026045B"/>
  </w:style>
  <w:style w:type="character" w:styleId="Emphasis">
    <w:name w:val="Emphasis"/>
    <w:basedOn w:val="DefaultParagraphFont"/>
    <w:uiPriority w:val="20"/>
    <w:qFormat/>
    <w:rsid w:val="00DF1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070">
      <w:bodyDiv w:val="1"/>
      <w:marLeft w:val="0"/>
      <w:marRight w:val="0"/>
      <w:marTop w:val="0"/>
      <w:marBottom w:val="0"/>
      <w:divBdr>
        <w:top w:val="none" w:sz="0" w:space="0" w:color="auto"/>
        <w:left w:val="none" w:sz="0" w:space="0" w:color="auto"/>
        <w:bottom w:val="none" w:sz="0" w:space="0" w:color="auto"/>
        <w:right w:val="none" w:sz="0" w:space="0" w:color="auto"/>
      </w:divBdr>
      <w:divsChild>
        <w:div w:id="732890209">
          <w:marLeft w:val="0"/>
          <w:marRight w:val="0"/>
          <w:marTop w:val="0"/>
          <w:marBottom w:val="0"/>
          <w:divBdr>
            <w:top w:val="none" w:sz="0" w:space="0" w:color="auto"/>
            <w:left w:val="none" w:sz="0" w:space="0" w:color="auto"/>
            <w:bottom w:val="none" w:sz="0" w:space="0" w:color="auto"/>
            <w:right w:val="none" w:sz="0" w:space="0" w:color="auto"/>
          </w:divBdr>
        </w:div>
        <w:div w:id="175508281">
          <w:marLeft w:val="0"/>
          <w:marRight w:val="0"/>
          <w:marTop w:val="0"/>
          <w:marBottom w:val="0"/>
          <w:divBdr>
            <w:top w:val="none" w:sz="0" w:space="0" w:color="auto"/>
            <w:left w:val="none" w:sz="0" w:space="0" w:color="auto"/>
            <w:bottom w:val="none" w:sz="0" w:space="0" w:color="auto"/>
            <w:right w:val="none" w:sz="0" w:space="0" w:color="auto"/>
          </w:divBdr>
        </w:div>
        <w:div w:id="441539058">
          <w:marLeft w:val="0"/>
          <w:marRight w:val="0"/>
          <w:marTop w:val="0"/>
          <w:marBottom w:val="0"/>
          <w:divBdr>
            <w:top w:val="none" w:sz="0" w:space="0" w:color="auto"/>
            <w:left w:val="none" w:sz="0" w:space="0" w:color="auto"/>
            <w:bottom w:val="none" w:sz="0" w:space="0" w:color="auto"/>
            <w:right w:val="none" w:sz="0" w:space="0" w:color="auto"/>
          </w:divBdr>
        </w:div>
        <w:div w:id="1246692926">
          <w:marLeft w:val="0"/>
          <w:marRight w:val="0"/>
          <w:marTop w:val="0"/>
          <w:marBottom w:val="0"/>
          <w:divBdr>
            <w:top w:val="none" w:sz="0" w:space="0" w:color="auto"/>
            <w:left w:val="none" w:sz="0" w:space="0" w:color="auto"/>
            <w:bottom w:val="none" w:sz="0" w:space="0" w:color="auto"/>
            <w:right w:val="none" w:sz="0" w:space="0" w:color="auto"/>
          </w:divBdr>
        </w:div>
        <w:div w:id="101848001">
          <w:marLeft w:val="0"/>
          <w:marRight w:val="0"/>
          <w:marTop w:val="0"/>
          <w:marBottom w:val="0"/>
          <w:divBdr>
            <w:top w:val="none" w:sz="0" w:space="0" w:color="auto"/>
            <w:left w:val="none" w:sz="0" w:space="0" w:color="auto"/>
            <w:bottom w:val="none" w:sz="0" w:space="0" w:color="auto"/>
            <w:right w:val="none" w:sz="0" w:space="0" w:color="auto"/>
          </w:divBdr>
        </w:div>
        <w:div w:id="1874951435">
          <w:marLeft w:val="0"/>
          <w:marRight w:val="0"/>
          <w:marTop w:val="0"/>
          <w:marBottom w:val="0"/>
          <w:divBdr>
            <w:top w:val="none" w:sz="0" w:space="0" w:color="auto"/>
            <w:left w:val="none" w:sz="0" w:space="0" w:color="auto"/>
            <w:bottom w:val="none" w:sz="0" w:space="0" w:color="auto"/>
            <w:right w:val="none" w:sz="0" w:space="0" w:color="auto"/>
          </w:divBdr>
        </w:div>
        <w:div w:id="746271848">
          <w:marLeft w:val="0"/>
          <w:marRight w:val="0"/>
          <w:marTop w:val="0"/>
          <w:marBottom w:val="0"/>
          <w:divBdr>
            <w:top w:val="none" w:sz="0" w:space="0" w:color="auto"/>
            <w:left w:val="none" w:sz="0" w:space="0" w:color="auto"/>
            <w:bottom w:val="none" w:sz="0" w:space="0" w:color="auto"/>
            <w:right w:val="none" w:sz="0" w:space="0" w:color="auto"/>
          </w:divBdr>
        </w:div>
        <w:div w:id="489948113">
          <w:marLeft w:val="0"/>
          <w:marRight w:val="0"/>
          <w:marTop w:val="0"/>
          <w:marBottom w:val="0"/>
          <w:divBdr>
            <w:top w:val="none" w:sz="0" w:space="0" w:color="auto"/>
            <w:left w:val="none" w:sz="0" w:space="0" w:color="auto"/>
            <w:bottom w:val="none" w:sz="0" w:space="0" w:color="auto"/>
            <w:right w:val="none" w:sz="0" w:space="0" w:color="auto"/>
          </w:divBdr>
        </w:div>
        <w:div w:id="60754931">
          <w:marLeft w:val="0"/>
          <w:marRight w:val="0"/>
          <w:marTop w:val="0"/>
          <w:marBottom w:val="0"/>
          <w:divBdr>
            <w:top w:val="none" w:sz="0" w:space="0" w:color="auto"/>
            <w:left w:val="none" w:sz="0" w:space="0" w:color="auto"/>
            <w:bottom w:val="none" w:sz="0" w:space="0" w:color="auto"/>
            <w:right w:val="none" w:sz="0" w:space="0" w:color="auto"/>
          </w:divBdr>
        </w:div>
        <w:div w:id="1755009036">
          <w:marLeft w:val="0"/>
          <w:marRight w:val="0"/>
          <w:marTop w:val="0"/>
          <w:marBottom w:val="0"/>
          <w:divBdr>
            <w:top w:val="none" w:sz="0" w:space="0" w:color="auto"/>
            <w:left w:val="none" w:sz="0" w:space="0" w:color="auto"/>
            <w:bottom w:val="none" w:sz="0" w:space="0" w:color="auto"/>
            <w:right w:val="none" w:sz="0" w:space="0" w:color="auto"/>
          </w:divBdr>
        </w:div>
      </w:divsChild>
    </w:div>
    <w:div w:id="125053940">
      <w:bodyDiv w:val="1"/>
      <w:marLeft w:val="0"/>
      <w:marRight w:val="0"/>
      <w:marTop w:val="0"/>
      <w:marBottom w:val="0"/>
      <w:divBdr>
        <w:top w:val="none" w:sz="0" w:space="0" w:color="auto"/>
        <w:left w:val="none" w:sz="0" w:space="0" w:color="auto"/>
        <w:bottom w:val="none" w:sz="0" w:space="0" w:color="auto"/>
        <w:right w:val="none" w:sz="0" w:space="0" w:color="auto"/>
      </w:divBdr>
    </w:div>
    <w:div w:id="327370771">
      <w:bodyDiv w:val="1"/>
      <w:marLeft w:val="0"/>
      <w:marRight w:val="0"/>
      <w:marTop w:val="0"/>
      <w:marBottom w:val="0"/>
      <w:divBdr>
        <w:top w:val="none" w:sz="0" w:space="0" w:color="auto"/>
        <w:left w:val="none" w:sz="0" w:space="0" w:color="auto"/>
        <w:bottom w:val="none" w:sz="0" w:space="0" w:color="auto"/>
        <w:right w:val="none" w:sz="0" w:space="0" w:color="auto"/>
      </w:divBdr>
    </w:div>
    <w:div w:id="340164304">
      <w:bodyDiv w:val="1"/>
      <w:marLeft w:val="0"/>
      <w:marRight w:val="0"/>
      <w:marTop w:val="0"/>
      <w:marBottom w:val="0"/>
      <w:divBdr>
        <w:top w:val="none" w:sz="0" w:space="0" w:color="auto"/>
        <w:left w:val="none" w:sz="0" w:space="0" w:color="auto"/>
        <w:bottom w:val="none" w:sz="0" w:space="0" w:color="auto"/>
        <w:right w:val="none" w:sz="0" w:space="0" w:color="auto"/>
      </w:divBdr>
    </w:div>
    <w:div w:id="476265733">
      <w:bodyDiv w:val="1"/>
      <w:marLeft w:val="0"/>
      <w:marRight w:val="0"/>
      <w:marTop w:val="0"/>
      <w:marBottom w:val="0"/>
      <w:divBdr>
        <w:top w:val="none" w:sz="0" w:space="0" w:color="auto"/>
        <w:left w:val="none" w:sz="0" w:space="0" w:color="auto"/>
        <w:bottom w:val="none" w:sz="0" w:space="0" w:color="auto"/>
        <w:right w:val="none" w:sz="0" w:space="0" w:color="auto"/>
      </w:divBdr>
    </w:div>
    <w:div w:id="620309035">
      <w:bodyDiv w:val="1"/>
      <w:marLeft w:val="0"/>
      <w:marRight w:val="0"/>
      <w:marTop w:val="0"/>
      <w:marBottom w:val="0"/>
      <w:divBdr>
        <w:top w:val="none" w:sz="0" w:space="0" w:color="auto"/>
        <w:left w:val="none" w:sz="0" w:space="0" w:color="auto"/>
        <w:bottom w:val="none" w:sz="0" w:space="0" w:color="auto"/>
        <w:right w:val="none" w:sz="0" w:space="0" w:color="auto"/>
      </w:divBdr>
    </w:div>
    <w:div w:id="737242128">
      <w:bodyDiv w:val="1"/>
      <w:marLeft w:val="0"/>
      <w:marRight w:val="0"/>
      <w:marTop w:val="0"/>
      <w:marBottom w:val="0"/>
      <w:divBdr>
        <w:top w:val="none" w:sz="0" w:space="0" w:color="auto"/>
        <w:left w:val="none" w:sz="0" w:space="0" w:color="auto"/>
        <w:bottom w:val="none" w:sz="0" w:space="0" w:color="auto"/>
        <w:right w:val="none" w:sz="0" w:space="0" w:color="auto"/>
      </w:divBdr>
    </w:div>
    <w:div w:id="760184277">
      <w:bodyDiv w:val="1"/>
      <w:marLeft w:val="0"/>
      <w:marRight w:val="0"/>
      <w:marTop w:val="0"/>
      <w:marBottom w:val="0"/>
      <w:divBdr>
        <w:top w:val="none" w:sz="0" w:space="0" w:color="auto"/>
        <w:left w:val="none" w:sz="0" w:space="0" w:color="auto"/>
        <w:bottom w:val="none" w:sz="0" w:space="0" w:color="auto"/>
        <w:right w:val="none" w:sz="0" w:space="0" w:color="auto"/>
      </w:divBdr>
    </w:div>
    <w:div w:id="817693457">
      <w:bodyDiv w:val="1"/>
      <w:marLeft w:val="0"/>
      <w:marRight w:val="0"/>
      <w:marTop w:val="0"/>
      <w:marBottom w:val="0"/>
      <w:divBdr>
        <w:top w:val="none" w:sz="0" w:space="0" w:color="auto"/>
        <w:left w:val="none" w:sz="0" w:space="0" w:color="auto"/>
        <w:bottom w:val="none" w:sz="0" w:space="0" w:color="auto"/>
        <w:right w:val="none" w:sz="0" w:space="0" w:color="auto"/>
      </w:divBdr>
      <w:divsChild>
        <w:div w:id="1235235831">
          <w:marLeft w:val="0"/>
          <w:marRight w:val="0"/>
          <w:marTop w:val="0"/>
          <w:marBottom w:val="0"/>
          <w:divBdr>
            <w:top w:val="none" w:sz="0" w:space="0" w:color="auto"/>
            <w:left w:val="none" w:sz="0" w:space="0" w:color="auto"/>
            <w:bottom w:val="none" w:sz="0" w:space="0" w:color="auto"/>
            <w:right w:val="none" w:sz="0" w:space="0" w:color="auto"/>
          </w:divBdr>
          <w:divsChild>
            <w:div w:id="17986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0209">
      <w:bodyDiv w:val="1"/>
      <w:marLeft w:val="0"/>
      <w:marRight w:val="0"/>
      <w:marTop w:val="0"/>
      <w:marBottom w:val="0"/>
      <w:divBdr>
        <w:top w:val="none" w:sz="0" w:space="0" w:color="auto"/>
        <w:left w:val="none" w:sz="0" w:space="0" w:color="auto"/>
        <w:bottom w:val="none" w:sz="0" w:space="0" w:color="auto"/>
        <w:right w:val="none" w:sz="0" w:space="0" w:color="auto"/>
      </w:divBdr>
    </w:div>
    <w:div w:id="956062794">
      <w:bodyDiv w:val="1"/>
      <w:marLeft w:val="0"/>
      <w:marRight w:val="0"/>
      <w:marTop w:val="0"/>
      <w:marBottom w:val="0"/>
      <w:divBdr>
        <w:top w:val="none" w:sz="0" w:space="0" w:color="auto"/>
        <w:left w:val="none" w:sz="0" w:space="0" w:color="auto"/>
        <w:bottom w:val="none" w:sz="0" w:space="0" w:color="auto"/>
        <w:right w:val="none" w:sz="0" w:space="0" w:color="auto"/>
      </w:divBdr>
      <w:divsChild>
        <w:div w:id="290941524">
          <w:marLeft w:val="0"/>
          <w:marRight w:val="0"/>
          <w:marTop w:val="0"/>
          <w:marBottom w:val="0"/>
          <w:divBdr>
            <w:top w:val="none" w:sz="0" w:space="0" w:color="auto"/>
            <w:left w:val="none" w:sz="0" w:space="0" w:color="auto"/>
            <w:bottom w:val="none" w:sz="0" w:space="0" w:color="auto"/>
            <w:right w:val="none" w:sz="0" w:space="0" w:color="auto"/>
          </w:divBdr>
          <w:divsChild>
            <w:div w:id="9645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9093">
      <w:bodyDiv w:val="1"/>
      <w:marLeft w:val="0"/>
      <w:marRight w:val="0"/>
      <w:marTop w:val="0"/>
      <w:marBottom w:val="0"/>
      <w:divBdr>
        <w:top w:val="none" w:sz="0" w:space="0" w:color="auto"/>
        <w:left w:val="none" w:sz="0" w:space="0" w:color="auto"/>
        <w:bottom w:val="none" w:sz="0" w:space="0" w:color="auto"/>
        <w:right w:val="none" w:sz="0" w:space="0" w:color="auto"/>
      </w:divBdr>
    </w:div>
    <w:div w:id="1217277493">
      <w:bodyDiv w:val="1"/>
      <w:marLeft w:val="0"/>
      <w:marRight w:val="0"/>
      <w:marTop w:val="0"/>
      <w:marBottom w:val="0"/>
      <w:divBdr>
        <w:top w:val="none" w:sz="0" w:space="0" w:color="auto"/>
        <w:left w:val="none" w:sz="0" w:space="0" w:color="auto"/>
        <w:bottom w:val="none" w:sz="0" w:space="0" w:color="auto"/>
        <w:right w:val="none" w:sz="0" w:space="0" w:color="auto"/>
      </w:divBdr>
    </w:div>
    <w:div w:id="1330252333">
      <w:bodyDiv w:val="1"/>
      <w:marLeft w:val="0"/>
      <w:marRight w:val="0"/>
      <w:marTop w:val="0"/>
      <w:marBottom w:val="0"/>
      <w:divBdr>
        <w:top w:val="none" w:sz="0" w:space="0" w:color="auto"/>
        <w:left w:val="none" w:sz="0" w:space="0" w:color="auto"/>
        <w:bottom w:val="none" w:sz="0" w:space="0" w:color="auto"/>
        <w:right w:val="none" w:sz="0" w:space="0" w:color="auto"/>
      </w:divBdr>
    </w:div>
    <w:div w:id="1339232737">
      <w:bodyDiv w:val="1"/>
      <w:marLeft w:val="0"/>
      <w:marRight w:val="0"/>
      <w:marTop w:val="0"/>
      <w:marBottom w:val="0"/>
      <w:divBdr>
        <w:top w:val="none" w:sz="0" w:space="0" w:color="auto"/>
        <w:left w:val="none" w:sz="0" w:space="0" w:color="auto"/>
        <w:bottom w:val="none" w:sz="0" w:space="0" w:color="auto"/>
        <w:right w:val="none" w:sz="0" w:space="0" w:color="auto"/>
      </w:divBdr>
      <w:divsChild>
        <w:div w:id="1047795962">
          <w:marLeft w:val="0"/>
          <w:marRight w:val="0"/>
          <w:marTop w:val="0"/>
          <w:marBottom w:val="480"/>
          <w:divBdr>
            <w:top w:val="none" w:sz="0" w:space="0" w:color="auto"/>
            <w:left w:val="none" w:sz="0" w:space="0" w:color="auto"/>
            <w:bottom w:val="none" w:sz="0" w:space="0" w:color="auto"/>
            <w:right w:val="none" w:sz="0" w:space="0" w:color="auto"/>
          </w:divBdr>
        </w:div>
      </w:divsChild>
    </w:div>
    <w:div w:id="1390031914">
      <w:bodyDiv w:val="1"/>
      <w:marLeft w:val="0"/>
      <w:marRight w:val="0"/>
      <w:marTop w:val="0"/>
      <w:marBottom w:val="0"/>
      <w:divBdr>
        <w:top w:val="none" w:sz="0" w:space="0" w:color="auto"/>
        <w:left w:val="none" w:sz="0" w:space="0" w:color="auto"/>
        <w:bottom w:val="none" w:sz="0" w:space="0" w:color="auto"/>
        <w:right w:val="none" w:sz="0" w:space="0" w:color="auto"/>
      </w:divBdr>
      <w:divsChild>
        <w:div w:id="1845590116">
          <w:marLeft w:val="0"/>
          <w:marRight w:val="0"/>
          <w:marTop w:val="0"/>
          <w:marBottom w:val="480"/>
          <w:divBdr>
            <w:top w:val="none" w:sz="0" w:space="0" w:color="auto"/>
            <w:left w:val="none" w:sz="0" w:space="0" w:color="auto"/>
            <w:bottom w:val="none" w:sz="0" w:space="0" w:color="auto"/>
            <w:right w:val="none" w:sz="0" w:space="0" w:color="auto"/>
          </w:divBdr>
        </w:div>
      </w:divsChild>
    </w:div>
    <w:div w:id="1572425586">
      <w:bodyDiv w:val="1"/>
      <w:marLeft w:val="0"/>
      <w:marRight w:val="0"/>
      <w:marTop w:val="0"/>
      <w:marBottom w:val="0"/>
      <w:divBdr>
        <w:top w:val="none" w:sz="0" w:space="0" w:color="auto"/>
        <w:left w:val="none" w:sz="0" w:space="0" w:color="auto"/>
        <w:bottom w:val="none" w:sz="0" w:space="0" w:color="auto"/>
        <w:right w:val="none" w:sz="0" w:space="0" w:color="auto"/>
      </w:divBdr>
    </w:div>
    <w:div w:id="1628657806">
      <w:bodyDiv w:val="1"/>
      <w:marLeft w:val="0"/>
      <w:marRight w:val="0"/>
      <w:marTop w:val="0"/>
      <w:marBottom w:val="0"/>
      <w:divBdr>
        <w:top w:val="none" w:sz="0" w:space="0" w:color="auto"/>
        <w:left w:val="none" w:sz="0" w:space="0" w:color="auto"/>
        <w:bottom w:val="none" w:sz="0" w:space="0" w:color="auto"/>
        <w:right w:val="none" w:sz="0" w:space="0" w:color="auto"/>
      </w:divBdr>
    </w:div>
    <w:div w:id="1688099930">
      <w:bodyDiv w:val="1"/>
      <w:marLeft w:val="0"/>
      <w:marRight w:val="0"/>
      <w:marTop w:val="0"/>
      <w:marBottom w:val="0"/>
      <w:divBdr>
        <w:top w:val="none" w:sz="0" w:space="0" w:color="auto"/>
        <w:left w:val="none" w:sz="0" w:space="0" w:color="auto"/>
        <w:bottom w:val="none" w:sz="0" w:space="0" w:color="auto"/>
        <w:right w:val="none" w:sz="0" w:space="0" w:color="auto"/>
      </w:divBdr>
    </w:div>
    <w:div w:id="1769347361">
      <w:bodyDiv w:val="1"/>
      <w:marLeft w:val="0"/>
      <w:marRight w:val="0"/>
      <w:marTop w:val="0"/>
      <w:marBottom w:val="0"/>
      <w:divBdr>
        <w:top w:val="none" w:sz="0" w:space="0" w:color="auto"/>
        <w:left w:val="none" w:sz="0" w:space="0" w:color="auto"/>
        <w:bottom w:val="none" w:sz="0" w:space="0" w:color="auto"/>
        <w:right w:val="none" w:sz="0" w:space="0" w:color="auto"/>
      </w:divBdr>
    </w:div>
    <w:div w:id="1812405535">
      <w:bodyDiv w:val="1"/>
      <w:marLeft w:val="0"/>
      <w:marRight w:val="0"/>
      <w:marTop w:val="0"/>
      <w:marBottom w:val="0"/>
      <w:divBdr>
        <w:top w:val="none" w:sz="0" w:space="0" w:color="auto"/>
        <w:left w:val="none" w:sz="0" w:space="0" w:color="auto"/>
        <w:bottom w:val="none" w:sz="0" w:space="0" w:color="auto"/>
        <w:right w:val="none" w:sz="0" w:space="0" w:color="auto"/>
      </w:divBdr>
    </w:div>
    <w:div w:id="1887639829">
      <w:bodyDiv w:val="1"/>
      <w:marLeft w:val="0"/>
      <w:marRight w:val="0"/>
      <w:marTop w:val="0"/>
      <w:marBottom w:val="0"/>
      <w:divBdr>
        <w:top w:val="none" w:sz="0" w:space="0" w:color="auto"/>
        <w:left w:val="none" w:sz="0" w:space="0" w:color="auto"/>
        <w:bottom w:val="none" w:sz="0" w:space="0" w:color="auto"/>
        <w:right w:val="none" w:sz="0" w:space="0" w:color="auto"/>
      </w:divBdr>
    </w:div>
    <w:div w:id="1889684275">
      <w:bodyDiv w:val="1"/>
      <w:marLeft w:val="0"/>
      <w:marRight w:val="0"/>
      <w:marTop w:val="0"/>
      <w:marBottom w:val="0"/>
      <w:divBdr>
        <w:top w:val="none" w:sz="0" w:space="0" w:color="auto"/>
        <w:left w:val="none" w:sz="0" w:space="0" w:color="auto"/>
        <w:bottom w:val="none" w:sz="0" w:space="0" w:color="auto"/>
        <w:right w:val="none" w:sz="0" w:space="0" w:color="auto"/>
      </w:divBdr>
    </w:div>
    <w:div w:id="1968463938">
      <w:bodyDiv w:val="1"/>
      <w:marLeft w:val="0"/>
      <w:marRight w:val="0"/>
      <w:marTop w:val="0"/>
      <w:marBottom w:val="0"/>
      <w:divBdr>
        <w:top w:val="none" w:sz="0" w:space="0" w:color="auto"/>
        <w:left w:val="none" w:sz="0" w:space="0" w:color="auto"/>
        <w:bottom w:val="none" w:sz="0" w:space="0" w:color="auto"/>
        <w:right w:val="none" w:sz="0" w:space="0" w:color="auto"/>
      </w:divBdr>
    </w:div>
    <w:div w:id="20602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1A88-3BEB-44D8-BA87-8B87F4A0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8237</TotalTime>
  <Pages>113</Pages>
  <Words>52476</Words>
  <Characters>299114</Characters>
  <Application>Microsoft Office Word</Application>
  <DocSecurity>0</DocSecurity>
  <Lines>2492</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3714</cp:revision>
  <dcterms:created xsi:type="dcterms:W3CDTF">2020-11-05T16:30:00Z</dcterms:created>
  <dcterms:modified xsi:type="dcterms:W3CDTF">2020-11-14T10:02:00Z</dcterms:modified>
</cp:coreProperties>
</file>